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AA041F" w14:textId="77777777" w:rsidTr="0010095E">
        <w:tblPrEx>
          <w:tblW w:w="9072" w:type="dxa"/>
          <w:tblLook w:val="01E0"/>
        </w:tblPrEx>
        <w:trPr>
          <w:trHeight w:hRule="exact" w:val="1418"/>
        </w:trPr>
        <w:tc>
          <w:tcPr>
            <w:tcW w:w="6804" w:type="dxa"/>
            <w:shd w:val="clear" w:color="auto" w:fill="auto"/>
            <w:vAlign w:val="center"/>
          </w:tcPr>
          <w:p w:rsidR="00751A4A" w:rsidRPr="00F4430E" w:rsidP="0010095E" w14:paraId="39EA97A2" w14:textId="77777777">
            <w:pPr>
              <w:pStyle w:val="EPName"/>
            </w:pPr>
            <w:r w:rsidRPr="00F4430E">
              <w:t>Ευρωπαϊκό Κοινοβούλιο</w:t>
            </w:r>
          </w:p>
          <w:p w:rsidR="00751A4A" w:rsidRPr="00F4430E" w:rsidP="005F1B17" w14:paraId="77C7EB0E" w14:textId="77777777">
            <w:pPr>
              <w:pStyle w:val="EPTerm"/>
              <w:rPr>
                <w:rStyle w:val="HideTWBExt"/>
                <w:noProof w:val="0"/>
                <w:vanish w:val="0"/>
                <w:color w:val="auto"/>
              </w:rPr>
            </w:pPr>
            <w:r w:rsidRPr="00F4430E">
              <w:t>2024</w:t>
            </w:r>
            <w:r w:rsidRPr="00F4430E" w:rsidR="00817416">
              <w:t>-202</w:t>
            </w:r>
            <w:r w:rsidRPr="00F4430E">
              <w:t>9</w:t>
            </w:r>
          </w:p>
        </w:tc>
        <w:tc>
          <w:tcPr>
            <w:tcW w:w="2268" w:type="dxa"/>
            <w:shd w:val="clear" w:color="auto" w:fill="auto"/>
          </w:tcPr>
          <w:p w:rsidR="00751A4A" w:rsidRPr="00F4430E" w:rsidP="0010095E" w14:paraId="4B9163AF" w14:textId="77777777">
            <w:pPr>
              <w:pStyle w:val="EPLogo"/>
            </w:pPr>
            <w:r w:rsidRPr="00F443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4430E" w:rsidP="004C5D52" w14:paraId="4C6CE10B" w14:textId="77777777">
      <w:pPr>
        <w:pStyle w:val="LineTop"/>
      </w:pPr>
    </w:p>
    <w:p w:rsidR="00680577" w:rsidRPr="00F4430E" w:rsidP="00680577" w14:paraId="08023D4A" w14:textId="77777777">
      <w:pPr>
        <w:pStyle w:val="EPBodyTA1"/>
      </w:pPr>
      <w:r w:rsidRPr="00F4430E">
        <w:t>ΚΕΙΜΕΝΑ ΠΟΥ ΕΓΚΡΙΘΗΚΑΝ</w:t>
      </w:r>
    </w:p>
    <w:p w:rsidR="00D058B8" w:rsidRPr="00F4430E" w:rsidP="00D058B8" w14:paraId="58F5EEA3" w14:textId="77777777">
      <w:pPr>
        <w:pStyle w:val="LineBottom"/>
      </w:pPr>
    </w:p>
    <w:p w:rsidR="00102A61" w:rsidRPr="00F4430E" w:rsidP="00102A61" w14:paraId="6DD0CA3D" w14:textId="446AF3DD">
      <w:pPr>
        <w:pStyle w:val="ATHeading1"/>
      </w:pPr>
      <w:bookmarkStart w:id="0" w:name="TANumber"/>
      <w:r w:rsidRPr="00F4430E">
        <w:t>P10_TA(2026)0</w:t>
      </w:r>
      <w:r w:rsidR="009F6E31">
        <w:t>110</w:t>
      </w:r>
      <w:bookmarkEnd w:id="0"/>
    </w:p>
    <w:p w:rsidR="00102A61" w:rsidRPr="00F4430E" w:rsidP="00102A61" w14:paraId="7DEB7CFE" w14:textId="77777777">
      <w:pPr>
        <w:pStyle w:val="ATHeading2"/>
      </w:pPr>
      <w:bookmarkStart w:id="1" w:name="title"/>
      <w:r w:rsidRPr="00F4430E">
        <w:t xml:space="preserve">Αίτημα για την άρση της ασυλίας του </w:t>
      </w:r>
      <w:r w:rsidRPr="00F4430E">
        <w:t>Alvise</w:t>
      </w:r>
      <w:r w:rsidRPr="00F4430E">
        <w:t xml:space="preserve"> </w:t>
      </w:r>
      <w:r w:rsidRPr="00F4430E">
        <w:t>Pérez</w:t>
      </w:r>
      <w:bookmarkEnd w:id="1"/>
    </w:p>
    <w:p w:rsidR="00102A61" w:rsidRPr="00F4430E" w:rsidP="00102A61" w14:paraId="4E271FC6" w14:textId="77777777">
      <w:pPr>
        <w:rPr>
          <w:i/>
          <w:vanish/>
        </w:rPr>
      </w:pPr>
      <w:r>
        <w:rPr>
          <w:i/>
        </w:rPr>
        <w:fldChar w:fldCharType="begin"/>
      </w:r>
      <w:r w:rsidRPr="00F4430E">
        <w:rPr>
          <w:i/>
        </w:rPr>
        <w:instrText xml:space="preserve"> TC"(</w:instrText>
      </w:r>
      <w:bookmarkStart w:id="2" w:name="DocNumber"/>
      <w:r w:rsidRPr="00F4430E">
        <w:rPr>
          <w:i/>
        </w:rPr>
        <w:instrText>A10-0119/2026</w:instrText>
      </w:r>
      <w:bookmarkEnd w:id="2"/>
      <w:r w:rsidRPr="00F4430E">
        <w:rPr>
          <w:i/>
        </w:rPr>
        <w:instrText xml:space="preserve"> - Εισηγητής: Mario Furore)"\l3 \n&gt; \* MERGEFORMAT </w:instrText>
      </w:r>
      <w:r>
        <w:rPr>
          <w:i/>
        </w:rPr>
        <w:fldChar w:fldCharType="end"/>
      </w:r>
    </w:p>
    <w:p w:rsidR="00102A61" w:rsidRPr="00F4430E" w:rsidP="00102A61" w14:paraId="4DFAC060" w14:textId="77777777">
      <w:pPr>
        <w:rPr>
          <w:vanish/>
        </w:rPr>
      </w:pPr>
      <w:bookmarkStart w:id="3" w:name="Commission"/>
      <w:r w:rsidRPr="00F4430E">
        <w:rPr>
          <w:vanish/>
        </w:rPr>
        <w:t>Επιτροπή Νομικών Θεμάτων</w:t>
      </w:r>
      <w:bookmarkEnd w:id="3"/>
    </w:p>
    <w:p w:rsidR="00102A61" w:rsidRPr="00F4430E" w:rsidP="00102A61" w14:paraId="27B30DB9" w14:textId="77777777">
      <w:pPr>
        <w:rPr>
          <w:vanish/>
        </w:rPr>
      </w:pPr>
      <w:bookmarkStart w:id="4" w:name="PE"/>
      <w:r w:rsidRPr="00F4430E">
        <w:rPr>
          <w:vanish/>
        </w:rPr>
        <w:t>PE784.496</w:t>
      </w:r>
      <w:bookmarkEnd w:id="4"/>
    </w:p>
    <w:p w:rsidR="00102A61" w:rsidRPr="00F4430E" w:rsidP="00102A61" w14:paraId="1B224CCC" w14:textId="48EF0E34">
      <w:pPr>
        <w:pStyle w:val="ATHeading3"/>
      </w:pPr>
      <w:bookmarkStart w:id="5" w:name="Sujet"/>
      <w:r w:rsidRPr="00F4430E">
        <w:t xml:space="preserve">Απόφαση του Ευρωπαϊκού Κοινοβουλίου της </w:t>
      </w:r>
      <w:r w:rsidR="00E51082">
        <w:t>28ης Απριλίου</w:t>
      </w:r>
      <w:r w:rsidRPr="00F4430E" w:rsidR="00E51082">
        <w:t xml:space="preserve"> </w:t>
      </w:r>
      <w:r w:rsidRPr="00F4430E">
        <w:t xml:space="preserve">2026 σχετικά με το αίτημα για την άρση της ασυλίας του </w:t>
      </w:r>
      <w:r w:rsidRPr="00F4430E">
        <w:t>Alvise</w:t>
      </w:r>
      <w:r w:rsidRPr="00F4430E">
        <w:t xml:space="preserve"> </w:t>
      </w:r>
      <w:r w:rsidRPr="00F4430E">
        <w:t>Pérez</w:t>
      </w:r>
      <w:bookmarkEnd w:id="5"/>
      <w:r w:rsidRPr="00F4430E">
        <w:t xml:space="preserve"> </w:t>
      </w:r>
      <w:bookmarkStart w:id="6" w:name="References"/>
      <w:r w:rsidRPr="00F4430E">
        <w:t>(2025/2222(IMM))</w:t>
      </w:r>
      <w:bookmarkEnd w:id="6"/>
    </w:p>
    <w:p w:rsidR="00F77B1F" w:rsidRPr="00F4430E" w:rsidP="00F77B1F" w14:paraId="58E2AFE4" w14:textId="77777777">
      <w:pPr>
        <w:pStyle w:val="EPComma"/>
      </w:pPr>
      <w:bookmarkStart w:id="7" w:name="TextBodyBegin"/>
      <w:bookmarkEnd w:id="7"/>
      <w:r w:rsidRPr="00F4430E">
        <w:rPr>
          <w:i/>
        </w:rPr>
        <w:t>Το Ευρωπαϊκό Κοινοβούλιο</w:t>
      </w:r>
      <w:r w:rsidRPr="00F4430E">
        <w:t>,</w:t>
      </w:r>
    </w:p>
    <w:p w:rsidR="00F77B1F" w:rsidRPr="00F4430E" w:rsidP="00F77B1F" w14:paraId="0B82A981" w14:textId="77777777">
      <w:pPr>
        <w:pStyle w:val="NormalHanging12a"/>
      </w:pPr>
      <w:r w:rsidRPr="00F4430E">
        <w:t>–</w:t>
      </w:r>
      <w:r w:rsidRPr="00F4430E">
        <w:tab/>
        <w:t xml:space="preserve">έχοντας υπόψη το αίτημα για την άρση της ασυλίας του </w:t>
      </w:r>
      <w:r w:rsidRPr="00F4430E">
        <w:t>Alvise</w:t>
      </w:r>
      <w:r w:rsidRPr="00F4430E">
        <w:t xml:space="preserve"> </w:t>
      </w:r>
      <w:r w:rsidRPr="00F4430E">
        <w:t>Pérez</w:t>
      </w:r>
      <w:r w:rsidRPr="00F4430E">
        <w:t xml:space="preserve"> (</w:t>
      </w:r>
      <w:r w:rsidRPr="00F4430E">
        <w:t>Luis</w:t>
      </w:r>
      <w:r w:rsidRPr="00F4430E">
        <w:t xml:space="preserve"> </w:t>
      </w:r>
      <w:r w:rsidRPr="00F4430E">
        <w:t>Pérez</w:t>
      </w:r>
      <w:r w:rsidRPr="00F4430E">
        <w:t xml:space="preserve"> </w:t>
      </w:r>
      <w:r w:rsidRPr="00F4430E">
        <w:t>Fernández</w:t>
      </w:r>
      <w:r w:rsidRPr="00F4430E">
        <w:t>), το οποίο υποβλήθηκε από το Ανώτατο Δικαστήριο της Ισπανίας με επιστολή της 7ης Οκτωβρίου 2025 σε συνάρτηση με ποινική διαδικασία που πρόκειται να κινηθεί εναντίον του και ανακοινώθηκε στο Κοινοβούλιο στις 22 Οκτωβρίου 2025,</w:t>
      </w:r>
    </w:p>
    <w:p w:rsidR="00F77B1F" w:rsidRPr="00F4430E" w:rsidP="00F77B1F" w14:paraId="2EAD6E04" w14:textId="77777777">
      <w:pPr>
        <w:pStyle w:val="NormalHanging12a"/>
      </w:pPr>
      <w:r w:rsidRPr="00F4430E">
        <w:t>–</w:t>
      </w:r>
      <w:r w:rsidRPr="00F4430E">
        <w:tab/>
        <w:t xml:space="preserve">αφού άκουσε τον </w:t>
      </w:r>
      <w:r w:rsidRPr="00F4430E">
        <w:t>Alvise</w:t>
      </w:r>
      <w:r w:rsidRPr="00F4430E">
        <w:t xml:space="preserve"> </w:t>
      </w:r>
      <w:r w:rsidRPr="00F4430E">
        <w:t>Pérez</w:t>
      </w:r>
      <w:r w:rsidRPr="00F4430E">
        <w:t>, στις 24 Μαρτίου 2026, σύμφωνα με το άρθρο 9 παράγραφος 6 του Κανονισμού του,</w:t>
      </w:r>
    </w:p>
    <w:p w:rsidR="00F77B1F" w:rsidRPr="00F4430E" w:rsidP="00F77B1F" w14:paraId="4E62531D" w14:textId="77777777">
      <w:pPr>
        <w:pStyle w:val="NormalHanging12a"/>
      </w:pPr>
      <w:r w:rsidRPr="00F4430E">
        <w:t>–</w:t>
      </w:r>
      <w:r w:rsidRPr="00F4430E">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F77B1F" w:rsidRPr="00F4430E" w:rsidP="00F77B1F" w14:paraId="2D1B5A33" w14:textId="049B6C34">
      <w:pPr>
        <w:pStyle w:val="NormalHanging12a"/>
      </w:pPr>
      <w:r w:rsidRPr="00F4430E">
        <w:t>–</w:t>
      </w:r>
      <w:r w:rsidRPr="00F4430E">
        <w:tab/>
        <w:t>έχοντας υπόψη τις αποφάσεις που εξέδωσε το Δικαστήριο της Ευρωπαϊκής Ένωσης στις 21 Οκτωβρίου 2008, 19 Μαρτίου 2010, 6 Σεπτεμβρίου 2011, 17 Ιανουαρίου 2013</w:t>
      </w:r>
      <w:r w:rsidR="00E02289">
        <w:t xml:space="preserve"> </w:t>
      </w:r>
      <w:r w:rsidRPr="00F4430E">
        <w:t>και 19 Δεκεμβρίου 2019</w:t>
      </w:r>
      <w:r>
        <w:rPr>
          <w:rStyle w:val="FootnoteReference"/>
          <w:color w:val="000000"/>
        </w:rPr>
        <w:footnoteReference w:id="2"/>
      </w:r>
      <w:r w:rsidRPr="00F4430E">
        <w:t>,</w:t>
      </w:r>
    </w:p>
    <w:p w:rsidR="00F77B1F" w:rsidRPr="00F4430E" w:rsidP="00F77B1F" w14:paraId="0D602821" w14:textId="77777777">
      <w:pPr>
        <w:pStyle w:val="NormalHanging12a"/>
      </w:pPr>
      <w:r w:rsidRPr="00F4430E">
        <w:t>–</w:t>
      </w:r>
      <w:r w:rsidRPr="00F4430E">
        <w:tab/>
        <w:t>έχοντας υπόψη το άρθρο 71 παράγραφοι 1 και 2 του ισπανικού Συντάγματος,</w:t>
      </w:r>
    </w:p>
    <w:p w:rsidR="00F77B1F" w:rsidRPr="00F4430E" w:rsidP="00F77B1F" w14:paraId="3CF0260C" w14:textId="77777777">
      <w:pPr>
        <w:pStyle w:val="NormalHanging12a"/>
      </w:pPr>
      <w:r w:rsidRPr="00F4430E">
        <w:t>–</w:t>
      </w:r>
      <w:r w:rsidRPr="00F4430E">
        <w:tab/>
        <w:t>έχοντας υπόψη το άρθρο 5 παράγραφος 2, το άρθρο 6 παράγραφος 1 και το άρθρο 9 του Κανονισμού του,</w:t>
      </w:r>
    </w:p>
    <w:p w:rsidR="00F77B1F" w:rsidRPr="00F4430E" w:rsidP="00F77B1F" w14:paraId="63F06CB4" w14:textId="77777777">
      <w:pPr>
        <w:pStyle w:val="NormalHanging12a"/>
      </w:pPr>
      <w:r w:rsidRPr="00F4430E">
        <w:t>–</w:t>
      </w:r>
      <w:r w:rsidRPr="00F4430E">
        <w:tab/>
        <w:t>έχοντας υπόψη την έκθεση της Επιτροπής Νομικών Θεμάτων (A10-0119/2026),</w:t>
      </w:r>
    </w:p>
    <w:p w:rsidR="00F77B1F" w:rsidRPr="00F4430E" w:rsidP="00F77B1F" w14:paraId="19872722" w14:textId="6AC56F6A">
      <w:pPr>
        <w:pStyle w:val="NormalHanging12a"/>
      </w:pPr>
      <w:r w:rsidRPr="00F4430E">
        <w:t>Α.</w:t>
      </w:r>
      <w:r w:rsidRPr="00F4430E">
        <w:tab/>
        <w:t xml:space="preserve">λαμβάνοντας υπόψη ότι, με επιστολή της 7ης Οκτωβρίου 2025, ο πρόεδρος του Ανώτατου Δικαστηρίου της Ισπανίας ζήτησε την άρση της ασυλίας του </w:t>
      </w:r>
      <w:r w:rsidRPr="00F4430E">
        <w:t>Alvise</w:t>
      </w:r>
      <w:r w:rsidRPr="00F4430E">
        <w:t xml:space="preserve"> </w:t>
      </w:r>
      <w:r w:rsidRPr="00F4430E">
        <w:t>Pérez</w:t>
      </w:r>
      <w:r w:rsidRPr="00F4430E">
        <w:t xml:space="preserve">, βουλευτή του Ευρωπαϊκού Κοινοβουλίου που εξελέγη στην Ισπανία, σε συνάρτηση με αδικήματα που </w:t>
      </w:r>
      <w:r w:rsidR="00580DA5">
        <w:t xml:space="preserve">φέρονται ότι </w:t>
      </w:r>
      <w:r w:rsidRPr="00F4430E">
        <w:t>τελέστηκαν</w:t>
      </w:r>
      <w:r w:rsidRPr="00F4430E">
        <w:t xml:space="preserve"> το 2024·</w:t>
      </w:r>
    </w:p>
    <w:p w:rsidR="00F77B1F" w:rsidRPr="00F4430E" w:rsidP="009F6E31" w14:paraId="70F512D9" w14:textId="2703FA9F">
      <w:pPr>
        <w:pStyle w:val="Normal12a"/>
        <w:ind w:left="567" w:hanging="567"/>
      </w:pPr>
      <w:r w:rsidRPr="00F4430E">
        <w:rPr>
          <w:shd w:val="clear" w:color="auto" w:fill="FFFFFF"/>
        </w:rPr>
        <w:t>Β.</w:t>
      </w:r>
      <w:r w:rsidRPr="00F4430E">
        <w:rPr>
          <w:shd w:val="clear" w:color="auto" w:fill="FFFFFF"/>
        </w:rPr>
        <w:tab/>
      </w:r>
      <w:r w:rsidRPr="00F4430E">
        <w:t xml:space="preserve">λαμβάνοντας υπόψη ότι το αίτημα αναφέρει ότι, τον Ιανουάριο και τον Φεβρουάριο του 2024, ο διαχειριστής ενός καναλιού στο </w:t>
      </w:r>
      <w:r w:rsidRPr="00F4430E">
        <w:t>Telegram</w:t>
      </w:r>
      <w:r w:rsidRPr="00F4430E">
        <w:t xml:space="preserve"> με την ονομασία «</w:t>
      </w:r>
      <w:r w:rsidRPr="00F4430E">
        <w:t>Alvise</w:t>
      </w:r>
      <w:r w:rsidRPr="00F4430E">
        <w:t xml:space="preserve"> </w:t>
      </w:r>
      <w:r w:rsidRPr="00F4430E">
        <w:t>Pérez</w:t>
      </w:r>
      <w:r w:rsidRPr="00F4430E">
        <w:t xml:space="preserve"> Chat» φέρεται να δημοσίευσε δηλώσεις στις οποίες αναφέρονται τα ονόματα «των υπευθύνων για την ιδεολογική δίωξη που είναι γνωστή ως εγκλήματα μίσους», παραπέμποντας ιδίως στον εντεταλμένο εισαγγελέα για εγκλήματα μίσους στη Βαλένθια· λαμβάνοντας υπόψη ότι οι δηλώσεις που δημοσιεύθηκαν στο κανάλι αυτό προκάλεσαν την άμεση αντίδραση πολλών ακολούθων του καναλιού, οι οποίοι απέστειλαν περισσότερα από 1 500 σχόλια στον εν λόγω εντεταλμένο εισαγγελέα, κυρίως προσβλητικού χαρακτήρα· λαμβάνοντας υπόψη ότι η </w:t>
      </w:r>
      <w:r w:rsidR="00580DA5">
        <w:t>φερόμενη</w:t>
      </w:r>
      <w:r w:rsidRPr="00F4430E">
        <w:t xml:space="preserve"> συμπεριφορά </w:t>
      </w:r>
      <w:r w:rsidR="002F0641">
        <w:t>θα μπορούσε</w:t>
      </w:r>
      <w:r w:rsidRPr="00F4430E" w:rsidR="002F0641">
        <w:t xml:space="preserve"> </w:t>
      </w:r>
      <w:r w:rsidRPr="00F4430E">
        <w:t xml:space="preserve">να συνιστά αδίκημα παρενόχλησης ή </w:t>
      </w:r>
      <w:r w:rsidRPr="00F4430E">
        <w:t>παρενοχλητικής</w:t>
      </w:r>
      <w:r w:rsidRPr="00F4430E">
        <w:t xml:space="preserve"> παρακολούθησης, υποκίνησης σε επίθεση κατά αρχής ή δημόσιου λειτουργού, καταναγκασμού και/ή διάδοσης μίσους μέσω των μέσων κοινωνικής δικτύωσης, σύμφωνα με το άρθρο 172β και το άρθρο 18 παράγραφος 1 του ισπανικού ποινικού κώδικα σε συνδυασμό με το άρθρο 553 του ισπανικού ποινικού κώδικα·</w:t>
      </w:r>
    </w:p>
    <w:p w:rsidR="00F77B1F" w:rsidRPr="00F4430E" w:rsidP="00F77B1F" w14:paraId="04E10453" w14:textId="5EB275EF">
      <w:pPr>
        <w:pStyle w:val="NormalHanging12a"/>
        <w:rPr>
          <w:szCs w:val="24"/>
          <w:shd w:val="clear" w:color="auto" w:fill="FFFFFF"/>
        </w:rPr>
      </w:pPr>
      <w:r w:rsidRPr="00F4430E">
        <w:t>Γ.</w:t>
      </w:r>
      <w:r w:rsidRPr="00F4430E">
        <w:tab/>
      </w:r>
      <w:r w:rsidRPr="00F4430E">
        <w:rPr>
          <w:shd w:val="clear" w:color="auto" w:fill="FFFFFF"/>
        </w:rPr>
        <w:t xml:space="preserve">λαμβάνοντας υπόψη ότι </w:t>
      </w:r>
      <w:r w:rsidRPr="00F4430E">
        <w:t xml:space="preserve">ο </w:t>
      </w:r>
      <w:r w:rsidRPr="00F4430E">
        <w:t>Alvise</w:t>
      </w:r>
      <w:r w:rsidRPr="00F4430E">
        <w:t xml:space="preserve"> </w:t>
      </w:r>
      <w:r w:rsidRPr="00F4430E">
        <w:t>Pérez</w:t>
      </w:r>
      <w:r w:rsidRPr="00F4430E">
        <w:rPr>
          <w:shd w:val="clear" w:color="auto" w:fill="FFFFFF"/>
        </w:rPr>
        <w:t xml:space="preserve"> εξελέγη στο Ευρωπαϊκό Κοινοβούλιο στις ευρωπαϊκές εκλογές του Ιουνίου 2024 και, επομένως, δεν ήταν βουλευτής του Ευρωπαϊκού Κοινοβουλίου κατά τον χρόνο τέλεσης των </w:t>
      </w:r>
      <w:r w:rsidR="00580DA5">
        <w:rPr>
          <w:shd w:val="clear" w:color="auto" w:fill="FFFFFF"/>
        </w:rPr>
        <w:t>φερ</w:t>
      </w:r>
      <w:r w:rsidRPr="00F4430E">
        <w:rPr>
          <w:shd w:val="clear" w:color="auto" w:fill="FFFFFF"/>
        </w:rPr>
        <w:t>όμενων</w:t>
      </w:r>
      <w:r w:rsidR="00580DA5">
        <w:rPr>
          <w:shd w:val="clear" w:color="auto" w:fill="FFFFFF"/>
        </w:rPr>
        <w:t xml:space="preserve"> ως διαπραχθέντων</w:t>
      </w:r>
      <w:r w:rsidRPr="00F4430E">
        <w:rPr>
          <w:shd w:val="clear" w:color="auto" w:fill="FFFFFF"/>
        </w:rPr>
        <w:t xml:space="preserve"> αδικημάτων· </w:t>
      </w:r>
    </w:p>
    <w:p w:rsidR="00F77B1F" w:rsidRPr="00F4430E" w:rsidP="00F77B1F" w14:paraId="476F906F" w14:textId="7F63394C">
      <w:pPr>
        <w:pStyle w:val="NormalHanging12a"/>
      </w:pPr>
      <w:r w:rsidRPr="00F4430E">
        <w:t>Δ.</w:t>
      </w:r>
      <w:r w:rsidRPr="00F4430E">
        <w:tab/>
        <w:t xml:space="preserve">λαμβάνοντας υπόψη ότι τα </w:t>
      </w:r>
      <w:r w:rsidR="00580DA5">
        <w:t>φερ</w:t>
      </w:r>
      <w:r w:rsidRPr="00F4430E">
        <w:t>όμενα</w:t>
      </w:r>
      <w:r w:rsidR="00580DA5">
        <w:t xml:space="preserve"> ως διαπραχθέντα</w:t>
      </w:r>
      <w:r w:rsidRPr="00F4430E">
        <w:t xml:space="preserve"> αδικήματα δεν αποτελούν γνώμη </w:t>
      </w:r>
      <w:r w:rsidR="00580DA5">
        <w:t>εκφρασθείσα</w:t>
      </w:r>
      <w:r w:rsidR="00580DA5">
        <w:t xml:space="preserve"> </w:t>
      </w:r>
      <w:r w:rsidRPr="00F4430E">
        <w:t xml:space="preserve">ή ψήφο δοθείσα από τον </w:t>
      </w:r>
      <w:r w:rsidRPr="00F4430E">
        <w:t>Alvise</w:t>
      </w:r>
      <w:r w:rsidRPr="00F4430E">
        <w:t xml:space="preserve"> </w:t>
      </w:r>
      <w:r w:rsidRPr="00F4430E">
        <w:t>Pérez</w:t>
      </w:r>
      <w:r w:rsidRPr="00F4430E">
        <w:t xml:space="preserve"> κατά την άσκηση των καθηκόντων του κατά την έννοια του άρθρου 8 του Πρωτοκόλλου αριθ. 7 περί των προνομίων και ασυλιών της Ευρωπαϊκής Ένωσης, ενώ ούτε το επακόλουθο αίτημα για την άρση της ασυλίας του συνδέεται με τέτοια γνώμη ή ψήφο·</w:t>
      </w:r>
    </w:p>
    <w:p w:rsidR="00F77B1F" w:rsidRPr="00F4430E" w:rsidP="00F77B1F" w14:paraId="1E04D994" w14:textId="77777777">
      <w:pPr>
        <w:pStyle w:val="NormalHanging12a"/>
      </w:pPr>
      <w:r w:rsidRPr="00F4430E">
        <w:t>Ε.</w:t>
      </w:r>
      <w:r w:rsidRPr="00F4430E">
        <w:tab/>
        <w:t>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του κράτους μέλους τους·</w:t>
      </w:r>
    </w:p>
    <w:p w:rsidR="00F77B1F" w:rsidRPr="00F4430E" w:rsidP="00F77B1F" w14:paraId="3B1BC1C8" w14:textId="77777777">
      <w:pPr>
        <w:pStyle w:val="Normal12Hanging"/>
      </w:pPr>
      <w:r w:rsidRPr="00F4430E">
        <w:t>ΣΤ.</w:t>
      </w:r>
      <w:r w:rsidRPr="00F4430E">
        <w:tab/>
        <w:t>λαμβάνοντας υπόψη ότι το άρθρο 71 παράγραφοι 1 και 2 του ισπανικού Συντάγματος προβλέπει ότι:</w:t>
      </w:r>
    </w:p>
    <w:p w:rsidR="002F0641" w:rsidP="002F0641" w14:paraId="184C8E66" w14:textId="55CCCDF7">
      <w:pPr>
        <w:pStyle w:val="Normal12Hanging"/>
        <w:ind w:left="1134"/>
      </w:pPr>
      <w:r w:rsidRPr="00F4430E">
        <w:t>«</w:t>
      </w:r>
      <w:r>
        <w:t>1.</w:t>
      </w:r>
      <w:r>
        <w:tab/>
        <w:t xml:space="preserve">Οι βουλευτές και οι γερουσιαστές </w:t>
      </w:r>
      <w:r w:rsidR="00580DA5">
        <w:t>απολαύουν απόλυτης προστασίας από δίωξη</w:t>
      </w:r>
      <w:r>
        <w:t xml:space="preserve"> για τις απόψεις που εκφράζουν κατά την άσκηση των καθηκόντων τους.</w:t>
      </w:r>
    </w:p>
    <w:p w:rsidR="00F77B1F" w:rsidRPr="00F4430E" w:rsidP="009F6E31" w14:paraId="38C01CB7" w14:textId="29CF5F1A">
      <w:pPr>
        <w:pStyle w:val="Normal12Hanging"/>
        <w:ind w:left="1134"/>
        <w:rPr>
          <w:iCs/>
          <w:color w:val="000000"/>
        </w:rPr>
      </w:pPr>
      <w:r>
        <w:t>2.</w:t>
      </w:r>
      <w:r>
        <w:tab/>
        <w:t>Κατά τη διάρκεια της θητείας τους, οι βουλευτές και οι γερουσιαστές απολαύουν επίσης ασυλίας και μπορούν να συλληφθούν μόνο σε περίπτωση αυτόφωρου εγκλήματος. Δεν μπορούν να τους απαγγελθούν κατηγορίες ούτε να ασκηθεί δίωξη κατ’ αυτών χωρίς προηγούμενη άδεια του αντίστοιχου νομοθετικού σώματος.</w:t>
      </w:r>
      <w:r w:rsidRPr="00F4430E">
        <w:t>»·</w:t>
      </w:r>
    </w:p>
    <w:p w:rsidR="00F77B1F" w:rsidRPr="00F4430E" w:rsidP="00F77B1F" w14:paraId="3D1A7A0A" w14:textId="77777777">
      <w:pPr>
        <w:pStyle w:val="NormalHanging12a"/>
        <w:rPr>
          <w:color w:val="000000"/>
        </w:rPr>
      </w:pPr>
      <w:r w:rsidRPr="00F4430E">
        <w:rPr>
          <w:color w:val="000000"/>
        </w:rPr>
        <w:t>Ζ.</w:t>
      </w:r>
      <w:r w:rsidRPr="00F4430E">
        <w:rPr>
          <w:color w:val="000000"/>
        </w:rPr>
        <w:tab/>
        <w:t xml:space="preserve">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w:t>
      </w:r>
      <w:r w:rsidRPr="00F4430E">
        <w:rPr>
          <w:color w:val="000000"/>
        </w:rPr>
        <w:t>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F77B1F" w:rsidRPr="00F4430E" w:rsidP="00F77B1F" w14:paraId="3BC89824" w14:textId="2384AF2E">
      <w:pPr>
        <w:pStyle w:val="NormalHanging12a"/>
        <w:rPr>
          <w:color w:val="000000"/>
        </w:rPr>
      </w:pPr>
      <w:r w:rsidRPr="00F4430E">
        <w:rPr>
          <w:color w:val="000000"/>
        </w:rPr>
        <w:t>Η.</w:t>
      </w:r>
      <w:r w:rsidRPr="00F4430E">
        <w:rPr>
          <w:color w:val="000000"/>
        </w:rPr>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F77B1F" w:rsidRPr="00F4430E" w:rsidP="00F77B1F" w14:paraId="198173FF" w14:textId="30B14442">
      <w:pPr>
        <w:pStyle w:val="NormalHanging12a"/>
        <w:rPr>
          <w:color w:val="000000"/>
        </w:rPr>
      </w:pPr>
      <w:r w:rsidRPr="00F4430E">
        <w:rPr>
          <w:color w:val="000000"/>
        </w:rPr>
        <w:t>Θ.</w:t>
      </w:r>
      <w:r w:rsidRPr="00F4430E">
        <w:rPr>
          <w:color w:val="000000"/>
        </w:rPr>
        <w:tab/>
        <w:t xml:space="preserve">λαμβάνοντας υπόψη ότι, στην παρούσα υπόθεση, το Κοινοβούλιο δεν διαπίστωσε την ύπαρξη ενδείξεων περί </w:t>
      </w:r>
      <w:r w:rsidRPr="00F4430E">
        <w:rPr>
          <w:color w:val="000000"/>
        </w:rPr>
        <w:t>fumus</w:t>
      </w:r>
      <w:r w:rsidRPr="00F4430E">
        <w:rPr>
          <w:color w:val="000000"/>
        </w:rPr>
        <w:t xml:space="preserve"> </w:t>
      </w:r>
      <w:r w:rsidRPr="00F4430E">
        <w:rPr>
          <w:color w:val="000000"/>
        </w:rPr>
        <w:t>persecutionis</w:t>
      </w:r>
      <w:r w:rsidRPr="00F4430E">
        <w:rPr>
          <w:color w:val="000000"/>
        </w:rPr>
        <w:t xml:space="preserve">, δηλαδή </w:t>
      </w:r>
      <w:r w:rsidR="002F0641">
        <w:rPr>
          <w:color w:val="000000"/>
        </w:rPr>
        <w:t>δεν φαίνεται</w:t>
      </w:r>
      <w:r w:rsidRPr="00F4430E">
        <w:rPr>
          <w:color w:val="000000"/>
        </w:rPr>
        <w:t xml:space="preserve"> ότι η εν λόγω δίωξη ασκείται με σκοπό να </w:t>
      </w:r>
      <w:r w:rsidR="00580DA5">
        <w:rPr>
          <w:color w:val="000000"/>
        </w:rPr>
        <w:t>πληγεί</w:t>
      </w:r>
      <w:r w:rsidRPr="00F4430E" w:rsidR="002F0641">
        <w:rPr>
          <w:color w:val="000000"/>
        </w:rPr>
        <w:t xml:space="preserve"> </w:t>
      </w:r>
      <w:r w:rsidRPr="00F4430E">
        <w:rPr>
          <w:color w:val="000000"/>
        </w:rPr>
        <w:t xml:space="preserve">η πολιτική δραστηριότητα του </w:t>
      </w:r>
      <w:r w:rsidRPr="00F4430E">
        <w:rPr>
          <w:color w:val="000000"/>
        </w:rPr>
        <w:t>Alvise</w:t>
      </w:r>
      <w:r w:rsidRPr="00F4430E">
        <w:rPr>
          <w:color w:val="000000"/>
        </w:rPr>
        <w:t xml:space="preserve"> </w:t>
      </w:r>
      <w:r w:rsidRPr="00F4430E">
        <w:rPr>
          <w:color w:val="000000"/>
        </w:rPr>
        <w:t>Pérez</w:t>
      </w:r>
      <w:r w:rsidRPr="00F4430E">
        <w:rPr>
          <w:color w:val="000000"/>
        </w:rPr>
        <w:t xml:space="preserve"> ως μέλους του Ευρωπαϊκού Κοινοβουλίου</w:t>
      </w:r>
      <w:r w:rsidR="002F0641">
        <w:rPr>
          <w:color w:val="000000"/>
        </w:rPr>
        <w:t xml:space="preserve"> και συνεπώς να θιγεί η ανεξαρτησία του Κοινοβουλίου</w:t>
      </w:r>
      <w:r w:rsidRPr="00F4430E">
        <w:rPr>
          <w:color w:val="000000"/>
        </w:rPr>
        <w:t>·</w:t>
      </w:r>
    </w:p>
    <w:p w:rsidR="00F77B1F" w:rsidRPr="00F4430E" w:rsidP="00F77B1F" w14:paraId="164BCC17" w14:textId="25589935">
      <w:pPr>
        <w:pStyle w:val="NormalHanging12a"/>
        <w:rPr>
          <w:color w:val="000000"/>
        </w:rPr>
      </w:pPr>
      <w:r w:rsidRPr="00F4430E">
        <w:rPr>
          <w:color w:val="000000"/>
        </w:rPr>
        <w:t>Ι.</w:t>
      </w:r>
      <w:r w:rsidRPr="00F4430E">
        <w:rPr>
          <w:color w:val="000000"/>
        </w:rPr>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580DA5">
        <w:rPr>
          <w:color w:val="000000"/>
        </w:rPr>
        <w:t xml:space="preserve">ως </w:t>
      </w:r>
      <w:r w:rsidRPr="00F4430E">
        <w:rPr>
          <w:color w:val="000000"/>
        </w:rPr>
        <w:t>κατηγορούμενος</w:t>
      </w:r>
      <w:r>
        <w:rPr>
          <w:color w:val="000000"/>
          <w:vertAlign w:val="superscript"/>
        </w:rPr>
        <w:footnoteReference w:id="3"/>
      </w:r>
      <w:r w:rsidRPr="00F4430E">
        <w:rPr>
          <w:color w:val="000000"/>
        </w:rPr>
        <w:t>·</w:t>
      </w:r>
    </w:p>
    <w:p w:rsidR="00F77B1F" w:rsidRPr="00F4430E" w:rsidP="00F77B1F" w14:paraId="74E148A6" w14:textId="77777777">
      <w:pPr>
        <w:pStyle w:val="NormalHanging12a"/>
        <w:rPr>
          <w:color w:val="000000"/>
        </w:rPr>
      </w:pPr>
      <w:r w:rsidRPr="00F4430E">
        <w:rPr>
          <w:color w:val="000000"/>
        </w:rPr>
        <w:t>1.</w:t>
      </w:r>
      <w:r w:rsidRPr="00F4430E">
        <w:rPr>
          <w:color w:val="000000"/>
        </w:rPr>
        <w:tab/>
        <w:t xml:space="preserve">αποφασίζει να άρει την ασυλία του </w:t>
      </w:r>
      <w:r w:rsidRPr="00F4430E">
        <w:rPr>
          <w:color w:val="000000"/>
        </w:rPr>
        <w:t>Alvise</w:t>
      </w:r>
      <w:r w:rsidRPr="00F4430E">
        <w:rPr>
          <w:color w:val="000000"/>
        </w:rPr>
        <w:t xml:space="preserve"> </w:t>
      </w:r>
      <w:r w:rsidRPr="00F4430E">
        <w:rPr>
          <w:color w:val="000000"/>
        </w:rPr>
        <w:t>Pérez</w:t>
      </w:r>
      <w:r w:rsidRPr="00F4430E">
        <w:rPr>
          <w:color w:val="000000"/>
        </w:rPr>
        <w:t>·</w:t>
      </w:r>
    </w:p>
    <w:p w:rsidR="00F4430E" w:rsidRPr="00F4430E" w:rsidP="00F4430E" w14:paraId="01ACEE49" w14:textId="2E8A65FB">
      <w:pPr>
        <w:pStyle w:val="NormalHanging12a"/>
      </w:pPr>
      <w:r w:rsidRPr="00F4430E">
        <w:t>2.</w:t>
      </w:r>
      <w:r w:rsidRPr="00F4430E">
        <w:tab/>
        <w:t xml:space="preserve">αναθέτει στην Πρόεδρό του να διαβιβάσει αμελλητί την παρούσα απόφαση και την έκθεση της αρμόδιας επιτροπής του στις αρμόδιες αρχές του Βασιλείου της Ισπανίας και στον </w:t>
      </w:r>
      <w:r w:rsidRPr="00F4430E">
        <w:t>Alvise</w:t>
      </w:r>
      <w:r w:rsidRPr="00F4430E">
        <w:t xml:space="preserve"> </w:t>
      </w:r>
      <w:r w:rsidRPr="00F4430E">
        <w:t>Pérez</w:t>
      </w:r>
      <w:r w:rsidRPr="00F4430E">
        <w:t>.</w:t>
      </w:r>
    </w:p>
    <w:p w:rsidR="00E365E1" w:rsidRPr="00F4430E" w:rsidP="00102A61" w14:paraId="082139DE" w14:textId="26F35AF3"/>
    <w:sectPr w:rsidSect="00F4430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57B2274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1A0CF5F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7C70B9C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2A61" w:rsidRPr="00F4430E" w14:paraId="670FE8DF" w14:textId="77777777">
      <w:r w:rsidRPr="00F4430E">
        <w:separator/>
      </w:r>
    </w:p>
  </w:footnote>
  <w:footnote w:type="continuationSeparator" w:id="1">
    <w:p w:rsidR="00102A61" w:rsidRPr="00F4430E" w14:paraId="1DEFD54E" w14:textId="77777777">
      <w:r w:rsidRPr="00F4430E">
        <w:continuationSeparator/>
      </w:r>
    </w:p>
  </w:footnote>
  <w:footnote w:id="2">
    <w:p w:rsidR="00F77B1F" w:rsidRPr="00F4430E" w:rsidP="00F4430E" w14:paraId="144AD011" w14:textId="68A75D03">
      <w:pPr>
        <w:pStyle w:val="FootnoteText"/>
        <w:ind w:left="567" w:hanging="567"/>
        <w:rPr>
          <w:sz w:val="24"/>
          <w:lang w:val="el-GR"/>
        </w:rPr>
      </w:pPr>
      <w:r w:rsidRPr="00F4430E">
        <w:rPr>
          <w:rStyle w:val="FootnoteReference"/>
          <w:sz w:val="24"/>
          <w:lang w:val="el-GR"/>
        </w:rPr>
        <w:footnoteRef/>
      </w:r>
      <w:r w:rsidRPr="00F4430E" w:rsidR="00F4430E">
        <w:rPr>
          <w:sz w:val="24"/>
          <w:lang w:val="el-GR"/>
        </w:rPr>
        <w:t xml:space="preserve"> </w:t>
      </w:r>
      <w:r w:rsidRPr="00F4430E" w:rsidR="00F4430E">
        <w:rPr>
          <w:sz w:val="24"/>
          <w:lang w:val="el-GR"/>
        </w:rPr>
        <w:tab/>
      </w:r>
      <w:r w:rsidRPr="00F4430E">
        <w:rPr>
          <w:sz w:val="24"/>
          <w:lang w:val="el-GR"/>
        </w:rPr>
        <w:t xml:space="preserve">Απόφαση του Δικαστηρίου της 21ης Οκτωβρίου 2008, </w:t>
      </w:r>
      <w:r w:rsidRPr="00F4430E">
        <w:rPr>
          <w:sz w:val="24"/>
          <w:lang w:val="el-GR"/>
        </w:rPr>
        <w:t>Marra</w:t>
      </w:r>
      <w:r w:rsidRPr="00F4430E">
        <w:rPr>
          <w:sz w:val="24"/>
          <w:lang w:val="el-GR"/>
        </w:rPr>
        <w:t xml:space="preserve"> κατά De </w:t>
      </w:r>
      <w:r w:rsidRPr="00F4430E">
        <w:rPr>
          <w:sz w:val="24"/>
          <w:lang w:val="el-GR"/>
        </w:rPr>
        <w:t>Gregorio</w:t>
      </w:r>
      <w:r w:rsidRPr="00F4430E">
        <w:rPr>
          <w:sz w:val="24"/>
          <w:lang w:val="el-GR"/>
        </w:rPr>
        <w:t xml:space="preserve"> και </w:t>
      </w:r>
      <w:r w:rsidRPr="00F4430E">
        <w:rPr>
          <w:sz w:val="24"/>
          <w:lang w:val="el-GR"/>
        </w:rPr>
        <w:t>Clemente</w:t>
      </w:r>
      <w:r w:rsidRPr="00F4430E">
        <w:rPr>
          <w:sz w:val="24"/>
          <w:lang w:val="el-GR"/>
        </w:rPr>
        <w:t xml:space="preserve">, C-200/07 και C-201/07, ECLI:EU:C:2008:579· απόφαση του Δικαστηρίου της 19ης Μαρτίου 2010, </w:t>
      </w:r>
      <w:r w:rsidRPr="00F4430E">
        <w:rPr>
          <w:sz w:val="24"/>
          <w:lang w:val="el-GR"/>
        </w:rPr>
        <w:t>Gollnisch</w:t>
      </w:r>
      <w:r w:rsidRPr="00F4430E">
        <w:rPr>
          <w:sz w:val="24"/>
          <w:lang w:val="el-GR"/>
        </w:rPr>
        <w:t xml:space="preserve"> κατά Κοινοβουλίου, T-42/06, ECLI:EU:T:2010:102· απόφαση του Δικαστηρίου της 6ης Σεπτεμβρίου 2011, </w:t>
      </w:r>
      <w:r w:rsidRPr="00F4430E">
        <w:rPr>
          <w:sz w:val="24"/>
          <w:lang w:val="el-GR"/>
        </w:rPr>
        <w:t>Patriciello</w:t>
      </w:r>
      <w:r w:rsidRPr="00F4430E">
        <w:rPr>
          <w:sz w:val="24"/>
          <w:lang w:val="el-GR"/>
        </w:rPr>
        <w:t xml:space="preserve">, C-163/10, ECLI: EU:C:2011:543· απόφαση του Γενικού Δικαστηρίου της 17ης Ιανουαρίου 2013, </w:t>
      </w:r>
      <w:r w:rsidRPr="00F4430E">
        <w:rPr>
          <w:sz w:val="24"/>
          <w:lang w:val="el-GR"/>
        </w:rPr>
        <w:t>Gollnisch</w:t>
      </w:r>
      <w:r w:rsidRPr="00F4430E">
        <w:rPr>
          <w:sz w:val="24"/>
          <w:lang w:val="el-GR"/>
        </w:rPr>
        <w:t xml:space="preserve"> κατά Κοινοβουλίου, T-346/11 και T-347/11, ECLI:EU:T:2013:23· απόφαση του Δικαστηρίου της 19ης Δεκεμβρίου 2019, </w:t>
      </w:r>
      <w:r w:rsidRPr="00F4430E">
        <w:rPr>
          <w:sz w:val="24"/>
          <w:lang w:val="el-GR"/>
        </w:rPr>
        <w:t>Junqueras</w:t>
      </w:r>
      <w:r w:rsidRPr="00F4430E">
        <w:rPr>
          <w:sz w:val="24"/>
          <w:lang w:val="el-GR"/>
        </w:rPr>
        <w:t xml:space="preserve"> </w:t>
      </w:r>
      <w:r w:rsidRPr="00F4430E">
        <w:rPr>
          <w:sz w:val="24"/>
          <w:lang w:val="el-GR"/>
        </w:rPr>
        <w:t>Vies</w:t>
      </w:r>
      <w:r w:rsidRPr="00F4430E">
        <w:rPr>
          <w:sz w:val="24"/>
          <w:lang w:val="el-GR"/>
        </w:rPr>
        <w:t>, C-502/19, ECLI:EU:C:2019:1115.</w:t>
      </w:r>
    </w:p>
  </w:footnote>
  <w:footnote w:id="3">
    <w:p w:rsidR="00F77B1F" w:rsidRPr="00F4430E" w:rsidP="00F4430E" w14:paraId="151CE42F" w14:textId="1B410C51">
      <w:pPr>
        <w:pStyle w:val="FootnoteText"/>
        <w:ind w:left="567" w:hanging="567"/>
        <w:rPr>
          <w:sz w:val="24"/>
          <w:lang w:val="el-GR"/>
        </w:rPr>
      </w:pPr>
      <w:r w:rsidRPr="00F4430E">
        <w:rPr>
          <w:rStyle w:val="FootnoteReference"/>
          <w:sz w:val="24"/>
          <w:lang w:val="el-GR"/>
        </w:rPr>
        <w:footnoteRef/>
      </w:r>
      <w:r w:rsidRPr="00F4430E" w:rsidR="00F4430E">
        <w:rPr>
          <w:sz w:val="24"/>
          <w:lang w:val="el-GR"/>
        </w:rPr>
        <w:t xml:space="preserve"> </w:t>
      </w:r>
      <w:r w:rsidRPr="00F4430E" w:rsidR="00F4430E">
        <w:rPr>
          <w:sz w:val="24"/>
          <w:lang w:val="el-GR"/>
        </w:rPr>
        <w:tab/>
      </w:r>
      <w:r w:rsidRPr="00F4430E">
        <w:rPr>
          <w:sz w:val="24"/>
          <w:lang w:val="el-GR"/>
        </w:rPr>
        <w:t xml:space="preserve">Απόφαση του Δικαστηρίου της 30ής Απριλίου 2019, </w:t>
      </w:r>
      <w:r w:rsidRPr="00F4430E">
        <w:rPr>
          <w:sz w:val="24"/>
          <w:lang w:val="el-GR"/>
        </w:rPr>
        <w:t>Briois</w:t>
      </w:r>
      <w:r w:rsidRPr="00F4430E">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3992C32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335311B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430E" w14:paraId="40B17C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4616389">
    <w:abstractNumId w:val="9"/>
  </w:num>
  <w:num w:numId="2" w16cid:durableId="36972415">
    <w:abstractNumId w:val="9"/>
  </w:num>
  <w:num w:numId="3" w16cid:durableId="24211972">
    <w:abstractNumId w:val="7"/>
  </w:num>
  <w:num w:numId="4" w16cid:durableId="1241253688">
    <w:abstractNumId w:val="7"/>
  </w:num>
  <w:num w:numId="5" w16cid:durableId="1611206795">
    <w:abstractNumId w:val="6"/>
  </w:num>
  <w:num w:numId="6" w16cid:durableId="1669945464">
    <w:abstractNumId w:val="6"/>
  </w:num>
  <w:num w:numId="7" w16cid:durableId="2114860490">
    <w:abstractNumId w:val="5"/>
  </w:num>
  <w:num w:numId="8" w16cid:durableId="44329546">
    <w:abstractNumId w:val="5"/>
  </w:num>
  <w:num w:numId="9" w16cid:durableId="819004748">
    <w:abstractNumId w:val="4"/>
  </w:num>
  <w:num w:numId="10" w16cid:durableId="1785466015">
    <w:abstractNumId w:val="4"/>
  </w:num>
  <w:num w:numId="11" w16cid:durableId="1214583315">
    <w:abstractNumId w:val="8"/>
  </w:num>
  <w:num w:numId="12" w16cid:durableId="921794182">
    <w:abstractNumId w:val="8"/>
  </w:num>
  <w:num w:numId="13" w16cid:durableId="507789705">
    <w:abstractNumId w:val="3"/>
  </w:num>
  <w:num w:numId="14" w16cid:durableId="1113355378">
    <w:abstractNumId w:val="3"/>
  </w:num>
  <w:num w:numId="15" w16cid:durableId="1106578962">
    <w:abstractNumId w:val="2"/>
  </w:num>
  <w:num w:numId="16" w16cid:durableId="240990239">
    <w:abstractNumId w:val="2"/>
  </w:num>
  <w:num w:numId="17" w16cid:durableId="325478317">
    <w:abstractNumId w:val="1"/>
  </w:num>
  <w:num w:numId="18" w16cid:durableId="586354277">
    <w:abstractNumId w:val="1"/>
  </w:num>
  <w:num w:numId="19" w16cid:durableId="251864414">
    <w:abstractNumId w:val="0"/>
  </w:num>
  <w:num w:numId="20" w16cid:durableId="1038898231">
    <w:abstractNumId w:val="0"/>
  </w:num>
  <w:num w:numId="21" w16cid:durableId="1548253453">
    <w:abstractNumId w:val="9"/>
  </w:num>
  <w:num w:numId="22" w16cid:durableId="440026894">
    <w:abstractNumId w:val="7"/>
  </w:num>
  <w:num w:numId="23" w16cid:durableId="589777536">
    <w:abstractNumId w:val="6"/>
  </w:num>
  <w:num w:numId="24" w16cid:durableId="2061702752">
    <w:abstractNumId w:val="5"/>
  </w:num>
  <w:num w:numId="25" w16cid:durableId="1826433182">
    <w:abstractNumId w:val="4"/>
  </w:num>
  <w:num w:numId="26" w16cid:durableId="881868901">
    <w:abstractNumId w:val="8"/>
  </w:num>
  <w:num w:numId="27" w16cid:durableId="403534586">
    <w:abstractNumId w:val="3"/>
  </w:num>
  <w:num w:numId="28" w16cid:durableId="265621331">
    <w:abstractNumId w:val="2"/>
  </w:num>
  <w:num w:numId="29" w16cid:durableId="573782745">
    <w:abstractNumId w:val="1"/>
  </w:num>
  <w:num w:numId="30" w16cid:durableId="1080982584">
    <w:abstractNumId w:val="0"/>
  </w:num>
  <w:num w:numId="31" w16cid:durableId="1205948422">
    <w:abstractNumId w:val="9"/>
  </w:num>
  <w:num w:numId="32" w16cid:durableId="131212976">
    <w:abstractNumId w:val="7"/>
  </w:num>
  <w:num w:numId="33" w16cid:durableId="1914775593">
    <w:abstractNumId w:val="6"/>
  </w:num>
  <w:num w:numId="34" w16cid:durableId="861360967">
    <w:abstractNumId w:val="5"/>
  </w:num>
  <w:num w:numId="35" w16cid:durableId="533546248">
    <w:abstractNumId w:val="4"/>
  </w:num>
  <w:num w:numId="36" w16cid:durableId="2057005807">
    <w:abstractNumId w:val="8"/>
  </w:num>
  <w:num w:numId="37" w16cid:durableId="356123525">
    <w:abstractNumId w:val="3"/>
  </w:num>
  <w:num w:numId="38" w16cid:durableId="545609241">
    <w:abstractNumId w:val="2"/>
  </w:num>
  <w:num w:numId="39" w16cid:durableId="1482650905">
    <w:abstractNumId w:val="1"/>
  </w:num>
  <w:num w:numId="40" w16cid:durableId="859052372">
    <w:abstractNumId w:val="0"/>
  </w:num>
  <w:num w:numId="41" w16cid:durableId="844786996">
    <w:abstractNumId w:val="10"/>
  </w:num>
  <w:num w:numId="42" w16cid:durableId="934098249">
    <w:abstractNumId w:val="10"/>
  </w:num>
  <w:num w:numId="43" w16cid:durableId="336200203">
    <w:abstractNumId w:val="10"/>
  </w:num>
  <w:num w:numId="44" w16cid:durableId="574051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A61"/>
    <w:rsid w:val="00002272"/>
    <w:rsid w:val="00064002"/>
    <w:rsid w:val="000677B9"/>
    <w:rsid w:val="000831BA"/>
    <w:rsid w:val="000A42CC"/>
    <w:rsid w:val="000E7DD9"/>
    <w:rsid w:val="0010095E"/>
    <w:rsid w:val="00102A61"/>
    <w:rsid w:val="00125B37"/>
    <w:rsid w:val="00187494"/>
    <w:rsid w:val="001F32AE"/>
    <w:rsid w:val="002767FF"/>
    <w:rsid w:val="002B18FE"/>
    <w:rsid w:val="002B5493"/>
    <w:rsid w:val="002F0641"/>
    <w:rsid w:val="00343214"/>
    <w:rsid w:val="00361C00"/>
    <w:rsid w:val="00395FA1"/>
    <w:rsid w:val="003E15D4"/>
    <w:rsid w:val="00411CCE"/>
    <w:rsid w:val="0041666E"/>
    <w:rsid w:val="00421060"/>
    <w:rsid w:val="00471C19"/>
    <w:rsid w:val="004867E3"/>
    <w:rsid w:val="00494A28"/>
    <w:rsid w:val="004C0004"/>
    <w:rsid w:val="004C5D52"/>
    <w:rsid w:val="004F2526"/>
    <w:rsid w:val="004F3D66"/>
    <w:rsid w:val="0050519A"/>
    <w:rsid w:val="005072A1"/>
    <w:rsid w:val="00514517"/>
    <w:rsid w:val="00545827"/>
    <w:rsid w:val="00560270"/>
    <w:rsid w:val="00580DA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E02"/>
    <w:rsid w:val="008840E5"/>
    <w:rsid w:val="00887B3E"/>
    <w:rsid w:val="008C2AC6"/>
    <w:rsid w:val="00930C23"/>
    <w:rsid w:val="0093193B"/>
    <w:rsid w:val="009509D8"/>
    <w:rsid w:val="00950B64"/>
    <w:rsid w:val="00981893"/>
    <w:rsid w:val="009F6E31"/>
    <w:rsid w:val="00A1687D"/>
    <w:rsid w:val="00A43E52"/>
    <w:rsid w:val="00A4678D"/>
    <w:rsid w:val="00A778C7"/>
    <w:rsid w:val="00AB441E"/>
    <w:rsid w:val="00AB6293"/>
    <w:rsid w:val="00AE0928"/>
    <w:rsid w:val="00AF3B82"/>
    <w:rsid w:val="00B12E95"/>
    <w:rsid w:val="00B22876"/>
    <w:rsid w:val="00B412B8"/>
    <w:rsid w:val="00B558F0"/>
    <w:rsid w:val="00BB26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289"/>
    <w:rsid w:val="00E365E1"/>
    <w:rsid w:val="00E51082"/>
    <w:rsid w:val="00E7740B"/>
    <w:rsid w:val="00E820A4"/>
    <w:rsid w:val="00EB006A"/>
    <w:rsid w:val="00EB4772"/>
    <w:rsid w:val="00ED169E"/>
    <w:rsid w:val="00ED4235"/>
    <w:rsid w:val="00F04346"/>
    <w:rsid w:val="00F075DC"/>
    <w:rsid w:val="00F149E9"/>
    <w:rsid w:val="00F41B29"/>
    <w:rsid w:val="00F4430E"/>
    <w:rsid w:val="00F5134D"/>
    <w:rsid w:val="00F74202"/>
    <w:rsid w:val="00F77B1F"/>
    <w:rsid w:val="00F87713"/>
    <w:rsid w:val="00FB4360"/>
    <w:rsid w:val="00FD0C70"/>
  </w:rsids>
  <w:docVars>
    <w:docVar w:name="dvdocse" w:val="A10-0119/2026"/>
    <w:docVar w:name="dvlangue" w:val="EL"/>
    <w:docVar w:name="dvnumam" w:val="0"/>
    <w:docVar w:name="dvpe" w:val="784.496"/>
    <w:docVar w:name="dvrapporteur" w:val="Εισηγητής: "/>
    <w:docVar w:name="dvtitre" w:val="Απόφαση του Ευρωπαϊκού Κοινοβουλίου της ... 2026 σχετικά με το αίτημα για την άρση της ασυλίας του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8C148F"/>
  <w15:chartTrackingRefBased/>
  <w15:docId w15:val="{57710860-3215-40B2-8D4B-D221BEB0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77B1F"/>
    <w:pPr>
      <w:spacing w:after="240"/>
    </w:pPr>
  </w:style>
  <w:style w:type="paragraph" w:customStyle="1" w:styleId="NormalHanging12a">
    <w:name w:val="NormalHanging12a"/>
    <w:basedOn w:val="Normal"/>
    <w:rsid w:val="00F77B1F"/>
    <w:pPr>
      <w:spacing w:after="240"/>
      <w:ind w:left="567" w:hanging="567"/>
    </w:pPr>
  </w:style>
  <w:style w:type="paragraph" w:customStyle="1" w:styleId="EPComma">
    <w:name w:val="EPComma"/>
    <w:basedOn w:val="Normal"/>
    <w:rsid w:val="00F77B1F"/>
    <w:pPr>
      <w:spacing w:before="480" w:after="240"/>
    </w:pPr>
  </w:style>
  <w:style w:type="paragraph" w:customStyle="1" w:styleId="Normal12Hanging">
    <w:name w:val="Normal12Hanging"/>
    <w:basedOn w:val="Normal"/>
    <w:rsid w:val="00F77B1F"/>
    <w:pPr>
      <w:spacing w:after="240"/>
      <w:ind w:left="567" w:hanging="567"/>
    </w:pPr>
  </w:style>
  <w:style w:type="paragraph" w:styleId="Revision">
    <w:name w:val="Revision"/>
    <w:hidden/>
    <w:uiPriority w:val="99"/>
    <w:semiHidden/>
    <w:rsid w:val="00E5108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846</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2026-06-04T12:19:00Z</dcterms:created>
  <dcterms:modified xsi:type="dcterms:W3CDTF">2026-06-04T12:19:00Z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A10-0119/2026</vt:lpwstr>
  </property>
  <property fmtid="{D5CDD505-2E9C-101B-9397-08002B2CF9AE}" pid="4" name="&lt;Type&gt;">
    <vt:lpwstr>RR</vt:lpwstr>
  </property>
</Properties>
</file>