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53C53E" w14:textId="77777777" w:rsidTr="0010095E">
        <w:tblPrEx>
          <w:tblW w:w="9072" w:type="dxa"/>
          <w:tblLook w:val="01E0"/>
        </w:tblPrEx>
        <w:trPr>
          <w:trHeight w:hRule="exact" w:val="1418"/>
        </w:trPr>
        <w:tc>
          <w:tcPr>
            <w:tcW w:w="6804" w:type="dxa"/>
            <w:shd w:val="clear" w:color="auto" w:fill="auto"/>
            <w:vAlign w:val="center"/>
          </w:tcPr>
          <w:p w:rsidR="00751A4A" w:rsidRPr="00BA628F" w:rsidP="0010095E" w14:paraId="7A7242D1" w14:textId="77777777">
            <w:pPr>
              <w:pStyle w:val="EPName"/>
            </w:pPr>
            <w:r w:rsidRPr="00BA628F">
              <w:t>Euroopa Parlament</w:t>
            </w:r>
          </w:p>
          <w:p w:rsidR="00751A4A" w:rsidRPr="00BA628F" w:rsidP="005F1B17" w14:paraId="0C7A3A99" w14:textId="77777777">
            <w:pPr>
              <w:pStyle w:val="EPTerm"/>
              <w:rPr>
                <w:rStyle w:val="HideTWBExt"/>
                <w:noProof w:val="0"/>
                <w:vanish w:val="0"/>
                <w:color w:val="auto"/>
              </w:rPr>
            </w:pPr>
            <w:r w:rsidRPr="00BA628F">
              <w:t>2024</w:t>
            </w:r>
            <w:r w:rsidRPr="00BA628F" w:rsidR="00817416">
              <w:t>-202</w:t>
            </w:r>
            <w:r w:rsidRPr="00BA628F">
              <w:t>9</w:t>
            </w:r>
          </w:p>
        </w:tc>
        <w:tc>
          <w:tcPr>
            <w:tcW w:w="2268" w:type="dxa"/>
            <w:shd w:val="clear" w:color="auto" w:fill="auto"/>
          </w:tcPr>
          <w:p w:rsidR="00751A4A" w:rsidRPr="00BA628F" w:rsidP="0010095E" w14:paraId="4826BDFF" w14:textId="77777777">
            <w:pPr>
              <w:pStyle w:val="EPLogo"/>
            </w:pPr>
            <w:r w:rsidRPr="00BA628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A628F" w:rsidP="004C5D52" w14:paraId="55C29AB0" w14:textId="77777777">
      <w:pPr>
        <w:pStyle w:val="LineTop"/>
      </w:pPr>
    </w:p>
    <w:p w:rsidR="00680577" w:rsidRPr="00BA628F" w:rsidP="00680577" w14:paraId="25B53080" w14:textId="77777777">
      <w:pPr>
        <w:pStyle w:val="EPBodyTA1"/>
      </w:pPr>
      <w:r w:rsidRPr="00BA628F">
        <w:t>VASTUVÕETUD TEKSTID</w:t>
      </w:r>
    </w:p>
    <w:p w:rsidR="00D058B8" w:rsidRPr="00BA628F" w:rsidP="00D058B8" w14:paraId="33125AD2" w14:textId="77777777">
      <w:pPr>
        <w:pStyle w:val="LineBottom"/>
      </w:pPr>
    </w:p>
    <w:p w:rsidR="00C13E05" w:rsidRPr="00BA628F" w:rsidP="00C13E05" w14:paraId="6232E63B" w14:textId="4F6866D2">
      <w:pPr>
        <w:pStyle w:val="ATHeading1"/>
      </w:pPr>
      <w:bookmarkStart w:id="0" w:name="TANumber"/>
      <w:r w:rsidRPr="00BA628F">
        <w:t>P10_TA(2026)0</w:t>
      </w:r>
      <w:r w:rsidRPr="00BA628F" w:rsidR="002B7C40">
        <w:t>110</w:t>
      </w:r>
      <w:bookmarkEnd w:id="0"/>
    </w:p>
    <w:p w:rsidR="00C13E05" w:rsidRPr="00BA628F" w:rsidP="00C13E05" w14:paraId="55B74B43" w14:textId="77777777">
      <w:pPr>
        <w:pStyle w:val="ATHeading2"/>
      </w:pPr>
      <w:bookmarkStart w:id="1" w:name="title"/>
      <w:r w:rsidRPr="00BA628F">
        <w:t>Alvise</w:t>
      </w:r>
      <w:r w:rsidRPr="00BA628F">
        <w:t xml:space="preserve"> </w:t>
      </w:r>
      <w:r w:rsidRPr="00BA628F">
        <w:t>Pérezi</w:t>
      </w:r>
      <w:r w:rsidRPr="00BA628F">
        <w:t xml:space="preserve"> puutumatuse äravõtmise taotlus</w:t>
      </w:r>
      <w:bookmarkEnd w:id="1"/>
    </w:p>
    <w:p w:rsidR="00C13E05" w:rsidRPr="00BA628F" w:rsidP="00C13E05" w14:paraId="73CF1D68" w14:textId="77777777">
      <w:pPr>
        <w:rPr>
          <w:i/>
          <w:vanish/>
        </w:rPr>
      </w:pPr>
      <w:r>
        <w:rPr>
          <w:i/>
        </w:rPr>
        <w:fldChar w:fldCharType="begin"/>
      </w:r>
      <w:r w:rsidRPr="00BA628F">
        <w:rPr>
          <w:i/>
        </w:rPr>
        <w:instrText xml:space="preserve"> TC"(</w:instrText>
      </w:r>
      <w:bookmarkStart w:id="2" w:name="DocNumber"/>
      <w:r w:rsidRPr="00BA628F">
        <w:rPr>
          <w:i/>
        </w:rPr>
        <w:instrText>A10-0119/2026</w:instrText>
      </w:r>
      <w:bookmarkEnd w:id="2"/>
      <w:r w:rsidRPr="00BA628F">
        <w:rPr>
          <w:i/>
        </w:rPr>
        <w:instrText xml:space="preserve"> - Raportöör: Mario Furore)"\l3 \n&gt; \* MERGEFORMAT </w:instrText>
      </w:r>
      <w:r>
        <w:rPr>
          <w:i/>
        </w:rPr>
        <w:fldChar w:fldCharType="end"/>
      </w:r>
    </w:p>
    <w:p w:rsidR="00C13E05" w:rsidRPr="00BA628F" w:rsidP="00C13E05" w14:paraId="6BA81757" w14:textId="77777777">
      <w:pPr>
        <w:rPr>
          <w:vanish/>
        </w:rPr>
      </w:pPr>
      <w:bookmarkStart w:id="3" w:name="Commission"/>
      <w:r w:rsidRPr="00BA628F">
        <w:rPr>
          <w:vanish/>
        </w:rPr>
        <w:t>Õiguskomisjon</w:t>
      </w:r>
      <w:bookmarkEnd w:id="3"/>
    </w:p>
    <w:p w:rsidR="00C13E05" w:rsidRPr="00BA628F" w:rsidP="00C13E05" w14:paraId="2A94487D" w14:textId="77777777">
      <w:pPr>
        <w:rPr>
          <w:vanish/>
        </w:rPr>
      </w:pPr>
      <w:bookmarkStart w:id="4" w:name="PE"/>
      <w:r w:rsidRPr="00BA628F">
        <w:rPr>
          <w:vanish/>
        </w:rPr>
        <w:t>PE784.496</w:t>
      </w:r>
      <w:bookmarkEnd w:id="4"/>
    </w:p>
    <w:p w:rsidR="00C13E05" w:rsidRPr="00BA628F" w:rsidP="007F06C2" w14:paraId="40400B9A" w14:textId="735CB2B6">
      <w:pPr>
        <w:pStyle w:val="ATHeading3"/>
      </w:pPr>
      <w:bookmarkStart w:id="5" w:name="Sujet"/>
      <w:r w:rsidRPr="00BA628F">
        <w:t xml:space="preserve">Euroopa Parlamendi </w:t>
      </w:r>
      <w:r w:rsidRPr="00BA628F" w:rsidR="007F06C2">
        <w:t>28</w:t>
      </w:r>
      <w:r w:rsidRPr="00BA628F">
        <w:t>.</w:t>
      </w:r>
      <w:r w:rsidRPr="00BA628F" w:rsidR="007F06C2">
        <w:t> aprilli</w:t>
      </w:r>
      <w:r w:rsidRPr="00BA628F">
        <w:t xml:space="preserve"> 2026.</w:t>
      </w:r>
      <w:r w:rsidRPr="00BA628F" w:rsidR="007F06C2">
        <w:t> </w:t>
      </w:r>
      <w:r w:rsidRPr="00BA628F">
        <w:t xml:space="preserve">aasta otsus </w:t>
      </w:r>
      <w:r w:rsidRPr="00BA628F">
        <w:t>Alvise</w:t>
      </w:r>
      <w:r w:rsidRPr="00BA628F">
        <w:t xml:space="preserve"> </w:t>
      </w:r>
      <w:r w:rsidRPr="00BA628F">
        <w:t>Pérezi</w:t>
      </w:r>
      <w:r w:rsidRPr="00BA628F">
        <w:t xml:space="preserve"> puutumatuse äravõtmise taotluse kohta</w:t>
      </w:r>
      <w:bookmarkEnd w:id="5"/>
      <w:r w:rsidRPr="00BA628F">
        <w:t xml:space="preserve"> </w:t>
      </w:r>
      <w:bookmarkStart w:id="6" w:name="References"/>
      <w:r w:rsidRPr="00BA628F">
        <w:t>(2025/2222(IMM))</w:t>
      </w:r>
      <w:bookmarkEnd w:id="6"/>
    </w:p>
    <w:p w:rsidR="00E6640E" w:rsidRPr="00BA628F" w:rsidP="007F06C2" w14:paraId="25CC6931" w14:textId="77777777">
      <w:pPr>
        <w:pStyle w:val="EPComma"/>
      </w:pPr>
      <w:bookmarkStart w:id="7" w:name="TextBodyBegin"/>
      <w:bookmarkEnd w:id="7"/>
      <w:r w:rsidRPr="00BA628F">
        <w:rPr>
          <w:i/>
        </w:rPr>
        <w:t>Euroopa Parlament</w:t>
      </w:r>
      <w:r w:rsidRPr="00BA628F">
        <w:t>,</w:t>
      </w:r>
    </w:p>
    <w:p w:rsidR="00E6640E" w:rsidRPr="00BA628F" w:rsidP="007F06C2" w14:paraId="2DEC35E6" w14:textId="695385D2">
      <w:pPr>
        <w:pStyle w:val="NormalHanging12a"/>
      </w:pPr>
      <w:r w:rsidRPr="00BA628F">
        <w:t>–</w:t>
      </w:r>
      <w:r w:rsidRPr="00BA628F">
        <w:tab/>
        <w:t xml:space="preserve">võttes arvesse </w:t>
      </w:r>
      <w:r w:rsidRPr="00BA628F">
        <w:t>Alvise</w:t>
      </w:r>
      <w:r w:rsidRPr="00BA628F">
        <w:t xml:space="preserve"> </w:t>
      </w:r>
      <w:r w:rsidRPr="00BA628F">
        <w:t>Pérezi</w:t>
      </w:r>
      <w:r w:rsidRPr="00BA628F">
        <w:t xml:space="preserve"> (Luis </w:t>
      </w:r>
      <w:r w:rsidRPr="00BA628F">
        <w:t>Pérez</w:t>
      </w:r>
      <w:r w:rsidRPr="00BA628F">
        <w:t xml:space="preserve"> </w:t>
      </w:r>
      <w:r w:rsidRPr="00BA628F">
        <w:t>Fernández</w:t>
      </w:r>
      <w:r w:rsidRPr="00BA628F">
        <w:t>) puutumatuse äravõtmise taotlust, mille esitas Hispaania kõrgeim kohus 7. oktoobri 2025. aasta kirjaga seoses kriminaalmenetlusega, mida tema suhtes alustada soovitakse, ja mis tehti teatavaks Euroopa Parlamendi täiskogu istungil 22. oktoobril 2025. aastal,</w:t>
      </w:r>
    </w:p>
    <w:p w:rsidR="00E6640E" w:rsidRPr="00BA628F" w:rsidP="007F06C2" w14:paraId="59DC7BC4" w14:textId="5BED1D68">
      <w:pPr>
        <w:pStyle w:val="NormalHanging12a"/>
      </w:pPr>
      <w:r w:rsidRPr="00BA628F">
        <w:t>–</w:t>
      </w:r>
      <w:r w:rsidRPr="00BA628F">
        <w:tab/>
        <w:t>olles 24. märtsil 2026</w:t>
      </w:r>
      <w:r w:rsidRPr="00BA628F" w:rsidR="00B0538D">
        <w:t>. aastal</w:t>
      </w:r>
      <w:r w:rsidRPr="00BA628F">
        <w:t xml:space="preserve"> vastavalt kodukorra artikli 9 lõikele 6 kuulanud ära </w:t>
      </w:r>
      <w:r w:rsidRPr="00BA628F">
        <w:t>Alvise</w:t>
      </w:r>
      <w:r w:rsidRPr="00BA628F">
        <w:t xml:space="preserve"> </w:t>
      </w:r>
      <w:r w:rsidRPr="00BA628F">
        <w:t>Pérezi</w:t>
      </w:r>
      <w:r w:rsidRPr="00BA628F">
        <w:t xml:space="preserve"> selgitused,</w:t>
      </w:r>
    </w:p>
    <w:p w:rsidR="00E6640E" w:rsidRPr="00BA628F" w:rsidP="007F06C2" w14:paraId="7A84E56B" w14:textId="77777777">
      <w:pPr>
        <w:pStyle w:val="NormalHanging12a"/>
      </w:pPr>
      <w:r w:rsidRPr="00BA628F">
        <w:t>–</w:t>
      </w:r>
      <w:r w:rsidRPr="00BA628F">
        <w:tab/>
        <w:t>võttes arvesse protokolli nr 7 (Euroopa Liidu privileegide ja immuniteetide kohta) artikleid 8 ja 9 ning otsestel ja üldistel valimistel Euroopa Parlamendi liikmete valimist käsitleva 20. septembri 1976. aasta akti artikli 6 lõiget 2,</w:t>
      </w:r>
    </w:p>
    <w:p w:rsidR="00E6640E" w:rsidRPr="00BA628F" w:rsidP="007F06C2" w14:paraId="57622431" w14:textId="77777777">
      <w:pPr>
        <w:pStyle w:val="NormalHanging12a"/>
      </w:pPr>
      <w:r w:rsidRPr="00BA628F">
        <w:t>–</w:t>
      </w:r>
      <w:r w:rsidRPr="00BA628F">
        <w:tab/>
        <w:t>võttes arvesse Euroopa Liidu Kohtu 21. oktoobri 2008. aasta, 19. märtsi 2010. aasta, 6. septembri 2011. aasta, 17. jaanuari 2013. aasta ja 19. detsembri 2019. aasta otsuseid</w:t>
      </w:r>
      <w:r>
        <w:rPr>
          <w:rStyle w:val="FootnoteReference"/>
          <w:color w:val="000000"/>
        </w:rPr>
        <w:footnoteReference w:id="2"/>
      </w:r>
      <w:r w:rsidRPr="00BA628F">
        <w:t>,</w:t>
      </w:r>
    </w:p>
    <w:p w:rsidR="00E6640E" w:rsidRPr="00BA628F" w:rsidP="007F06C2" w14:paraId="6B136269" w14:textId="77777777">
      <w:pPr>
        <w:pStyle w:val="NormalHanging12a"/>
      </w:pPr>
      <w:r w:rsidRPr="00BA628F">
        <w:t>–</w:t>
      </w:r>
      <w:r w:rsidRPr="00BA628F">
        <w:tab/>
        <w:t>võttes arvesse Hispaania põhiseaduse artikli 71 lõikeid 1 ja 2,</w:t>
      </w:r>
    </w:p>
    <w:p w:rsidR="00E6640E" w:rsidRPr="00BA628F" w:rsidP="007F06C2" w14:paraId="61B34496" w14:textId="77777777">
      <w:pPr>
        <w:pStyle w:val="NormalHanging12a"/>
      </w:pPr>
      <w:r w:rsidRPr="00BA628F">
        <w:t>–</w:t>
      </w:r>
      <w:r w:rsidRPr="00BA628F">
        <w:tab/>
        <w:t>võttes arvesse kodukorra artikli 5 lõiget 2, artikli 6 lõiget 1 ja artiklit 9,</w:t>
      </w:r>
    </w:p>
    <w:p w:rsidR="00E6640E" w:rsidRPr="00BA628F" w:rsidP="007F06C2" w14:paraId="355B24CE" w14:textId="77777777">
      <w:pPr>
        <w:pStyle w:val="NormalHanging12a"/>
      </w:pPr>
      <w:r w:rsidRPr="00BA628F">
        <w:t>–</w:t>
      </w:r>
      <w:r w:rsidRPr="00BA628F">
        <w:tab/>
        <w:t>võttes arvesse õiguskomisjoni raportit (A10-0119/2026),</w:t>
      </w:r>
    </w:p>
    <w:p w:rsidR="00E6640E" w:rsidRPr="00BA628F" w:rsidP="007F06C2" w14:paraId="049FC569" w14:textId="77777777">
      <w:pPr>
        <w:pStyle w:val="NormalHanging12a"/>
      </w:pPr>
      <w:r w:rsidRPr="00BA628F">
        <w:t>A.</w:t>
      </w:r>
      <w:r w:rsidRPr="00BA628F">
        <w:tab/>
        <w:t xml:space="preserve">arvestades, et Hispaania kõrgeima kohtu esimees esitas 7. oktoobri 2025. aasta kirjaga </w:t>
      </w:r>
      <w:r w:rsidRPr="00BA628F">
        <w:t xml:space="preserve">taotluse võtta ära Hispaaniast valitud Euroopa Parlamendi liikme </w:t>
      </w:r>
      <w:r w:rsidRPr="00BA628F">
        <w:t>Alvise</w:t>
      </w:r>
      <w:r w:rsidRPr="00BA628F">
        <w:t xml:space="preserve"> </w:t>
      </w:r>
      <w:r w:rsidRPr="00BA628F">
        <w:t>Pérezi</w:t>
      </w:r>
      <w:r w:rsidRPr="00BA628F">
        <w:t xml:space="preserve"> puutumatus seoses väidetavate süütegudega, mis pandi toime 2024. aastal;</w:t>
      </w:r>
    </w:p>
    <w:p w:rsidR="00E6640E" w:rsidRPr="00BA628F" w:rsidP="00BA628F" w14:paraId="00650711" w14:textId="262A268F">
      <w:pPr>
        <w:pStyle w:val="Normal12a"/>
        <w:ind w:left="567" w:hanging="567"/>
      </w:pPr>
      <w:r w:rsidRPr="00BA628F">
        <w:rPr>
          <w:shd w:val="clear" w:color="auto" w:fill="FFFFFF"/>
        </w:rPr>
        <w:t>B.</w:t>
      </w:r>
      <w:r w:rsidRPr="00BA628F">
        <w:rPr>
          <w:shd w:val="clear" w:color="auto" w:fill="FFFFFF"/>
        </w:rPr>
        <w:tab/>
      </w:r>
      <w:r w:rsidRPr="00BA628F">
        <w:t>arvestades, et taotluse</w:t>
      </w:r>
      <w:r w:rsidRPr="00BA628F" w:rsidR="007F06C2">
        <w:t xml:space="preserve"> kohaselt avaldas</w:t>
      </w:r>
      <w:r w:rsidRPr="00BA628F">
        <w:t xml:space="preserve"> 2024. aasta jaanuaris ja veebruaris </w:t>
      </w:r>
      <w:r w:rsidRPr="00BA628F">
        <w:t>Telegrami</w:t>
      </w:r>
      <w:r w:rsidRPr="00BA628F">
        <w:t xml:space="preserve"> kanali „</w:t>
      </w:r>
      <w:r w:rsidRPr="00BA628F">
        <w:t>Alvise</w:t>
      </w:r>
      <w:r w:rsidRPr="00BA628F">
        <w:t xml:space="preserve"> </w:t>
      </w:r>
      <w:r w:rsidRPr="00BA628F">
        <w:t>Pérez</w:t>
      </w:r>
      <w:r w:rsidRPr="00BA628F">
        <w:t xml:space="preserve"> Chat“ haldaja </w:t>
      </w:r>
      <w:r w:rsidRPr="00BA628F" w:rsidR="007F06C2">
        <w:t xml:space="preserve">väidetavalt </w:t>
      </w:r>
      <w:r w:rsidRPr="00BA628F">
        <w:t xml:space="preserve">avaldused, milles on märgitud nende isikute nimed, kes </w:t>
      </w:r>
      <w:r w:rsidRPr="00BA628F" w:rsidR="007F06C2">
        <w:t>„</w:t>
      </w:r>
      <w:r w:rsidRPr="00BA628F">
        <w:t>vastutavad vaenukuritegude nime all tuntud ideoloogilise tagakiusamise eest</w:t>
      </w:r>
      <w:r w:rsidRPr="00BA628F" w:rsidR="007F06C2">
        <w:t>“</w:t>
      </w:r>
      <w:r w:rsidRPr="00BA628F">
        <w:t>, osutades eelkõige vaenukuritegudega tegelevale delegaatprokurörile Valencias; arvestades, et selles kanalis avaldatud avaldustele reageeris kohe märkimisväärne arv kanali jälgijad, kes saatsid kõnealusele delegaatprokurörile rohkem kui 1</w:t>
      </w:r>
      <w:r w:rsidRPr="00BA628F" w:rsidR="007F06C2">
        <w:t> </w:t>
      </w:r>
      <w:r w:rsidRPr="00BA628F">
        <w:t>500 kommentaari, mis olid peamiselt solvavat laadi; arvestades, et väidetav tegu võib olla Hispaania karistusseadustiku artikli 172b ja artikli 18 lõike 1 (koostoimes sama seaduse artikliga 553) kohaselt käsitatav selliste süütegudena nagu ahistamine või jälitamine, ametiasutuse või ametiisiku vastu suunatud rünnakule kihutamine, sund ja/või vaenu õhutavate sõnumite levitamine sotsiaalmeedias;</w:t>
      </w:r>
    </w:p>
    <w:p w:rsidR="00E6640E" w:rsidRPr="00BA628F" w:rsidP="007F06C2" w14:paraId="3ECCDA50" w14:textId="7A466F76">
      <w:pPr>
        <w:pStyle w:val="NormalHanging12a"/>
        <w:rPr>
          <w:szCs w:val="24"/>
          <w:shd w:val="clear" w:color="auto" w:fill="FFFFFF"/>
        </w:rPr>
      </w:pPr>
      <w:r w:rsidRPr="00BA628F">
        <w:t>C.</w:t>
      </w:r>
      <w:r w:rsidRPr="00BA628F">
        <w:tab/>
        <w:t xml:space="preserve">arvestades, et </w:t>
      </w:r>
      <w:r w:rsidRPr="00BA628F">
        <w:t>Alvise</w:t>
      </w:r>
      <w:r w:rsidRPr="00BA628F">
        <w:t xml:space="preserve"> </w:t>
      </w:r>
      <w:r w:rsidRPr="00BA628F">
        <w:t>Pérez</w:t>
      </w:r>
      <w:r w:rsidRPr="00BA628F">
        <w:t xml:space="preserve"> valiti Euroopa Parlamenti 2024. aasta juunis toimunud Euroopa Parlamendi valimistel ja </w:t>
      </w:r>
      <w:r w:rsidRPr="00BA628F" w:rsidR="007F06C2">
        <w:t xml:space="preserve">seega oli </w:t>
      </w:r>
      <w:r w:rsidRPr="00BA628F">
        <w:t>ta väidetavate süütegude toimepanemise ajal Euroopa Parlamendi liige;</w:t>
      </w:r>
    </w:p>
    <w:p w:rsidR="00E6640E" w:rsidRPr="00BA628F" w:rsidP="007F06C2" w14:paraId="53DFFF50" w14:textId="77777777">
      <w:pPr>
        <w:pStyle w:val="NormalHanging12a"/>
      </w:pPr>
      <w:r w:rsidRPr="00BA628F">
        <w:t>D.</w:t>
      </w:r>
      <w:r w:rsidRPr="00BA628F">
        <w:tab/>
        <w:t xml:space="preserve">arvestades, et väidetavad süüteod ja neile järgnenud taotlus võtta ära </w:t>
      </w:r>
      <w:r w:rsidRPr="00BA628F">
        <w:t>Alvise</w:t>
      </w:r>
      <w:r w:rsidRPr="00BA628F">
        <w:t xml:space="preserve"> </w:t>
      </w:r>
      <w:r w:rsidRPr="00BA628F">
        <w:t>Pérezi</w:t>
      </w:r>
      <w:r w:rsidRPr="00BA628F">
        <w:t xml:space="preserve"> puutumatus ei ole seotud </w:t>
      </w:r>
      <w:r w:rsidRPr="00BA628F">
        <w:t>Alvise</w:t>
      </w:r>
      <w:r w:rsidRPr="00BA628F">
        <w:t xml:space="preserve"> </w:t>
      </w:r>
      <w:r w:rsidRPr="00BA628F">
        <w:t>Pérezi</w:t>
      </w:r>
      <w:r w:rsidRPr="00BA628F">
        <w:t xml:space="preserve"> kui parlamendiliikme kohustuste täitmisel avaldatud arvamuse ega antud häälega protokolli nr 7 (Euroopa Liidu privileegide ja immuniteetide kohta) artikli 8 tähenduses;</w:t>
      </w:r>
    </w:p>
    <w:p w:rsidR="00E6640E" w:rsidRPr="00BA628F" w:rsidP="007F06C2" w14:paraId="53527687" w14:textId="77777777">
      <w:pPr>
        <w:pStyle w:val="NormalHanging12a"/>
      </w:pPr>
      <w:r w:rsidRPr="00BA628F">
        <w:t>E.</w:t>
      </w:r>
      <w:r w:rsidRPr="00BA628F">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rsidR="00E6640E" w:rsidRPr="00BA628F" w:rsidP="007F06C2" w14:paraId="1D9A0A69" w14:textId="77777777">
      <w:pPr>
        <w:pStyle w:val="Normal12Hanging"/>
      </w:pPr>
      <w:r w:rsidRPr="00BA628F">
        <w:t>F.</w:t>
      </w:r>
      <w:r w:rsidRPr="00BA628F">
        <w:tab/>
        <w:t>arvestades, et Hispaania põhiseaduse artikli 71 lõigetes 1 ja 2 on sätestatud, et:</w:t>
      </w:r>
    </w:p>
    <w:p w:rsidR="00E6640E" w:rsidRPr="00BA628F" w:rsidP="00BA628F" w14:paraId="398E312A" w14:textId="7B2EEC43">
      <w:pPr>
        <w:pStyle w:val="Normal12Hanging"/>
        <w:ind w:left="1134"/>
        <w:rPr>
          <w:iCs/>
        </w:rPr>
      </w:pPr>
      <w:r w:rsidRPr="00BA628F">
        <w:t>„</w:t>
      </w:r>
      <w:r w:rsidRPr="00BA628F">
        <w:t>1)</w:t>
      </w:r>
      <w:r w:rsidRPr="00BA628F">
        <w:tab/>
        <w:t>Parlamendi alamkoja liikmetel ja senaatoritel on oma ülesannete täitmisel väljendatud seisukohtade suhtes täielik puutumatus</w:t>
      </w:r>
      <w:r w:rsidRPr="00BA628F">
        <w:t>.</w:t>
      </w:r>
    </w:p>
    <w:p w:rsidR="00E6640E" w:rsidRPr="00BA628F" w:rsidP="00BA628F" w14:paraId="1F00FBFD" w14:textId="1EB05A19">
      <w:pPr>
        <w:pStyle w:val="NormalHanging12a"/>
        <w:ind w:left="1134"/>
        <w:rPr>
          <w:iCs/>
          <w:color w:val="000000"/>
        </w:rPr>
      </w:pPr>
      <w:r w:rsidRPr="00BA628F">
        <w:t>2)</w:t>
      </w:r>
      <w:r w:rsidRPr="00BA628F" w:rsidR="007F06C2">
        <w:tab/>
        <w:t>Parlamendi alamkoja liikmetel ja senaatoritel on oma ametiajal ka menetluslik puutumatus ning neid võib vahistada ainult õigusrikkumiselt tabamise korral. Neile ei või süüdistust esitada ega neid kohtu alla anda ilma parlamendi vastava koja eelneva loata.“</w:t>
      </w:r>
      <w:r w:rsidRPr="00BA628F">
        <w:t>;</w:t>
      </w:r>
    </w:p>
    <w:p w:rsidR="00E6640E" w:rsidRPr="00BA628F" w:rsidP="007F06C2" w14:paraId="03CFE9B0" w14:textId="5703992A">
      <w:pPr>
        <w:pStyle w:val="NormalHanging12a"/>
        <w:rPr>
          <w:color w:val="000000"/>
        </w:rPr>
      </w:pPr>
      <w:r w:rsidRPr="00BA628F">
        <w:rPr>
          <w:color w:val="000000"/>
        </w:rPr>
        <w:t>G.</w:t>
      </w:r>
      <w:r w:rsidRPr="00BA628F">
        <w:rPr>
          <w:color w:val="000000"/>
        </w:rPr>
        <w:tab/>
        <w:t>arvestades, et protokollis nr 7 (Euroopa Liidu privileegide ja immuniteetide kohta) sätes</w:t>
      </w:r>
      <w:r w:rsidRPr="00BA628F" w:rsidR="00776E47">
        <w:rPr>
          <w:color w:val="000000"/>
        </w:rPr>
        <w:t>t</w:t>
      </w:r>
      <w:r w:rsidRPr="00BA628F">
        <w:rPr>
          <w:color w:val="000000"/>
        </w:rPr>
        <w:t xml:space="preserve">atud puutumatuse eesmärk on kaitsta </w:t>
      </w:r>
      <w:r w:rsidRPr="00BA628F" w:rsidR="00776E47">
        <w:rPr>
          <w:color w:val="000000"/>
        </w:rPr>
        <w:t>Euroopa P</w:t>
      </w:r>
      <w:r w:rsidRPr="00BA628F">
        <w:rPr>
          <w:color w:val="000000"/>
        </w:rPr>
        <w:t xml:space="preserve">arlamenti ja selle liikmeid kohtumenetluse eest, </w:t>
      </w:r>
      <w:r w:rsidRPr="00BA628F" w:rsidR="00776E47">
        <w:rPr>
          <w:color w:val="000000"/>
        </w:rPr>
        <w:t xml:space="preserve">milles </w:t>
      </w:r>
      <w:r w:rsidRPr="00BA628F">
        <w:rPr>
          <w:color w:val="000000"/>
        </w:rPr>
        <w:t>käsitletakse parlamendiliikme kohustuste täitmise käigus toimunud ja nendega lahutamatult seotud tegevust;</w:t>
      </w:r>
    </w:p>
    <w:p w:rsidR="00E6640E" w:rsidRPr="00BA628F" w:rsidP="007F06C2" w14:paraId="5A44B112" w14:textId="6BCF05C8">
      <w:pPr>
        <w:pStyle w:val="NormalHanging12a"/>
        <w:rPr>
          <w:color w:val="000000"/>
        </w:rPr>
      </w:pPr>
      <w:r w:rsidRPr="00BA628F">
        <w:rPr>
          <w:color w:val="000000"/>
        </w:rPr>
        <w:t>H.</w:t>
      </w:r>
      <w:r w:rsidRPr="00BA628F">
        <w:rPr>
          <w:color w:val="000000"/>
        </w:rPr>
        <w:tab/>
        <w:t xml:space="preserve">arvestades, et kodukorra artikli 5 lõike 2 kohaselt ei ole </w:t>
      </w:r>
      <w:r w:rsidRPr="00BA628F" w:rsidR="00776E47">
        <w:rPr>
          <w:color w:val="000000"/>
        </w:rPr>
        <w:t xml:space="preserve">parlamentaarne </w:t>
      </w:r>
      <w:r w:rsidRPr="00BA628F">
        <w:rPr>
          <w:color w:val="000000"/>
        </w:rPr>
        <w:t xml:space="preserve">puutumatus parlamendiliikme isiklik eesõigus, vaid </w:t>
      </w:r>
      <w:r w:rsidRPr="00BA628F" w:rsidR="00776E47">
        <w:rPr>
          <w:color w:val="000000"/>
        </w:rPr>
        <w:t>Euroopa P</w:t>
      </w:r>
      <w:r w:rsidRPr="00BA628F">
        <w:rPr>
          <w:color w:val="000000"/>
        </w:rPr>
        <w:t>arlamendi kui terviku ja selle liikmete sõltumatuse tagatis;</w:t>
      </w:r>
    </w:p>
    <w:p w:rsidR="00E6640E" w:rsidRPr="00BA628F" w:rsidP="007F06C2" w14:paraId="1849D8DB" w14:textId="001DC704">
      <w:pPr>
        <w:pStyle w:val="NormalHanging12a"/>
        <w:rPr>
          <w:color w:val="000000"/>
        </w:rPr>
      </w:pPr>
      <w:r w:rsidRPr="00BA628F">
        <w:rPr>
          <w:color w:val="000000"/>
        </w:rPr>
        <w:t>I.</w:t>
      </w:r>
      <w:r w:rsidRPr="00BA628F">
        <w:rPr>
          <w:color w:val="000000"/>
        </w:rPr>
        <w:tab/>
        <w:t xml:space="preserve">arvestades, et Euroopa Parlament ei ole selle juhtumi puhul leidnud tõendeid </w:t>
      </w:r>
      <w:r w:rsidRPr="00BA628F">
        <w:rPr>
          <w:i/>
          <w:color w:val="000000"/>
        </w:rPr>
        <w:t>fumus</w:t>
      </w:r>
      <w:r w:rsidRPr="00BA628F">
        <w:rPr>
          <w:i/>
          <w:color w:val="000000"/>
        </w:rPr>
        <w:t xml:space="preserve"> </w:t>
      </w:r>
      <w:r w:rsidRPr="00BA628F">
        <w:rPr>
          <w:i/>
          <w:color w:val="000000"/>
        </w:rPr>
        <w:t>persecutionis</w:t>
      </w:r>
      <w:r w:rsidRPr="00BA628F">
        <w:rPr>
          <w:color w:val="000000"/>
        </w:rPr>
        <w:t>’e</w:t>
      </w:r>
      <w:r w:rsidRPr="00BA628F">
        <w:rPr>
          <w:color w:val="000000"/>
        </w:rPr>
        <w:t xml:space="preserve"> kohta, s.t </w:t>
      </w:r>
      <w:r w:rsidRPr="00BA628F" w:rsidR="00776E47">
        <w:rPr>
          <w:color w:val="000000"/>
        </w:rPr>
        <w:t>miski ei viita</w:t>
      </w:r>
      <w:r w:rsidRPr="00BA628F">
        <w:rPr>
          <w:color w:val="000000"/>
        </w:rPr>
        <w:t xml:space="preserve"> sellele, et kohtumenetluse tegelik eesmärk on kahjustada </w:t>
      </w:r>
      <w:r w:rsidRPr="00BA628F">
        <w:rPr>
          <w:color w:val="000000"/>
        </w:rPr>
        <w:t>Alvise</w:t>
      </w:r>
      <w:r w:rsidRPr="00BA628F">
        <w:rPr>
          <w:color w:val="000000"/>
        </w:rPr>
        <w:t xml:space="preserve"> </w:t>
      </w:r>
      <w:r w:rsidRPr="00BA628F">
        <w:rPr>
          <w:color w:val="000000"/>
        </w:rPr>
        <w:t>Pérezi</w:t>
      </w:r>
      <w:r w:rsidRPr="00BA628F">
        <w:rPr>
          <w:color w:val="000000"/>
        </w:rPr>
        <w:t xml:space="preserve"> kui Euroopa Parlamendi liikme poliitilist tegevust</w:t>
      </w:r>
      <w:r w:rsidRPr="00BA628F" w:rsidR="00776E47">
        <w:rPr>
          <w:color w:val="000000"/>
        </w:rPr>
        <w:t xml:space="preserve"> ja seega </w:t>
      </w:r>
      <w:r w:rsidRPr="00BA628F" w:rsidR="00776E47">
        <w:rPr>
          <w:color w:val="000000"/>
        </w:rPr>
        <w:t>Euroopa Parlamendi sõltumatust</w:t>
      </w:r>
      <w:r w:rsidRPr="00BA628F">
        <w:rPr>
          <w:color w:val="000000"/>
        </w:rPr>
        <w:t>;</w:t>
      </w:r>
    </w:p>
    <w:p w:rsidR="00E6640E" w:rsidRPr="00BA628F" w:rsidP="007F06C2" w14:paraId="641110D0" w14:textId="11689396">
      <w:pPr>
        <w:pStyle w:val="NormalHanging12a"/>
        <w:rPr>
          <w:color w:val="000000"/>
        </w:rPr>
      </w:pPr>
      <w:r w:rsidRPr="00BA628F">
        <w:rPr>
          <w:color w:val="000000"/>
        </w:rPr>
        <w:t>J.</w:t>
      </w:r>
      <w:r w:rsidRPr="00BA628F">
        <w:rPr>
          <w:color w:val="000000"/>
        </w:rPr>
        <w:tab/>
        <w:t xml:space="preserve">arvestades, et esiteks ei saa </w:t>
      </w:r>
      <w:r w:rsidRPr="00BA628F" w:rsidR="00776E47">
        <w:rPr>
          <w:color w:val="000000"/>
        </w:rPr>
        <w:t>Euroopa P</w:t>
      </w:r>
      <w:r w:rsidRPr="00BA628F">
        <w:rPr>
          <w:color w:val="000000"/>
        </w:rPr>
        <w:t>arlamenti võrdsustada kohtuga ja teiseks ei tohi parlamendiliiget pidada puutumatuse äravõtmise menetluse raames süüdistatavaks</w:t>
      </w:r>
      <w:r>
        <w:rPr>
          <w:color w:val="000000"/>
          <w:vertAlign w:val="superscript"/>
        </w:rPr>
        <w:footnoteReference w:id="3"/>
      </w:r>
      <w:r w:rsidRPr="00BA628F">
        <w:rPr>
          <w:color w:val="000000"/>
        </w:rPr>
        <w:t>;</w:t>
      </w:r>
    </w:p>
    <w:p w:rsidR="00E6640E" w:rsidRPr="00BA628F" w:rsidP="007F06C2" w14:paraId="7DBEF1CC" w14:textId="77777777">
      <w:pPr>
        <w:pStyle w:val="NormalHanging12a"/>
        <w:rPr>
          <w:color w:val="000000"/>
        </w:rPr>
      </w:pPr>
      <w:r w:rsidRPr="00BA628F">
        <w:rPr>
          <w:color w:val="000000"/>
        </w:rPr>
        <w:t>1.</w:t>
      </w:r>
      <w:r w:rsidRPr="00BA628F">
        <w:rPr>
          <w:color w:val="000000"/>
        </w:rPr>
        <w:tab/>
        <w:t xml:space="preserve">otsustab </w:t>
      </w:r>
      <w:r w:rsidRPr="00BA628F">
        <w:rPr>
          <w:color w:val="000000"/>
        </w:rPr>
        <w:t>Alvise</w:t>
      </w:r>
      <w:r w:rsidRPr="00BA628F">
        <w:rPr>
          <w:color w:val="000000"/>
        </w:rPr>
        <w:t xml:space="preserve"> </w:t>
      </w:r>
      <w:r w:rsidRPr="00BA628F">
        <w:rPr>
          <w:color w:val="000000"/>
        </w:rPr>
        <w:t>Pérezi</w:t>
      </w:r>
      <w:r w:rsidRPr="00BA628F">
        <w:rPr>
          <w:color w:val="000000"/>
        </w:rPr>
        <w:t xml:space="preserve"> puutumatuse ära võtta;</w:t>
      </w:r>
    </w:p>
    <w:p w:rsidR="00E365E1" w:rsidRPr="00BA628F" w:rsidP="007F06C2" w14:paraId="3B38336B" w14:textId="109C9E24">
      <w:pPr>
        <w:pStyle w:val="NormalHanging12a"/>
      </w:pPr>
      <w:r w:rsidRPr="00BA628F">
        <w:t>2.</w:t>
      </w:r>
      <w:r w:rsidRPr="00BA628F">
        <w:tab/>
        <w:t xml:space="preserve">teeb presidendile ülesandeks edastada käesolev otsus ja vastutava parlamendikomisjoni </w:t>
      </w:r>
      <w:r w:rsidRPr="00BA628F">
        <w:rPr>
          <w:color w:val="000000"/>
        </w:rPr>
        <w:t>raport</w:t>
      </w:r>
      <w:r w:rsidRPr="00BA628F">
        <w:t xml:space="preserve"> viivitamata Hispaania Kuningriigi pädevale ametiasutusele ja </w:t>
      </w:r>
      <w:r w:rsidRPr="00BA628F">
        <w:t>Alvise</w:t>
      </w:r>
      <w:r w:rsidRPr="00BA628F">
        <w:t xml:space="preserve"> </w:t>
      </w:r>
      <w:r w:rsidRPr="00BA628F">
        <w:t>Pérezile</w:t>
      </w:r>
      <w:r w:rsidRPr="00BA628F">
        <w:t>.</w:t>
      </w:r>
    </w:p>
    <w:sectPr w:rsidSect="00540B6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0B6D" w14:paraId="5643FDD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0B6D" w14:paraId="3E8232A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0B6D" w14:paraId="6055EE8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13E05" w:rsidRPr="00540B6D" w14:paraId="6E89FF6C" w14:textId="77777777">
      <w:r w:rsidRPr="00540B6D">
        <w:separator/>
      </w:r>
    </w:p>
  </w:footnote>
  <w:footnote w:type="continuationSeparator" w:id="1">
    <w:p w:rsidR="00C13E05" w:rsidRPr="00540B6D" w14:paraId="351D3225" w14:textId="77777777">
      <w:r w:rsidRPr="00540B6D">
        <w:continuationSeparator/>
      </w:r>
    </w:p>
  </w:footnote>
  <w:footnote w:id="2">
    <w:p w:rsidR="00E6640E" w:rsidRPr="00540B6D" w:rsidP="00540B6D" w14:paraId="7B827B54" w14:textId="4966D71A">
      <w:pPr>
        <w:pStyle w:val="FootnoteText"/>
        <w:ind w:left="567" w:hanging="567"/>
        <w:rPr>
          <w:sz w:val="24"/>
          <w:lang w:val="et-EE"/>
        </w:rPr>
      </w:pPr>
      <w:r w:rsidRPr="00540B6D">
        <w:rPr>
          <w:rStyle w:val="FootnoteReference"/>
          <w:sz w:val="24"/>
          <w:lang w:val="et-EE"/>
        </w:rPr>
        <w:footnoteRef/>
      </w:r>
      <w:r w:rsidRPr="00540B6D" w:rsidR="00540B6D">
        <w:rPr>
          <w:sz w:val="24"/>
          <w:lang w:val="et-EE"/>
        </w:rPr>
        <w:tab/>
      </w:r>
      <w:r w:rsidRPr="00540B6D">
        <w:rPr>
          <w:sz w:val="24"/>
          <w:lang w:val="et-EE"/>
        </w:rPr>
        <w:t xml:space="preserve">Kohtuotsus, Euroopa Kohus, 21. oktoober 2008, </w:t>
      </w:r>
      <w:r w:rsidRPr="00540B6D">
        <w:rPr>
          <w:sz w:val="24"/>
          <w:lang w:val="et-EE"/>
        </w:rPr>
        <w:t>Marra</w:t>
      </w:r>
      <w:r w:rsidRPr="00540B6D">
        <w:rPr>
          <w:sz w:val="24"/>
          <w:lang w:val="et-EE"/>
        </w:rPr>
        <w:t xml:space="preserve"> </w:t>
      </w:r>
      <w:r w:rsidRPr="00540B6D">
        <w:rPr>
          <w:i/>
          <w:sz w:val="24"/>
          <w:lang w:val="et-EE"/>
        </w:rPr>
        <w:t>vs</w:t>
      </w:r>
      <w:r w:rsidRPr="00540B6D">
        <w:rPr>
          <w:sz w:val="24"/>
          <w:lang w:val="et-EE"/>
        </w:rPr>
        <w:t xml:space="preserve">. De </w:t>
      </w:r>
      <w:r w:rsidRPr="00540B6D">
        <w:rPr>
          <w:sz w:val="24"/>
          <w:lang w:val="et-EE"/>
        </w:rPr>
        <w:t>Gregorio</w:t>
      </w:r>
      <w:r w:rsidRPr="00540B6D">
        <w:rPr>
          <w:sz w:val="24"/>
          <w:lang w:val="et-EE"/>
        </w:rPr>
        <w:t xml:space="preserve"> ja </w:t>
      </w:r>
      <w:r w:rsidRPr="00540B6D">
        <w:rPr>
          <w:sz w:val="24"/>
          <w:lang w:val="et-EE"/>
        </w:rPr>
        <w:t>Clemente</w:t>
      </w:r>
      <w:r w:rsidRPr="00540B6D">
        <w:rPr>
          <w:sz w:val="24"/>
          <w:lang w:val="et-EE"/>
        </w:rPr>
        <w:t xml:space="preserve">, C-200/07 ja C-201/07, ECLI:EU:C:2008:579; kohtuotsus, </w:t>
      </w:r>
      <w:r w:rsidRPr="00540B6D">
        <w:rPr>
          <w:sz w:val="24"/>
          <w:lang w:val="et-EE"/>
        </w:rPr>
        <w:t>Üldkohus</w:t>
      </w:r>
      <w:r w:rsidRPr="00540B6D">
        <w:rPr>
          <w:sz w:val="24"/>
          <w:lang w:val="et-EE"/>
        </w:rPr>
        <w:t xml:space="preserve">, 19. märts 2010, </w:t>
      </w:r>
      <w:r w:rsidRPr="00540B6D">
        <w:rPr>
          <w:sz w:val="24"/>
          <w:lang w:val="et-EE"/>
        </w:rPr>
        <w:t>Gollnisch</w:t>
      </w:r>
      <w:r w:rsidRPr="00540B6D">
        <w:rPr>
          <w:sz w:val="24"/>
          <w:lang w:val="et-EE"/>
        </w:rPr>
        <w:t xml:space="preserve"> </w:t>
      </w:r>
      <w:r w:rsidRPr="00540B6D">
        <w:rPr>
          <w:i/>
          <w:sz w:val="24"/>
          <w:lang w:val="et-EE"/>
        </w:rPr>
        <w:t>vs</w:t>
      </w:r>
      <w:r w:rsidRPr="00540B6D">
        <w:rPr>
          <w:sz w:val="24"/>
          <w:lang w:val="et-EE"/>
        </w:rPr>
        <w:t xml:space="preserve">. </w:t>
      </w:r>
      <w:r w:rsidR="007F06C2">
        <w:rPr>
          <w:sz w:val="24"/>
          <w:lang w:val="et-EE"/>
        </w:rPr>
        <w:t>Euroopa P</w:t>
      </w:r>
      <w:r w:rsidRPr="00540B6D">
        <w:rPr>
          <w:sz w:val="24"/>
          <w:lang w:val="et-EE"/>
        </w:rPr>
        <w:t xml:space="preserve">arlament, T-42/06, ECLI:EU:T:2010:102; kohtuotsus, Euroopa Kohus, 6. september 2011, </w:t>
      </w:r>
      <w:r w:rsidRPr="00540B6D">
        <w:rPr>
          <w:sz w:val="24"/>
          <w:lang w:val="et-EE"/>
        </w:rPr>
        <w:t>Patriciello</w:t>
      </w:r>
      <w:r w:rsidRPr="00540B6D">
        <w:rPr>
          <w:sz w:val="24"/>
          <w:lang w:val="et-EE"/>
        </w:rPr>
        <w:t xml:space="preserve">, C-163/10, ECLI: EU:C:2011:543; kohtuotsus, </w:t>
      </w:r>
      <w:r w:rsidRPr="00540B6D">
        <w:rPr>
          <w:sz w:val="24"/>
          <w:lang w:val="et-EE"/>
        </w:rPr>
        <w:t>Üldkohus</w:t>
      </w:r>
      <w:r w:rsidRPr="00540B6D">
        <w:rPr>
          <w:sz w:val="24"/>
          <w:lang w:val="et-EE"/>
        </w:rPr>
        <w:t xml:space="preserve">, 17. jaanuar 2013, </w:t>
      </w:r>
      <w:r w:rsidRPr="00540B6D">
        <w:rPr>
          <w:sz w:val="24"/>
          <w:lang w:val="et-EE"/>
        </w:rPr>
        <w:t>Gollnisch</w:t>
      </w:r>
      <w:r w:rsidRPr="00540B6D">
        <w:rPr>
          <w:sz w:val="24"/>
          <w:lang w:val="et-EE"/>
        </w:rPr>
        <w:t xml:space="preserve"> </w:t>
      </w:r>
      <w:r w:rsidRPr="00540B6D">
        <w:rPr>
          <w:i/>
          <w:iCs/>
          <w:sz w:val="24"/>
          <w:lang w:val="et-EE"/>
        </w:rPr>
        <w:t>vs</w:t>
      </w:r>
      <w:r w:rsidRPr="00540B6D">
        <w:rPr>
          <w:sz w:val="24"/>
          <w:lang w:val="et-EE"/>
        </w:rPr>
        <w:t xml:space="preserve">. </w:t>
      </w:r>
      <w:r w:rsidR="007F06C2">
        <w:rPr>
          <w:sz w:val="24"/>
          <w:lang w:val="et-EE"/>
        </w:rPr>
        <w:t>Euroopa P</w:t>
      </w:r>
      <w:r w:rsidRPr="00540B6D">
        <w:rPr>
          <w:sz w:val="24"/>
          <w:lang w:val="et-EE"/>
        </w:rPr>
        <w:t xml:space="preserve">arlament, T-346/11 ja T-347/11, ECLI:EU:T:2013:23; kohtuotsus, Euroopa Kohus, 19. detsember 2019, </w:t>
      </w:r>
      <w:r w:rsidRPr="00540B6D">
        <w:rPr>
          <w:sz w:val="24"/>
          <w:lang w:val="et-EE"/>
        </w:rPr>
        <w:t>Junqueras</w:t>
      </w:r>
      <w:r w:rsidRPr="00540B6D">
        <w:rPr>
          <w:sz w:val="24"/>
          <w:lang w:val="et-EE"/>
        </w:rPr>
        <w:t xml:space="preserve"> </w:t>
      </w:r>
      <w:r w:rsidRPr="00540B6D">
        <w:rPr>
          <w:sz w:val="24"/>
          <w:lang w:val="et-EE"/>
        </w:rPr>
        <w:t>Vies</w:t>
      </w:r>
      <w:r w:rsidRPr="00540B6D">
        <w:rPr>
          <w:sz w:val="24"/>
          <w:lang w:val="et-EE"/>
        </w:rPr>
        <w:t>, C-502/19, ECLI:EU:C:2019:1115.</w:t>
      </w:r>
    </w:p>
  </w:footnote>
  <w:footnote w:id="3">
    <w:p w:rsidR="00E6640E" w:rsidRPr="00540B6D" w:rsidP="00540B6D" w14:paraId="57C23B87" w14:textId="0956E920">
      <w:pPr>
        <w:pStyle w:val="FootnoteText"/>
        <w:ind w:left="567" w:hanging="567"/>
        <w:rPr>
          <w:sz w:val="24"/>
          <w:lang w:val="et-EE"/>
        </w:rPr>
      </w:pPr>
      <w:r w:rsidRPr="00540B6D">
        <w:rPr>
          <w:rStyle w:val="FootnoteReference"/>
          <w:sz w:val="24"/>
          <w:lang w:val="et-EE"/>
        </w:rPr>
        <w:footnoteRef/>
      </w:r>
      <w:r w:rsidRPr="00540B6D" w:rsidR="00540B6D">
        <w:rPr>
          <w:sz w:val="24"/>
          <w:lang w:val="et-EE"/>
        </w:rPr>
        <w:tab/>
      </w:r>
      <w:r w:rsidRPr="00540B6D">
        <w:rPr>
          <w:sz w:val="24"/>
          <w:lang w:val="et-EE"/>
        </w:rPr>
        <w:t xml:space="preserve">Kohtuotsus, </w:t>
      </w:r>
      <w:r w:rsidRPr="00540B6D">
        <w:rPr>
          <w:sz w:val="24"/>
          <w:lang w:val="et-EE"/>
        </w:rPr>
        <w:t>Üldkohus</w:t>
      </w:r>
      <w:r w:rsidRPr="00540B6D">
        <w:rPr>
          <w:sz w:val="24"/>
          <w:lang w:val="et-EE"/>
        </w:rPr>
        <w:t xml:space="preserve">, 30. aprill 2019, </w:t>
      </w:r>
      <w:r w:rsidRPr="00540B6D">
        <w:rPr>
          <w:sz w:val="24"/>
          <w:lang w:val="et-EE"/>
        </w:rPr>
        <w:t>Briois</w:t>
      </w:r>
      <w:r w:rsidRPr="00540B6D">
        <w:rPr>
          <w:sz w:val="24"/>
          <w:lang w:val="et-EE"/>
        </w:rPr>
        <w:t xml:space="preserve"> </w:t>
      </w:r>
      <w:r w:rsidRPr="00540B6D">
        <w:rPr>
          <w:i/>
          <w:sz w:val="24"/>
          <w:lang w:val="et-EE"/>
        </w:rPr>
        <w:t>vs</w:t>
      </w:r>
      <w:r w:rsidRPr="00540B6D">
        <w:rPr>
          <w:sz w:val="24"/>
          <w:lang w:val="et-EE"/>
        </w:rPr>
        <w:t xml:space="preserve">. </w:t>
      </w:r>
      <w:r w:rsidR="00776E47">
        <w:rPr>
          <w:sz w:val="24"/>
          <w:lang w:val="et-EE"/>
        </w:rPr>
        <w:t>Euroopa P</w:t>
      </w:r>
      <w:r w:rsidRPr="00540B6D">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0B6D" w14:paraId="3E8406C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0B6D" w14:paraId="4BA620F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0B6D" w14:paraId="23B42B3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9436895">
    <w:abstractNumId w:val="9"/>
  </w:num>
  <w:num w:numId="2" w16cid:durableId="983120708">
    <w:abstractNumId w:val="9"/>
  </w:num>
  <w:num w:numId="3" w16cid:durableId="1711297134">
    <w:abstractNumId w:val="7"/>
  </w:num>
  <w:num w:numId="4" w16cid:durableId="822509501">
    <w:abstractNumId w:val="7"/>
  </w:num>
  <w:num w:numId="5" w16cid:durableId="128785711">
    <w:abstractNumId w:val="6"/>
  </w:num>
  <w:num w:numId="6" w16cid:durableId="297881385">
    <w:abstractNumId w:val="6"/>
  </w:num>
  <w:num w:numId="7" w16cid:durableId="1905489677">
    <w:abstractNumId w:val="5"/>
  </w:num>
  <w:num w:numId="8" w16cid:durableId="569274611">
    <w:abstractNumId w:val="5"/>
  </w:num>
  <w:num w:numId="9" w16cid:durableId="1149786263">
    <w:abstractNumId w:val="4"/>
  </w:num>
  <w:num w:numId="10" w16cid:durableId="506138186">
    <w:abstractNumId w:val="4"/>
  </w:num>
  <w:num w:numId="11" w16cid:durableId="1605117156">
    <w:abstractNumId w:val="8"/>
  </w:num>
  <w:num w:numId="12" w16cid:durableId="1336763255">
    <w:abstractNumId w:val="8"/>
  </w:num>
  <w:num w:numId="13" w16cid:durableId="798492006">
    <w:abstractNumId w:val="3"/>
  </w:num>
  <w:num w:numId="14" w16cid:durableId="1485388058">
    <w:abstractNumId w:val="3"/>
  </w:num>
  <w:num w:numId="15" w16cid:durableId="241720891">
    <w:abstractNumId w:val="2"/>
  </w:num>
  <w:num w:numId="16" w16cid:durableId="644553272">
    <w:abstractNumId w:val="2"/>
  </w:num>
  <w:num w:numId="17" w16cid:durableId="3288321">
    <w:abstractNumId w:val="1"/>
  </w:num>
  <w:num w:numId="18" w16cid:durableId="1764643374">
    <w:abstractNumId w:val="1"/>
  </w:num>
  <w:num w:numId="19" w16cid:durableId="211506417">
    <w:abstractNumId w:val="0"/>
  </w:num>
  <w:num w:numId="20" w16cid:durableId="769738263">
    <w:abstractNumId w:val="0"/>
  </w:num>
  <w:num w:numId="21" w16cid:durableId="515341013">
    <w:abstractNumId w:val="9"/>
  </w:num>
  <w:num w:numId="22" w16cid:durableId="980187725">
    <w:abstractNumId w:val="7"/>
  </w:num>
  <w:num w:numId="23" w16cid:durableId="1232883663">
    <w:abstractNumId w:val="6"/>
  </w:num>
  <w:num w:numId="24" w16cid:durableId="466436697">
    <w:abstractNumId w:val="5"/>
  </w:num>
  <w:num w:numId="25" w16cid:durableId="207255997">
    <w:abstractNumId w:val="4"/>
  </w:num>
  <w:num w:numId="26" w16cid:durableId="2053769617">
    <w:abstractNumId w:val="8"/>
  </w:num>
  <w:num w:numId="27" w16cid:durableId="1105345882">
    <w:abstractNumId w:val="3"/>
  </w:num>
  <w:num w:numId="28" w16cid:durableId="1073963680">
    <w:abstractNumId w:val="2"/>
  </w:num>
  <w:num w:numId="29" w16cid:durableId="840583241">
    <w:abstractNumId w:val="1"/>
  </w:num>
  <w:num w:numId="30" w16cid:durableId="1182554332">
    <w:abstractNumId w:val="0"/>
  </w:num>
  <w:num w:numId="31" w16cid:durableId="433592124">
    <w:abstractNumId w:val="9"/>
  </w:num>
  <w:num w:numId="32" w16cid:durableId="204997861">
    <w:abstractNumId w:val="7"/>
  </w:num>
  <w:num w:numId="33" w16cid:durableId="2097819245">
    <w:abstractNumId w:val="6"/>
  </w:num>
  <w:num w:numId="34" w16cid:durableId="124857525">
    <w:abstractNumId w:val="5"/>
  </w:num>
  <w:num w:numId="35" w16cid:durableId="772556703">
    <w:abstractNumId w:val="4"/>
  </w:num>
  <w:num w:numId="36" w16cid:durableId="1541283725">
    <w:abstractNumId w:val="8"/>
  </w:num>
  <w:num w:numId="37" w16cid:durableId="2024740118">
    <w:abstractNumId w:val="3"/>
  </w:num>
  <w:num w:numId="38" w16cid:durableId="931472706">
    <w:abstractNumId w:val="2"/>
  </w:num>
  <w:num w:numId="39" w16cid:durableId="1103723301">
    <w:abstractNumId w:val="1"/>
  </w:num>
  <w:num w:numId="40" w16cid:durableId="1693993045">
    <w:abstractNumId w:val="0"/>
  </w:num>
  <w:num w:numId="41" w16cid:durableId="1484807483">
    <w:abstractNumId w:val="10"/>
  </w:num>
  <w:num w:numId="42" w16cid:durableId="1554610673">
    <w:abstractNumId w:val="10"/>
  </w:num>
  <w:num w:numId="43" w16cid:durableId="1078288662">
    <w:abstractNumId w:val="10"/>
  </w:num>
  <w:num w:numId="44" w16cid:durableId="10812945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E05"/>
    <w:rsid w:val="00002272"/>
    <w:rsid w:val="00064002"/>
    <w:rsid w:val="000677B9"/>
    <w:rsid w:val="000831BA"/>
    <w:rsid w:val="000A42CC"/>
    <w:rsid w:val="000E7DD9"/>
    <w:rsid w:val="0010095E"/>
    <w:rsid w:val="00115490"/>
    <w:rsid w:val="00125B37"/>
    <w:rsid w:val="00187494"/>
    <w:rsid w:val="001F32AE"/>
    <w:rsid w:val="002767FF"/>
    <w:rsid w:val="002B18FE"/>
    <w:rsid w:val="002B5493"/>
    <w:rsid w:val="002B7C40"/>
    <w:rsid w:val="00343214"/>
    <w:rsid w:val="00361C00"/>
    <w:rsid w:val="00390A77"/>
    <w:rsid w:val="00395FA1"/>
    <w:rsid w:val="003E15D4"/>
    <w:rsid w:val="00411CCE"/>
    <w:rsid w:val="0041666E"/>
    <w:rsid w:val="00421060"/>
    <w:rsid w:val="00471179"/>
    <w:rsid w:val="00471C19"/>
    <w:rsid w:val="004867E3"/>
    <w:rsid w:val="00494A28"/>
    <w:rsid w:val="004C0004"/>
    <w:rsid w:val="004C5D52"/>
    <w:rsid w:val="0050519A"/>
    <w:rsid w:val="005072A1"/>
    <w:rsid w:val="00514517"/>
    <w:rsid w:val="00540B6D"/>
    <w:rsid w:val="00545827"/>
    <w:rsid w:val="00560270"/>
    <w:rsid w:val="005C2568"/>
    <w:rsid w:val="005F1B17"/>
    <w:rsid w:val="006037C0"/>
    <w:rsid w:val="006631B6"/>
    <w:rsid w:val="00680577"/>
    <w:rsid w:val="006F6D83"/>
    <w:rsid w:val="006F74FA"/>
    <w:rsid w:val="00731ADD"/>
    <w:rsid w:val="00734777"/>
    <w:rsid w:val="00747932"/>
    <w:rsid w:val="00751A4A"/>
    <w:rsid w:val="00756632"/>
    <w:rsid w:val="00762C74"/>
    <w:rsid w:val="00776E47"/>
    <w:rsid w:val="00786EC0"/>
    <w:rsid w:val="007D1690"/>
    <w:rsid w:val="007E22AD"/>
    <w:rsid w:val="007F06C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38D"/>
    <w:rsid w:val="00B12E95"/>
    <w:rsid w:val="00B22876"/>
    <w:rsid w:val="00B558F0"/>
    <w:rsid w:val="00B71CF4"/>
    <w:rsid w:val="00BA628F"/>
    <w:rsid w:val="00BD48FE"/>
    <w:rsid w:val="00BD7BD8"/>
    <w:rsid w:val="00BE6ADC"/>
    <w:rsid w:val="00C05BFE"/>
    <w:rsid w:val="00C13E05"/>
    <w:rsid w:val="00C23CD4"/>
    <w:rsid w:val="00C61C0C"/>
    <w:rsid w:val="00C941CB"/>
    <w:rsid w:val="00CC2357"/>
    <w:rsid w:val="00CF071A"/>
    <w:rsid w:val="00D058B8"/>
    <w:rsid w:val="00D25ABA"/>
    <w:rsid w:val="00D56C11"/>
    <w:rsid w:val="00D834A0"/>
    <w:rsid w:val="00D872DF"/>
    <w:rsid w:val="00D91E21"/>
    <w:rsid w:val="00DA7FCD"/>
    <w:rsid w:val="00E365E1"/>
    <w:rsid w:val="00E6640E"/>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9/2026"/>
    <w:docVar w:name="dvlangue" w:val="ET"/>
    <w:docVar w:name="dvnumam" w:val="0"/>
    <w:docVar w:name="dvpe" w:val="784.496"/>
    <w:docVar w:name="dvrapporteur" w:val="Raportöör: "/>
    <w:docVar w:name="dvtitre" w:val="Euroopa Parlamendi .... 2026. aasta otsus Alvise Pérezi puutumatuse äravõtmise taotluse kohta(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C28DE60"/>
  <w15:chartTrackingRefBased/>
  <w15:docId w15:val="{DB8B704D-D81C-4850-8B9F-58A308565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6640E"/>
    <w:pPr>
      <w:spacing w:after="240"/>
    </w:pPr>
  </w:style>
  <w:style w:type="paragraph" w:customStyle="1" w:styleId="NormalHanging12a">
    <w:name w:val="NormalHanging12a"/>
    <w:basedOn w:val="Normal"/>
    <w:rsid w:val="00E6640E"/>
    <w:pPr>
      <w:spacing w:after="240"/>
      <w:ind w:left="567" w:hanging="567"/>
    </w:pPr>
  </w:style>
  <w:style w:type="paragraph" w:customStyle="1" w:styleId="EPComma">
    <w:name w:val="EPComma"/>
    <w:basedOn w:val="Normal"/>
    <w:rsid w:val="00E6640E"/>
    <w:pPr>
      <w:spacing w:before="480" w:after="240"/>
    </w:pPr>
  </w:style>
  <w:style w:type="paragraph" w:customStyle="1" w:styleId="Normal12Hanging">
    <w:name w:val="Normal12Hanging"/>
    <w:basedOn w:val="Normal"/>
    <w:rsid w:val="00E6640E"/>
    <w:pPr>
      <w:spacing w:after="240"/>
      <w:ind w:left="567" w:hanging="567"/>
    </w:pPr>
  </w:style>
  <w:style w:type="paragraph" w:styleId="Revision">
    <w:name w:val="Revision"/>
    <w:hidden/>
    <w:uiPriority w:val="99"/>
    <w:semiHidden/>
    <w:rsid w:val="007F06C2"/>
    <w:rPr>
      <w:sz w:val="24"/>
      <w:lang w:val="et-EE"/>
    </w:rPr>
  </w:style>
  <w:style w:type="character" w:styleId="CommentReference">
    <w:name w:val="annotation reference"/>
    <w:basedOn w:val="DefaultParagraphFont"/>
    <w:rsid w:val="00776E47"/>
    <w:rPr>
      <w:sz w:val="16"/>
      <w:szCs w:val="16"/>
    </w:rPr>
  </w:style>
  <w:style w:type="paragraph" w:styleId="CommentText">
    <w:name w:val="annotation text"/>
    <w:basedOn w:val="Normal"/>
    <w:link w:val="CommentTextChar"/>
    <w:rsid w:val="00776E47"/>
    <w:rPr>
      <w:sz w:val="20"/>
    </w:rPr>
  </w:style>
  <w:style w:type="character" w:customStyle="1" w:styleId="CommentTextChar">
    <w:name w:val="Comment Text Char"/>
    <w:basedOn w:val="DefaultParagraphFont"/>
    <w:link w:val="CommentText"/>
    <w:rsid w:val="00776E47"/>
    <w:rPr>
      <w:lang w:val="et-EE"/>
    </w:rPr>
  </w:style>
  <w:style w:type="paragraph" w:styleId="CommentSubject">
    <w:name w:val="annotation subject"/>
    <w:basedOn w:val="CommentText"/>
    <w:next w:val="CommentText"/>
    <w:link w:val="CommentSubjectChar"/>
    <w:rsid w:val="00776E47"/>
    <w:rPr>
      <w:b/>
      <w:bCs/>
    </w:rPr>
  </w:style>
  <w:style w:type="character" w:customStyle="1" w:styleId="CommentSubjectChar">
    <w:name w:val="Comment Subject Char"/>
    <w:basedOn w:val="CommentTextChar"/>
    <w:link w:val="CommentSubject"/>
    <w:rsid w:val="00776E47"/>
    <w:rPr>
      <w:b/>
      <w:bCs/>
      <w:lang w:val="et-EE"/>
    </w:rPr>
  </w:style>
  <w:style w:type="character" w:styleId="Hyperlink">
    <w:name w:val="Hyperlink"/>
    <w:basedOn w:val="DefaultParagraphFont"/>
    <w:rsid w:val="00776E47"/>
    <w:rPr>
      <w:color w:val="0563C1" w:themeColor="hyperlink"/>
      <w:u w:val="single"/>
    </w:rPr>
  </w:style>
  <w:style w:type="character" w:styleId="UnresolvedMention">
    <w:name w:val="Unresolved Mention"/>
    <w:basedOn w:val="DefaultParagraphFont"/>
    <w:uiPriority w:val="99"/>
    <w:semiHidden/>
    <w:unhideWhenUsed/>
    <w:rsid w:val="00776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632</Words>
  <Characters>4357</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6</cp:revision>
  <cp:lastPrinted>2004-11-19T15:42:00Z</cp:lastPrinted>
  <dcterms:created xsi:type="dcterms:W3CDTF">2026-04-27T12:17:00Z</dcterms:created>
  <dcterms:modified xsi:type="dcterms:W3CDTF">2026-04-28T11:46:00Z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A10-0119/2026</vt:lpwstr>
  </property>
  <property fmtid="{D5CDD505-2E9C-101B-9397-08002B2CF9AE}" pid="4" name="&lt;Type&gt;">
    <vt:lpwstr>RR</vt:lpwstr>
  </property>
</Properties>
</file>