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317C41" w14:textId="77777777" w:rsidTr="0010095E">
        <w:tblPrEx>
          <w:tblW w:w="9072" w:type="dxa"/>
          <w:tblLook w:val="01E0"/>
        </w:tblPrEx>
        <w:trPr>
          <w:trHeight w:hRule="exact" w:val="1418"/>
        </w:trPr>
        <w:tc>
          <w:tcPr>
            <w:tcW w:w="6804" w:type="dxa"/>
            <w:shd w:val="clear" w:color="auto" w:fill="auto"/>
            <w:vAlign w:val="center"/>
          </w:tcPr>
          <w:p w:rsidR="00751A4A" w:rsidRPr="00873A41" w:rsidP="0010095E" w14:paraId="48CF8B50" w14:textId="77777777">
            <w:pPr>
              <w:pStyle w:val="EPName"/>
            </w:pPr>
            <w:r w:rsidRPr="00873A41">
              <w:t>Parlement européen</w:t>
            </w:r>
          </w:p>
          <w:p w:rsidR="00751A4A" w:rsidRPr="00873A41" w:rsidP="005F1B17" w14:paraId="5D205F7E" w14:textId="77777777">
            <w:pPr>
              <w:pStyle w:val="EPTerm"/>
              <w:rPr>
                <w:rStyle w:val="HideTWBExt"/>
                <w:noProof w:val="0"/>
                <w:vanish w:val="0"/>
                <w:color w:val="auto"/>
              </w:rPr>
            </w:pPr>
            <w:r w:rsidRPr="00873A41">
              <w:t>2024</w:t>
            </w:r>
            <w:r w:rsidRPr="00873A41" w:rsidR="00817416">
              <w:t>-202</w:t>
            </w:r>
            <w:r w:rsidRPr="00873A41">
              <w:t>9</w:t>
            </w:r>
          </w:p>
        </w:tc>
        <w:tc>
          <w:tcPr>
            <w:tcW w:w="2268" w:type="dxa"/>
            <w:shd w:val="clear" w:color="auto" w:fill="auto"/>
          </w:tcPr>
          <w:p w:rsidR="00751A4A" w:rsidRPr="00873A41" w:rsidP="0010095E" w14:paraId="3DFC4009" w14:textId="77777777">
            <w:pPr>
              <w:pStyle w:val="EPLogo"/>
            </w:pPr>
            <w:r w:rsidRPr="00873A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73A41" w:rsidP="004C5D52" w14:paraId="32787B11" w14:textId="77777777">
      <w:pPr>
        <w:pStyle w:val="LineTop"/>
      </w:pPr>
    </w:p>
    <w:p w:rsidR="00680577" w:rsidRPr="00873A41" w:rsidP="00680577" w14:paraId="53161085" w14:textId="77777777">
      <w:pPr>
        <w:pStyle w:val="EPBodyTA1"/>
      </w:pPr>
      <w:r w:rsidRPr="00873A41">
        <w:t>TEXTES ADOPTÉS</w:t>
      </w:r>
    </w:p>
    <w:p w:rsidR="00D058B8" w:rsidRPr="00873A41" w:rsidP="00D058B8" w14:paraId="108493E3" w14:textId="77777777">
      <w:pPr>
        <w:pStyle w:val="LineBottom"/>
      </w:pPr>
    </w:p>
    <w:p w:rsidR="004A6339" w:rsidRPr="00873A41" w:rsidP="004A6339" w14:paraId="492A2F93" w14:textId="77236299">
      <w:pPr>
        <w:pStyle w:val="ATHeading1"/>
      </w:pPr>
      <w:bookmarkStart w:id="0" w:name="TANumber"/>
      <w:r w:rsidRPr="00873A41">
        <w:t>P10_</w:t>
      </w:r>
      <w:r w:rsidRPr="00873A41">
        <w:t>TA(</w:t>
      </w:r>
      <w:r w:rsidRPr="00873A41">
        <w:t>2026)0</w:t>
      </w:r>
      <w:r w:rsidRPr="00873A41" w:rsidR="00873A41">
        <w:t>110</w:t>
      </w:r>
      <w:bookmarkEnd w:id="0"/>
    </w:p>
    <w:p w:rsidR="004A6339" w:rsidRPr="00873A41" w:rsidP="004A6339" w14:paraId="726FF882" w14:textId="77777777">
      <w:pPr>
        <w:pStyle w:val="ATHeading2"/>
      </w:pPr>
      <w:bookmarkStart w:id="1" w:name="title"/>
      <w:r w:rsidRPr="00873A41">
        <w:t>Demande de levée de l’immunité d’</w:t>
      </w:r>
      <w:r w:rsidRPr="00873A41">
        <w:t>Alvise</w:t>
      </w:r>
      <w:r w:rsidRPr="00873A41">
        <w:t xml:space="preserve"> Pérez</w:t>
      </w:r>
      <w:bookmarkEnd w:id="1"/>
    </w:p>
    <w:p w:rsidR="004A6339" w:rsidRPr="00873A41" w:rsidP="004A6339" w14:paraId="4C9D98D3" w14:textId="77777777">
      <w:pPr>
        <w:rPr>
          <w:i/>
          <w:vanish/>
        </w:rPr>
      </w:pPr>
      <w:r>
        <w:rPr>
          <w:i/>
        </w:rPr>
        <w:fldChar w:fldCharType="begin"/>
      </w:r>
      <w:r w:rsidRPr="00873A41">
        <w:rPr>
          <w:i/>
        </w:rPr>
        <w:instrText xml:space="preserve"> TC"(</w:instrText>
      </w:r>
      <w:bookmarkStart w:id="2" w:name="DocNumber"/>
      <w:r w:rsidRPr="00873A41">
        <w:rPr>
          <w:i/>
        </w:rPr>
        <w:instrText>A10-0119/2026</w:instrText>
      </w:r>
      <w:bookmarkEnd w:id="2"/>
      <w:r w:rsidRPr="00873A41">
        <w:rPr>
          <w:i/>
        </w:rPr>
        <w:instrText xml:space="preserve"> - Rapporteur: Mario Furore)"\l3 \n&gt; \* MERGEFORMAT </w:instrText>
      </w:r>
      <w:r>
        <w:rPr>
          <w:i/>
        </w:rPr>
        <w:fldChar w:fldCharType="end"/>
      </w:r>
    </w:p>
    <w:p w:rsidR="004A6339" w:rsidRPr="00873A41" w:rsidP="004A6339" w14:paraId="54FCAB65" w14:textId="77777777">
      <w:pPr>
        <w:rPr>
          <w:vanish/>
        </w:rPr>
      </w:pPr>
      <w:bookmarkStart w:id="3" w:name="Commission"/>
      <w:r w:rsidRPr="00873A41">
        <w:rPr>
          <w:vanish/>
        </w:rPr>
        <w:t>Commission des affaires juridiques</w:t>
      </w:r>
      <w:bookmarkEnd w:id="3"/>
    </w:p>
    <w:p w:rsidR="004A6339" w:rsidRPr="00873A41" w:rsidP="004A6339" w14:paraId="7C482C3C" w14:textId="77777777">
      <w:pPr>
        <w:rPr>
          <w:vanish/>
        </w:rPr>
      </w:pPr>
      <w:bookmarkStart w:id="4" w:name="PE"/>
      <w:r w:rsidRPr="00873A41">
        <w:rPr>
          <w:vanish/>
        </w:rPr>
        <w:t>PE784.496</w:t>
      </w:r>
      <w:bookmarkEnd w:id="4"/>
    </w:p>
    <w:p w:rsidR="004A6339" w:rsidRPr="00873A41" w:rsidP="004A6339" w14:paraId="77D6053C" w14:textId="57F41EC8">
      <w:pPr>
        <w:pStyle w:val="ATHeading3"/>
      </w:pPr>
      <w:bookmarkStart w:id="5" w:name="Sujet"/>
      <w:r w:rsidRPr="00873A41">
        <w:t xml:space="preserve">Décision du Parlement européen du </w:t>
      </w:r>
      <w:r w:rsidRPr="00873A41" w:rsidR="00C762AA">
        <w:t>28 avril</w:t>
      </w:r>
      <w:r w:rsidRPr="00873A41">
        <w:t xml:space="preserve"> 2026 sur la demande de levée de l’immunité d’</w:t>
      </w:r>
      <w:r w:rsidRPr="00873A41">
        <w:t>Alvise</w:t>
      </w:r>
      <w:r w:rsidRPr="00873A41">
        <w:t xml:space="preserve"> Pérez</w:t>
      </w:r>
      <w:bookmarkEnd w:id="5"/>
      <w:r w:rsidRPr="00873A41">
        <w:t xml:space="preserve"> </w:t>
      </w:r>
      <w:bookmarkStart w:id="6" w:name="References"/>
      <w:r w:rsidRPr="00873A41">
        <w:t>(2025/2222(IMM))</w:t>
      </w:r>
      <w:bookmarkEnd w:id="6"/>
    </w:p>
    <w:p w:rsidR="004A1596" w:rsidRPr="00873A41" w:rsidP="004A1596" w14:paraId="1028786C" w14:textId="77777777">
      <w:pPr>
        <w:pStyle w:val="EPComma"/>
        <w:widowControl/>
      </w:pPr>
      <w:bookmarkStart w:id="7" w:name="TextBodyBegin"/>
      <w:bookmarkEnd w:id="7"/>
      <w:r w:rsidRPr="00873A41">
        <w:rPr>
          <w:i/>
          <w:iCs/>
        </w:rPr>
        <w:t>Le Parlement européen</w:t>
      </w:r>
      <w:r w:rsidRPr="00873A41">
        <w:t>,</w:t>
      </w:r>
    </w:p>
    <w:p w:rsidR="004A1596" w:rsidRPr="00873A41" w:rsidP="004A1596" w14:paraId="7BA07397" w14:textId="2E89F20F">
      <w:pPr>
        <w:pStyle w:val="NormalHanging12a"/>
        <w:widowControl/>
      </w:pPr>
      <w:r w:rsidRPr="00873A41">
        <w:t>–</w:t>
      </w:r>
      <w:r w:rsidRPr="00873A41">
        <w:tab/>
        <w:t>vu la demande de levée de l’immunité d</w:t>
      </w:r>
      <w:r w:rsidRPr="00873A41" w:rsidR="006A4621">
        <w:t>’</w:t>
      </w:r>
      <w:r w:rsidRPr="00873A41">
        <w:t>Alvise</w:t>
      </w:r>
      <w:r w:rsidRPr="00873A41">
        <w:t xml:space="preserve"> Pérez (Luis Pérez Fernández), présentée par la Cour suprême d’Espagne</w:t>
      </w:r>
      <w:r w:rsidRPr="00873A41" w:rsidR="00DD5880">
        <w:t>,</w:t>
      </w:r>
      <w:r w:rsidRPr="00873A41">
        <w:t xml:space="preserve"> </w:t>
      </w:r>
      <w:r w:rsidRPr="00873A41" w:rsidR="006A4621">
        <w:t xml:space="preserve">par lettre datée du </w:t>
      </w:r>
      <w:r w:rsidRPr="00873A41">
        <w:t>7 octobre 2025</w:t>
      </w:r>
      <w:r w:rsidRPr="00873A41" w:rsidR="00DD5880">
        <w:t>,</w:t>
      </w:r>
      <w:r w:rsidRPr="00873A41">
        <w:t xml:space="preserve"> </w:t>
      </w:r>
      <w:r w:rsidRPr="00873A41" w:rsidR="006A4621">
        <w:t xml:space="preserve">en liaison avec </w:t>
      </w:r>
      <w:r w:rsidRPr="00873A41">
        <w:t xml:space="preserve">une procédure pénale à engager </w:t>
      </w:r>
      <w:r w:rsidRPr="00873A41" w:rsidR="006A4621">
        <w:t>à son encontre</w:t>
      </w:r>
      <w:r w:rsidRPr="00873A41">
        <w:t xml:space="preserve">, </w:t>
      </w:r>
      <w:r w:rsidRPr="00873A41" w:rsidR="006A4621">
        <w:t>et communiquée</w:t>
      </w:r>
      <w:r w:rsidRPr="00873A41">
        <w:t xml:space="preserve"> en séance plénière le 22 octobre 2025,</w:t>
      </w:r>
    </w:p>
    <w:p w:rsidR="004A1596" w:rsidRPr="00873A41" w:rsidP="004A1596" w14:paraId="557F5613" w14:textId="77777777">
      <w:pPr>
        <w:pStyle w:val="NormalHanging12a"/>
        <w:widowControl/>
      </w:pPr>
      <w:r w:rsidRPr="00873A41">
        <w:t>–</w:t>
      </w:r>
      <w:r w:rsidRPr="00873A41">
        <w:tab/>
        <w:t xml:space="preserve">ayant entendu </w:t>
      </w:r>
      <w:r w:rsidRPr="00873A41">
        <w:t>Alvise</w:t>
      </w:r>
      <w:r w:rsidRPr="00873A41">
        <w:t xml:space="preserve"> Pérez le 24 mars 2026, conformément à l’article 9, paragraphe 6, de son règlement intérieur,</w:t>
      </w:r>
    </w:p>
    <w:p w:rsidR="004A1596" w:rsidRPr="00873A41" w:rsidP="004A1596" w14:paraId="1115F83D" w14:textId="77777777">
      <w:pPr>
        <w:pStyle w:val="NormalHanging12a"/>
        <w:widowControl/>
      </w:pPr>
      <w:r w:rsidRPr="00873A41">
        <w:t>–</w:t>
      </w:r>
      <w:r w:rsidRPr="00873A41">
        <w:tab/>
        <w:t>vu les articles 8 et 9 du protocole nº 7 sur les privilèges et immunités de l’Union européenne ainsi que l’article 6, paragraphe 2, de l’acte portant élection des membres du Parlement européen au suffrage universel direct, du 20 septembre 1976,</w:t>
      </w:r>
    </w:p>
    <w:p w:rsidR="004A1596" w:rsidRPr="00873A41" w:rsidP="004A1596" w14:paraId="12E0EDC4" w14:textId="77777777">
      <w:pPr>
        <w:pStyle w:val="NormalHanging12a"/>
        <w:widowControl/>
      </w:pPr>
      <w:r w:rsidRPr="00873A41">
        <w:t>–</w:t>
      </w:r>
      <w:r w:rsidRPr="00873A41">
        <w:tab/>
        <w:t>vu les arrêts rendus par la Cour de justice de l’Union européenne les 21 octobre 2008, 19 mars 2010, 6 septembre 2011, 17 janvier 2013 et 19 décembre 2019</w:t>
      </w:r>
      <w:r>
        <w:rPr>
          <w:rStyle w:val="FootnoteReference"/>
          <w:color w:val="000000"/>
        </w:rPr>
        <w:footnoteReference w:id="2"/>
      </w:r>
      <w:r w:rsidRPr="00873A41">
        <w:t>,</w:t>
      </w:r>
    </w:p>
    <w:p w:rsidR="004A1596" w:rsidRPr="00873A41" w:rsidP="004A1596" w14:paraId="5A0E351E" w14:textId="77777777">
      <w:pPr>
        <w:pStyle w:val="NormalHanging12a"/>
        <w:widowControl/>
      </w:pPr>
      <w:r w:rsidRPr="00873A41">
        <w:t>–</w:t>
      </w:r>
      <w:r w:rsidRPr="00873A41">
        <w:tab/>
        <w:t>vu l’article 71, paragraphes 1 et 2, de la Constitution espagnole,</w:t>
      </w:r>
    </w:p>
    <w:p w:rsidR="004A1596" w:rsidRPr="00873A41" w:rsidP="004A1596" w14:paraId="6E18B396" w14:textId="77777777">
      <w:pPr>
        <w:pStyle w:val="NormalHanging12a"/>
        <w:widowControl/>
      </w:pPr>
      <w:r w:rsidRPr="00873A41">
        <w:t>–</w:t>
      </w:r>
      <w:r w:rsidRPr="00873A41">
        <w:tab/>
        <w:t>vu l’article 5, paragraphe 2, l’article 6, paragraphe 1, et l’article 9 de son règlement intérieur,</w:t>
      </w:r>
    </w:p>
    <w:p w:rsidR="004A1596" w:rsidRPr="00873A41" w:rsidP="004A1596" w14:paraId="44AE6CB7" w14:textId="77777777">
      <w:pPr>
        <w:pStyle w:val="NormalHanging12a"/>
        <w:widowControl/>
      </w:pPr>
      <w:r w:rsidRPr="00873A41">
        <w:t>–</w:t>
      </w:r>
      <w:r w:rsidRPr="00873A41">
        <w:tab/>
        <w:t>vu le rapport de la commission des affaires juridiques (A10-0119/2026),</w:t>
      </w:r>
    </w:p>
    <w:p w:rsidR="004A1596" w:rsidRPr="00873A41" w:rsidP="004A1596" w14:paraId="728D7F9F" w14:textId="4BCA5708">
      <w:pPr>
        <w:pStyle w:val="NormalHanging12a"/>
        <w:widowControl/>
      </w:pPr>
      <w:r w:rsidRPr="00873A41">
        <w:t>A.</w:t>
      </w:r>
      <w:r w:rsidRPr="00873A41">
        <w:tab/>
        <w:t xml:space="preserve">considérant que, par lettre datée du 7 octobre 2025, la présidente de la Cour suprême d’Espagne a </w:t>
      </w:r>
      <w:r w:rsidRPr="00873A41" w:rsidR="006A4621">
        <w:t>demandé la</w:t>
      </w:r>
      <w:r w:rsidRPr="00873A41">
        <w:t xml:space="preserve"> levée de l’immunité d</w:t>
      </w:r>
      <w:r w:rsidRPr="00873A41" w:rsidR="006A4621">
        <w:t>’</w:t>
      </w:r>
      <w:r w:rsidRPr="00873A41">
        <w:t>Alvise</w:t>
      </w:r>
      <w:r w:rsidRPr="00873A41">
        <w:t xml:space="preserve"> Pérez, député au Parlement européen élu en Espagne, dans le cadre d’infractions </w:t>
      </w:r>
      <w:r w:rsidRPr="00873A41" w:rsidR="006A4621">
        <w:t>présumées ayant eu lieu en</w:t>
      </w:r>
      <w:r w:rsidRPr="00873A41">
        <w:t> </w:t>
      </w:r>
      <w:r w:rsidRPr="00873A41">
        <w:t>2024;</w:t>
      </w:r>
    </w:p>
    <w:p w:rsidR="004A1596" w:rsidRPr="00873A41" w:rsidP="004A1596" w14:paraId="3965DA1E" w14:textId="45399F29">
      <w:pPr>
        <w:pStyle w:val="Normal12a"/>
        <w:widowControl/>
        <w:ind w:left="567" w:hanging="567"/>
        <w:jc w:val="both"/>
      </w:pPr>
      <w:r w:rsidRPr="00873A41">
        <w:rPr>
          <w:shd w:val="clear" w:color="auto" w:fill="FFFFFF"/>
        </w:rPr>
        <w:t>B.</w:t>
      </w:r>
      <w:r w:rsidRPr="00873A41">
        <w:rPr>
          <w:shd w:val="clear" w:color="auto" w:fill="FFFFFF"/>
        </w:rPr>
        <w:tab/>
      </w:r>
      <w:r w:rsidRPr="00873A41">
        <w:t xml:space="preserve">considérant que la demande indique qu’en janvier et en février 2024, l’administrateur d’un canal </w:t>
      </w:r>
      <w:r w:rsidRPr="00873A41">
        <w:t>Telegram</w:t>
      </w:r>
      <w:r w:rsidRPr="00873A41">
        <w:t xml:space="preserve"> appelé «</w:t>
      </w:r>
      <w:r w:rsidRPr="00873A41">
        <w:t>Alvise</w:t>
      </w:r>
      <w:r w:rsidRPr="00873A41">
        <w:t xml:space="preserve"> Pérez Chat» aurait publié des déclarations mentionnant les noms des «responsables des persécutions idéologiques connues sous le nom de crimes de haine», visant en particulier le procureur délégué en charge des </w:t>
      </w:r>
      <w:r w:rsidRPr="00873A41" w:rsidR="006A4621">
        <w:t>crimes de</w:t>
      </w:r>
      <w:r w:rsidRPr="00873A41">
        <w:t xml:space="preserve"> haine à Valence; que les déclarations publiées sur cette chaîne ont suscité une réaction immédiate de la part de nombreux abonnés à la chaîne, qui ont envoyé plus de 1 500 commentaires à ce procureur délégué, </w:t>
      </w:r>
      <w:r w:rsidRPr="00873A41" w:rsidR="006A4621">
        <w:t xml:space="preserve">la plupart </w:t>
      </w:r>
      <w:r w:rsidRPr="00873A41">
        <w:t xml:space="preserve">de nature insultante; que les faits allégués </w:t>
      </w:r>
      <w:r w:rsidRPr="00873A41" w:rsidR="006A4621">
        <w:t>pourraient</w:t>
      </w:r>
      <w:r w:rsidRPr="00873A41">
        <w:t xml:space="preserve"> constituer des infractions de harcèlement ou de traque furtive, d’incitation à commettre une agression contre une autorité ou un agent public, de contrainte et/ou de propagation de la haine par l’intermédiaire des médias sociaux, </w:t>
      </w:r>
      <w:r w:rsidRPr="00873A41" w:rsidR="006A4621">
        <w:t>en vertu de</w:t>
      </w:r>
      <w:r w:rsidRPr="00873A41">
        <w:t xml:space="preserve"> l’article 172-ter et </w:t>
      </w:r>
      <w:r w:rsidRPr="00873A41" w:rsidR="006A4621">
        <w:t>de</w:t>
      </w:r>
      <w:r w:rsidRPr="00873A41">
        <w:t xml:space="preserve"> l’article 18, paragraphe 1, du code pénal espagnol lus en combinaison avec l’article 553 du code pénal espagnol;</w:t>
      </w:r>
    </w:p>
    <w:p w:rsidR="004A1596" w:rsidRPr="00873A41" w:rsidP="004A1596" w14:paraId="136D8558" w14:textId="11CE4113">
      <w:pPr>
        <w:pStyle w:val="NormalHanging12a"/>
        <w:widowControl/>
        <w:rPr>
          <w:szCs w:val="24"/>
          <w:shd w:val="clear" w:color="auto" w:fill="FFFFFF"/>
        </w:rPr>
      </w:pPr>
      <w:r w:rsidRPr="00873A41">
        <w:t>C.</w:t>
      </w:r>
      <w:r w:rsidRPr="00873A41">
        <w:tab/>
      </w:r>
      <w:r w:rsidRPr="00873A41">
        <w:rPr>
          <w:shd w:val="clear" w:color="auto" w:fill="FFFFFF"/>
        </w:rPr>
        <w:t>considérant qu</w:t>
      </w:r>
      <w:r w:rsidRPr="00873A41" w:rsidR="006A4621">
        <w:t>’</w:t>
      </w:r>
      <w:r w:rsidRPr="00873A41">
        <w:t>Alvise</w:t>
      </w:r>
      <w:r w:rsidRPr="00873A41">
        <w:t xml:space="preserve"> Pérez</w:t>
      </w:r>
      <w:r w:rsidRPr="00873A41">
        <w:rPr>
          <w:shd w:val="clear" w:color="auto" w:fill="FFFFFF"/>
        </w:rPr>
        <w:t xml:space="preserve"> a été élu au Parlement européen lors des élections européennes de juin 2024 et qu’il n’était </w:t>
      </w:r>
      <w:r w:rsidRPr="00873A41" w:rsidR="006A4621">
        <w:rPr>
          <w:shd w:val="clear" w:color="auto" w:fill="FFFFFF"/>
        </w:rPr>
        <w:t xml:space="preserve">dès lors </w:t>
      </w:r>
      <w:r w:rsidRPr="00873A41">
        <w:rPr>
          <w:shd w:val="clear" w:color="auto" w:fill="FFFFFF"/>
        </w:rPr>
        <w:t xml:space="preserve">pas député au Parlement européen au moment des infractions </w:t>
      </w:r>
      <w:r w:rsidRPr="00873A41" w:rsidR="006A4621">
        <w:rPr>
          <w:shd w:val="clear" w:color="auto" w:fill="FFFFFF"/>
        </w:rPr>
        <w:t>présumées</w:t>
      </w:r>
      <w:r w:rsidRPr="00873A41">
        <w:rPr>
          <w:shd w:val="clear" w:color="auto" w:fill="FFFFFF"/>
        </w:rPr>
        <w:t>;</w:t>
      </w:r>
      <w:r w:rsidRPr="00873A41">
        <w:rPr>
          <w:shd w:val="clear" w:color="auto" w:fill="FFFFFF"/>
        </w:rPr>
        <w:t xml:space="preserve"> </w:t>
      </w:r>
    </w:p>
    <w:p w:rsidR="004A1596" w:rsidRPr="00873A41" w:rsidP="004A1596" w14:paraId="6BA14FA4" w14:textId="77777777">
      <w:pPr>
        <w:pStyle w:val="NormalHanging12a"/>
        <w:widowControl/>
      </w:pPr>
      <w:r w:rsidRPr="00873A41">
        <w:t>D.</w:t>
      </w:r>
      <w:r w:rsidRPr="00873A41">
        <w:tab/>
        <w:t xml:space="preserve">considérant que les infractions présumées ne sont pas constitutives d’une opinion ou d’un vote émis par </w:t>
      </w:r>
      <w:r w:rsidRPr="00873A41">
        <w:t>Alvise</w:t>
      </w:r>
      <w:r w:rsidRPr="00873A41">
        <w:t xml:space="preserve"> Pérez dans l’exercice de ses fonctions au sens de l’article 8 du protocole nº 7 sur les privilèges et immunités de l’Union européenne et que la demande de levée de l’immunité d’</w:t>
      </w:r>
      <w:r w:rsidRPr="00873A41">
        <w:t>Alvise</w:t>
      </w:r>
      <w:r w:rsidRPr="00873A41">
        <w:t xml:space="preserve"> Pérez qui en découle n’est pas liée à une telle opinion ou à un tel vote;</w:t>
      </w:r>
    </w:p>
    <w:p w:rsidR="004A1596" w:rsidRPr="00873A41" w:rsidP="004A1596" w14:paraId="26793C24" w14:textId="77777777">
      <w:pPr>
        <w:pStyle w:val="NormalHanging12a"/>
        <w:widowControl/>
      </w:pPr>
      <w:r w:rsidRPr="00873A41">
        <w:t>E.</w:t>
      </w:r>
      <w:r w:rsidRPr="00873A41">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r w:rsidRPr="00873A41">
        <w:t>État;</w:t>
      </w:r>
    </w:p>
    <w:p w:rsidR="004A1596" w:rsidRPr="00873A41" w:rsidP="004A1596" w14:paraId="14050AC5" w14:textId="77777777">
      <w:pPr>
        <w:pStyle w:val="Normal12Hanging"/>
        <w:widowControl/>
      </w:pPr>
      <w:r w:rsidRPr="00873A41">
        <w:t>F.</w:t>
      </w:r>
      <w:r w:rsidRPr="00873A41">
        <w:tab/>
        <w:t xml:space="preserve">considérant que l’article 71, paragraphes 1 et 2, de la Constitution espagnole dispose ce qui </w:t>
      </w:r>
      <w:r w:rsidRPr="00873A41">
        <w:t>suit:</w:t>
      </w:r>
    </w:p>
    <w:p w:rsidR="004A1596" w:rsidRPr="00873A41" w:rsidP="00873A41" w14:paraId="207AEB4E" w14:textId="697FF3DF">
      <w:pPr>
        <w:pStyle w:val="Normal12Hanging"/>
        <w:widowControl/>
        <w:ind w:left="1134"/>
        <w:rPr>
          <w:iCs/>
        </w:rPr>
      </w:pPr>
      <w:r w:rsidRPr="00873A41">
        <w:t>«</w:t>
      </w:r>
      <w:r w:rsidRPr="00873A41">
        <w:t>1</w:t>
      </w:r>
      <w:r w:rsidRPr="00873A41">
        <w:rPr>
          <w:lang w:val="bg-BG"/>
        </w:rPr>
        <w:t>.</w:t>
      </w:r>
      <w:r w:rsidRPr="00873A41">
        <w:t xml:space="preserve"> </w:t>
      </w:r>
      <w:r w:rsidRPr="00873A41" w:rsidR="00C762AA">
        <w:tab/>
      </w:r>
      <w:r w:rsidRPr="00873A41">
        <w:t xml:space="preserve">Les députés et les sénateurs </w:t>
      </w:r>
      <w:r w:rsidRPr="00873A41" w:rsidR="00792DD8">
        <w:t>jouissent</w:t>
      </w:r>
      <w:r w:rsidRPr="00873A41">
        <w:t xml:space="preserve"> de l’inviolabilité pour les opinions exprimées dans l’exercice de leurs fonctions.</w:t>
      </w:r>
    </w:p>
    <w:p w:rsidR="004A1596" w:rsidRPr="00873A41" w:rsidP="00873A41" w14:paraId="26A1CA9B" w14:textId="30AFDEEC">
      <w:pPr>
        <w:pStyle w:val="NormalHanging12a"/>
        <w:widowControl/>
        <w:ind w:left="1134"/>
        <w:rPr>
          <w:iCs/>
          <w:color w:val="000000"/>
          <w:lang w:val="bg-BG"/>
        </w:rPr>
      </w:pPr>
      <w:r w:rsidRPr="00873A41">
        <w:t>2</w:t>
      </w:r>
      <w:r w:rsidRPr="00873A41" w:rsidR="00EF617C">
        <w:rPr>
          <w:lang w:val="bg-BG"/>
        </w:rPr>
        <w:t>.</w:t>
      </w:r>
      <w:r w:rsidRPr="00873A41">
        <w:t xml:space="preserve"> </w:t>
      </w:r>
      <w:r w:rsidRPr="00873A41" w:rsidR="00C762AA">
        <w:tab/>
      </w:r>
      <w:r w:rsidRPr="00873A41">
        <w:t xml:space="preserve">Pendant la durée de leur mandat, les députés et les sénateurs </w:t>
      </w:r>
      <w:r w:rsidRPr="00873A41" w:rsidR="00792DD8">
        <w:t>jouissent</w:t>
      </w:r>
      <w:r w:rsidRPr="00873A41">
        <w:t xml:space="preserve"> également de l’immunité et ne pourront être </w:t>
      </w:r>
      <w:r w:rsidRPr="00873A41" w:rsidR="00792DD8">
        <w:t>arrêtés</w:t>
      </w:r>
      <w:r w:rsidRPr="00873A41">
        <w:t xml:space="preserve"> qu’en cas de flagrant délit. Ils ne peuvent être </w:t>
      </w:r>
      <w:r w:rsidRPr="00873A41" w:rsidR="00792DD8">
        <w:t>inculpés</w:t>
      </w:r>
      <w:r w:rsidRPr="00873A41">
        <w:t xml:space="preserve"> ni </w:t>
      </w:r>
      <w:r w:rsidRPr="00873A41" w:rsidR="00792DD8">
        <w:t>attraits en justice</w:t>
      </w:r>
      <w:r w:rsidRPr="00873A41">
        <w:t xml:space="preserve"> sans l’autorisation préalable de leur </w:t>
      </w:r>
      <w:r w:rsidRPr="00873A41" w:rsidR="00792DD8">
        <w:t>assemblée</w:t>
      </w:r>
      <w:r w:rsidRPr="00873A41">
        <w:t xml:space="preserve"> respective</w:t>
      </w:r>
      <w:r w:rsidRPr="00873A41" w:rsidR="00EF617C">
        <w:rPr>
          <w:lang w:val="bg-BG"/>
        </w:rPr>
        <w:t>.</w:t>
      </w:r>
      <w:r w:rsidRPr="00873A41" w:rsidR="00EF617C">
        <w:t>»</w:t>
      </w:r>
      <w:r w:rsidRPr="00873A41" w:rsidR="00B12885">
        <w:t>;</w:t>
      </w:r>
    </w:p>
    <w:p w:rsidR="004A1596" w:rsidRPr="00873A41" w:rsidP="004A1596" w14:paraId="27E669C9" w14:textId="77777777">
      <w:pPr>
        <w:pStyle w:val="NormalHanging12a"/>
        <w:widowControl/>
        <w:rPr>
          <w:color w:val="000000"/>
        </w:rPr>
      </w:pPr>
      <w:r w:rsidRPr="00873A41">
        <w:rPr>
          <w:color w:val="000000"/>
        </w:rPr>
        <w:t>G.</w:t>
      </w:r>
      <w:r w:rsidRPr="00873A41">
        <w:rPr>
          <w:color w:val="000000"/>
        </w:rPr>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rsidR="004A1596" w:rsidRPr="00873A41" w:rsidP="004A1596" w14:paraId="4D7516D1" w14:textId="77777777">
      <w:pPr>
        <w:pStyle w:val="NormalHanging12a"/>
        <w:widowControl/>
        <w:rPr>
          <w:color w:val="000000"/>
        </w:rPr>
      </w:pPr>
      <w:r w:rsidRPr="00873A41">
        <w:rPr>
          <w:color w:val="000000"/>
        </w:rPr>
        <w:t>H.</w:t>
      </w:r>
      <w:r w:rsidRPr="00873A41">
        <w:rPr>
          <w:color w:val="000000"/>
        </w:rPr>
        <w:tab/>
        <w:t xml:space="preserve">considérant que, conformément à l’article 5, paragraphe 2, de son règlement intérieur, l’immunité parlementaire n’est pas un privilège personnel du député, mais une garantie d’indépendance du Parlement dans son ensemble et de ses </w:t>
      </w:r>
      <w:r w:rsidRPr="00873A41">
        <w:rPr>
          <w:color w:val="000000"/>
        </w:rPr>
        <w:t>députés;</w:t>
      </w:r>
    </w:p>
    <w:p w:rsidR="004A1596" w:rsidRPr="00873A41" w:rsidP="004A1596" w14:paraId="1FF91EC1" w14:textId="47900B8A">
      <w:pPr>
        <w:pStyle w:val="NormalHanging12a"/>
        <w:widowControl/>
        <w:rPr>
          <w:color w:val="000000"/>
        </w:rPr>
      </w:pPr>
      <w:r w:rsidRPr="00873A41">
        <w:rPr>
          <w:color w:val="000000"/>
        </w:rPr>
        <w:t>I.</w:t>
      </w:r>
      <w:r w:rsidRPr="00873A41">
        <w:rPr>
          <w:color w:val="000000"/>
        </w:rPr>
        <w:tab/>
        <w:t xml:space="preserve">considérant que, en l’espèce, le Parlement n’a </w:t>
      </w:r>
      <w:r w:rsidRPr="00873A41" w:rsidR="00DD5880">
        <w:rPr>
          <w:color w:val="000000"/>
        </w:rPr>
        <w:t>trouvé aucun élément de preuve établissant l’existence d’un</w:t>
      </w:r>
      <w:r w:rsidRPr="00873A41">
        <w:rPr>
          <w:color w:val="000000"/>
        </w:rPr>
        <w:t xml:space="preserve"> </w:t>
      </w:r>
      <w:r w:rsidRPr="00873A41">
        <w:rPr>
          <w:i/>
          <w:iCs/>
          <w:color w:val="000000"/>
        </w:rPr>
        <w:t>fumus</w:t>
      </w:r>
      <w:r w:rsidRPr="00873A41">
        <w:rPr>
          <w:i/>
          <w:iCs/>
          <w:color w:val="000000"/>
        </w:rPr>
        <w:t> </w:t>
      </w:r>
      <w:r w:rsidRPr="00873A41">
        <w:rPr>
          <w:i/>
          <w:iCs/>
          <w:color w:val="000000"/>
        </w:rPr>
        <w:t>persecutionis</w:t>
      </w:r>
      <w:r w:rsidRPr="00873A41">
        <w:rPr>
          <w:color w:val="000000"/>
        </w:rPr>
        <w:t xml:space="preserve">, c’est-à-dire </w:t>
      </w:r>
      <w:r w:rsidRPr="00873A41" w:rsidR="00092E59">
        <w:rPr>
          <w:color w:val="000000"/>
        </w:rPr>
        <w:t xml:space="preserve">qu’il </w:t>
      </w:r>
      <w:r w:rsidRPr="00873A41" w:rsidR="00DD5880">
        <w:rPr>
          <w:color w:val="000000"/>
        </w:rPr>
        <w:t>n’apparaît</w:t>
      </w:r>
      <w:r w:rsidRPr="00873A41" w:rsidR="00092E59">
        <w:rPr>
          <w:color w:val="000000"/>
        </w:rPr>
        <w:t xml:space="preserve"> pas que </w:t>
      </w:r>
      <w:r w:rsidRPr="00873A41" w:rsidR="00DD5880">
        <w:rPr>
          <w:color w:val="000000"/>
        </w:rPr>
        <w:t>les poursuites</w:t>
      </w:r>
      <w:r w:rsidRPr="00873A41" w:rsidR="00092E59">
        <w:rPr>
          <w:color w:val="000000"/>
        </w:rPr>
        <w:t xml:space="preserve"> en question </w:t>
      </w:r>
      <w:r w:rsidRPr="00873A41" w:rsidR="00DD5880">
        <w:rPr>
          <w:color w:val="000000"/>
        </w:rPr>
        <w:t>ont été engagées dans l’intention de nuire</w:t>
      </w:r>
      <w:r w:rsidRPr="00873A41" w:rsidR="00092E59">
        <w:rPr>
          <w:color w:val="000000"/>
        </w:rPr>
        <w:t xml:space="preserve"> à l’activité politique d’</w:t>
      </w:r>
      <w:r w:rsidRPr="00873A41" w:rsidR="00092E59">
        <w:rPr>
          <w:color w:val="000000"/>
        </w:rPr>
        <w:t>Alvise</w:t>
      </w:r>
      <w:r w:rsidRPr="00873A41" w:rsidR="00092E59">
        <w:rPr>
          <w:color w:val="000000"/>
        </w:rPr>
        <w:t xml:space="preserve"> Pérez en tant que député au Parlement européen et donc à l’indépendance du </w:t>
      </w:r>
      <w:r w:rsidRPr="00873A41" w:rsidR="00092E59">
        <w:rPr>
          <w:color w:val="000000"/>
        </w:rPr>
        <w:t>Parlement</w:t>
      </w:r>
      <w:r w:rsidRPr="00873A41">
        <w:rPr>
          <w:color w:val="000000"/>
        </w:rPr>
        <w:t>;</w:t>
      </w:r>
    </w:p>
    <w:p w:rsidR="004A1596" w:rsidRPr="00873A41" w:rsidP="004A1596" w14:paraId="331D88E3" w14:textId="77777777">
      <w:pPr>
        <w:pStyle w:val="NormalHanging12a"/>
        <w:widowControl/>
        <w:rPr>
          <w:color w:val="000000"/>
        </w:rPr>
      </w:pPr>
      <w:r w:rsidRPr="00873A41">
        <w:rPr>
          <w:color w:val="000000"/>
        </w:rPr>
        <w:t>J.</w:t>
      </w:r>
      <w:r w:rsidRPr="00873A41">
        <w:rPr>
          <w:color w:val="000000"/>
        </w:rPr>
        <w:tab/>
        <w:t>considérant, d’une part, que le Parlement ne saurait être assimilé à un tribunal et, d’autre part, que le député ne saurait, dans le contexte d’une procédure de levée d’immunité, être considéré comme un «accusé»</w:t>
      </w:r>
      <w:r>
        <w:rPr>
          <w:color w:val="000000"/>
          <w:vertAlign w:val="superscript"/>
        </w:rPr>
        <w:footnoteReference w:id="3"/>
      </w:r>
      <w:r w:rsidRPr="00873A41">
        <w:rPr>
          <w:color w:val="000000"/>
        </w:rPr>
        <w:t>;</w:t>
      </w:r>
    </w:p>
    <w:p w:rsidR="004A1596" w:rsidRPr="00873A41" w:rsidP="00C762AA" w14:paraId="0F193DD7" w14:textId="2B4ECAE7">
      <w:pPr>
        <w:pStyle w:val="NormalHanging12a"/>
        <w:widowControl/>
        <w:rPr>
          <w:color w:val="000000"/>
        </w:rPr>
      </w:pPr>
      <w:r w:rsidRPr="00873A41">
        <w:rPr>
          <w:color w:val="000000"/>
        </w:rPr>
        <w:t>1.</w:t>
      </w:r>
      <w:r w:rsidRPr="00873A41">
        <w:rPr>
          <w:color w:val="000000"/>
        </w:rPr>
        <w:tab/>
        <w:t xml:space="preserve">décide de lever l’immunité </w:t>
      </w:r>
      <w:r w:rsidRPr="00873A41" w:rsidR="00DD5880">
        <w:rPr>
          <w:color w:val="000000"/>
        </w:rPr>
        <w:t>d’</w:t>
      </w:r>
      <w:r w:rsidRPr="00873A41">
        <w:rPr>
          <w:color w:val="000000"/>
        </w:rPr>
        <w:t>Alvise</w:t>
      </w:r>
      <w:r w:rsidRPr="00873A41">
        <w:rPr>
          <w:color w:val="000000"/>
        </w:rPr>
        <w:t xml:space="preserve"> </w:t>
      </w:r>
      <w:r w:rsidRPr="00873A41">
        <w:rPr>
          <w:color w:val="000000"/>
        </w:rPr>
        <w:t>Pérez;</w:t>
      </w:r>
    </w:p>
    <w:p w:rsidR="00E365E1" w:rsidRPr="006014C9" w:rsidP="00873A41" w14:paraId="43AB65C7" w14:textId="748E8C89">
      <w:pPr>
        <w:ind w:left="567" w:hanging="567"/>
      </w:pPr>
      <w:r w:rsidRPr="00873A41">
        <w:t>2.</w:t>
      </w:r>
      <w:r w:rsidRPr="00873A41">
        <w:tab/>
        <w:t xml:space="preserve">charge sa Présidente de transmettre immédiatement la présente décision et le rapport de sa commission compétente aux autorités compétentes du Royaume d’Espagne et à </w:t>
      </w:r>
      <w:r w:rsidRPr="00873A41">
        <w:t>Alvise</w:t>
      </w:r>
      <w:r w:rsidRPr="00873A41">
        <w:t xml:space="preserve"> Pérez.</w:t>
      </w:r>
    </w:p>
    <w:sectPr w:rsidSect="006014C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294D6FB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60BA83F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1A2F05B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6339" w:rsidRPr="006014C9" w14:paraId="779F6699" w14:textId="77777777">
      <w:r w:rsidRPr="006014C9">
        <w:separator/>
      </w:r>
    </w:p>
  </w:footnote>
  <w:footnote w:type="continuationSeparator" w:id="1">
    <w:p w:rsidR="004A6339" w:rsidRPr="006014C9" w14:paraId="014E1A99" w14:textId="77777777">
      <w:r w:rsidRPr="006014C9">
        <w:continuationSeparator/>
      </w:r>
    </w:p>
  </w:footnote>
  <w:footnote w:id="2">
    <w:p w:rsidR="004A1596" w:rsidRPr="006014C9" w:rsidP="006014C9" w14:paraId="06332437" w14:textId="2CAFF37E">
      <w:pPr>
        <w:pStyle w:val="FootnoteText"/>
        <w:ind w:left="567" w:hanging="567"/>
        <w:rPr>
          <w:sz w:val="24"/>
        </w:rPr>
      </w:pPr>
      <w:r w:rsidRPr="006014C9">
        <w:rPr>
          <w:rStyle w:val="FootnoteReference"/>
          <w:sz w:val="24"/>
        </w:rPr>
        <w:footnoteRef/>
      </w:r>
      <w:r w:rsidRPr="006014C9" w:rsidR="006014C9">
        <w:rPr>
          <w:sz w:val="24"/>
        </w:rPr>
        <w:t xml:space="preserve"> </w:t>
      </w:r>
      <w:r w:rsidRPr="006014C9" w:rsidR="006014C9">
        <w:rPr>
          <w:sz w:val="24"/>
        </w:rPr>
        <w:tab/>
      </w:r>
      <w:r w:rsidR="006A4621">
        <w:rPr>
          <w:sz w:val="24"/>
        </w:rPr>
        <w:t>A</w:t>
      </w:r>
      <w:r w:rsidRPr="006014C9">
        <w:rPr>
          <w:sz w:val="24"/>
        </w:rPr>
        <w:t xml:space="preserve">rrêt de la Cour de justice du 21 octobre 2008, Marra, C-200/07 et C-201/07, </w:t>
      </w:r>
      <w:r w:rsidRPr="006014C9">
        <w:rPr>
          <w:sz w:val="24"/>
        </w:rPr>
        <w:t>ECLI:</w:t>
      </w:r>
      <w:r w:rsidRPr="006014C9">
        <w:rPr>
          <w:sz w:val="24"/>
        </w:rPr>
        <w:t xml:space="preserve">EU:C:2008:579; arrêt du Tribunal du 19 mars 2010, </w:t>
      </w:r>
      <w:r w:rsidRPr="006014C9">
        <w:rPr>
          <w:sz w:val="24"/>
        </w:rPr>
        <w:t>Gollnisch</w:t>
      </w:r>
      <w:r w:rsidRPr="006014C9">
        <w:rPr>
          <w:sz w:val="24"/>
        </w:rPr>
        <w:t xml:space="preserve">/Parlement, T-42/06, ECLI:EU:T:2010:102; arrêt de la Cour de justice du 6 septembre 2011, </w:t>
      </w:r>
      <w:r w:rsidRPr="006014C9">
        <w:rPr>
          <w:sz w:val="24"/>
        </w:rPr>
        <w:t>Patriciello</w:t>
      </w:r>
      <w:r w:rsidRPr="006014C9">
        <w:rPr>
          <w:sz w:val="24"/>
        </w:rPr>
        <w:t xml:space="preserve">, C-163/10, ECLI: EU:C:2011:543; arrêt du Tribunal du 17 janvier 2013, </w:t>
      </w:r>
      <w:r w:rsidRPr="006014C9">
        <w:rPr>
          <w:sz w:val="24"/>
        </w:rPr>
        <w:t>Gollnisch</w:t>
      </w:r>
      <w:r w:rsidRPr="006014C9">
        <w:rPr>
          <w:sz w:val="24"/>
        </w:rPr>
        <w:t xml:space="preserve">/Parlement, T-346/11 et T-347/11, ECLI:EU:T:2013:23. arrêt de la Cour de justice du 19 décembre 2019, </w:t>
      </w:r>
      <w:r w:rsidRPr="006014C9">
        <w:rPr>
          <w:sz w:val="24"/>
        </w:rPr>
        <w:t>Junqueras</w:t>
      </w:r>
      <w:r w:rsidRPr="006014C9">
        <w:rPr>
          <w:sz w:val="24"/>
        </w:rPr>
        <w:t> Vies, C-502/19, ECLI:EU:C:2019:1115.</w:t>
      </w:r>
    </w:p>
  </w:footnote>
  <w:footnote w:id="3">
    <w:p w:rsidR="004A1596" w:rsidRPr="006014C9" w:rsidP="006014C9" w14:paraId="730105AE" w14:textId="2233ED71">
      <w:pPr>
        <w:pStyle w:val="FootnoteText"/>
        <w:ind w:left="567" w:hanging="567"/>
        <w:rPr>
          <w:sz w:val="24"/>
        </w:rPr>
      </w:pPr>
      <w:r w:rsidRPr="006014C9">
        <w:rPr>
          <w:rStyle w:val="FootnoteReference"/>
          <w:sz w:val="24"/>
        </w:rPr>
        <w:footnoteRef/>
      </w:r>
      <w:r w:rsidRPr="006014C9" w:rsidR="006014C9">
        <w:rPr>
          <w:sz w:val="24"/>
        </w:rPr>
        <w:t xml:space="preserve"> </w:t>
      </w:r>
      <w:r w:rsidRPr="006014C9" w:rsidR="006014C9">
        <w:rPr>
          <w:sz w:val="24"/>
        </w:rPr>
        <w:tab/>
      </w:r>
      <w:r w:rsidRPr="006014C9">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27B9832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1A2429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4C9" w14:paraId="50E90F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4339463">
    <w:abstractNumId w:val="9"/>
  </w:num>
  <w:num w:numId="2" w16cid:durableId="2116175232">
    <w:abstractNumId w:val="9"/>
  </w:num>
  <w:num w:numId="3" w16cid:durableId="1402408510">
    <w:abstractNumId w:val="7"/>
  </w:num>
  <w:num w:numId="4" w16cid:durableId="314529072">
    <w:abstractNumId w:val="7"/>
  </w:num>
  <w:num w:numId="5" w16cid:durableId="507453213">
    <w:abstractNumId w:val="6"/>
  </w:num>
  <w:num w:numId="6" w16cid:durableId="518469836">
    <w:abstractNumId w:val="6"/>
  </w:num>
  <w:num w:numId="7" w16cid:durableId="1252274998">
    <w:abstractNumId w:val="5"/>
  </w:num>
  <w:num w:numId="8" w16cid:durableId="780494002">
    <w:abstractNumId w:val="5"/>
  </w:num>
  <w:num w:numId="9" w16cid:durableId="1388214843">
    <w:abstractNumId w:val="4"/>
  </w:num>
  <w:num w:numId="10" w16cid:durableId="201671915">
    <w:abstractNumId w:val="4"/>
  </w:num>
  <w:num w:numId="11" w16cid:durableId="245462706">
    <w:abstractNumId w:val="8"/>
  </w:num>
  <w:num w:numId="12" w16cid:durableId="671176288">
    <w:abstractNumId w:val="8"/>
  </w:num>
  <w:num w:numId="13" w16cid:durableId="1953318724">
    <w:abstractNumId w:val="3"/>
  </w:num>
  <w:num w:numId="14" w16cid:durableId="587233928">
    <w:abstractNumId w:val="3"/>
  </w:num>
  <w:num w:numId="15" w16cid:durableId="605380626">
    <w:abstractNumId w:val="2"/>
  </w:num>
  <w:num w:numId="16" w16cid:durableId="908230002">
    <w:abstractNumId w:val="2"/>
  </w:num>
  <w:num w:numId="17" w16cid:durableId="1508977393">
    <w:abstractNumId w:val="1"/>
  </w:num>
  <w:num w:numId="18" w16cid:durableId="2085829914">
    <w:abstractNumId w:val="1"/>
  </w:num>
  <w:num w:numId="19" w16cid:durableId="1014498352">
    <w:abstractNumId w:val="0"/>
  </w:num>
  <w:num w:numId="20" w16cid:durableId="766535022">
    <w:abstractNumId w:val="0"/>
  </w:num>
  <w:num w:numId="21" w16cid:durableId="344477548">
    <w:abstractNumId w:val="9"/>
  </w:num>
  <w:num w:numId="22" w16cid:durableId="1892643612">
    <w:abstractNumId w:val="7"/>
  </w:num>
  <w:num w:numId="23" w16cid:durableId="1241867561">
    <w:abstractNumId w:val="6"/>
  </w:num>
  <w:num w:numId="24" w16cid:durableId="679622422">
    <w:abstractNumId w:val="5"/>
  </w:num>
  <w:num w:numId="25" w16cid:durableId="369844351">
    <w:abstractNumId w:val="4"/>
  </w:num>
  <w:num w:numId="26" w16cid:durableId="554661347">
    <w:abstractNumId w:val="8"/>
  </w:num>
  <w:num w:numId="27" w16cid:durableId="393478954">
    <w:abstractNumId w:val="3"/>
  </w:num>
  <w:num w:numId="28" w16cid:durableId="658777790">
    <w:abstractNumId w:val="2"/>
  </w:num>
  <w:num w:numId="29" w16cid:durableId="1251544707">
    <w:abstractNumId w:val="1"/>
  </w:num>
  <w:num w:numId="30" w16cid:durableId="679501732">
    <w:abstractNumId w:val="0"/>
  </w:num>
  <w:num w:numId="31" w16cid:durableId="19674279">
    <w:abstractNumId w:val="9"/>
  </w:num>
  <w:num w:numId="32" w16cid:durableId="1067991585">
    <w:abstractNumId w:val="7"/>
  </w:num>
  <w:num w:numId="33" w16cid:durableId="1653020011">
    <w:abstractNumId w:val="6"/>
  </w:num>
  <w:num w:numId="34" w16cid:durableId="57747527">
    <w:abstractNumId w:val="5"/>
  </w:num>
  <w:num w:numId="35" w16cid:durableId="1223559170">
    <w:abstractNumId w:val="4"/>
  </w:num>
  <w:num w:numId="36" w16cid:durableId="747113513">
    <w:abstractNumId w:val="8"/>
  </w:num>
  <w:num w:numId="37" w16cid:durableId="121315696">
    <w:abstractNumId w:val="3"/>
  </w:num>
  <w:num w:numId="38" w16cid:durableId="917832912">
    <w:abstractNumId w:val="2"/>
  </w:num>
  <w:num w:numId="39" w16cid:durableId="1028528310">
    <w:abstractNumId w:val="1"/>
  </w:num>
  <w:num w:numId="40" w16cid:durableId="1252423565">
    <w:abstractNumId w:val="0"/>
  </w:num>
  <w:num w:numId="41" w16cid:durableId="1671057780">
    <w:abstractNumId w:val="10"/>
  </w:num>
  <w:num w:numId="42" w16cid:durableId="1108279627">
    <w:abstractNumId w:val="10"/>
  </w:num>
  <w:num w:numId="43" w16cid:durableId="1229538600">
    <w:abstractNumId w:val="10"/>
  </w:num>
  <w:num w:numId="44" w16cid:durableId="266305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39"/>
    <w:rsid w:val="00002272"/>
    <w:rsid w:val="00064002"/>
    <w:rsid w:val="000677B9"/>
    <w:rsid w:val="000831BA"/>
    <w:rsid w:val="00092E5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23A"/>
    <w:rsid w:val="00471C19"/>
    <w:rsid w:val="004867E3"/>
    <w:rsid w:val="00494A28"/>
    <w:rsid w:val="004A1596"/>
    <w:rsid w:val="004A6339"/>
    <w:rsid w:val="004C0004"/>
    <w:rsid w:val="004C5D52"/>
    <w:rsid w:val="0050519A"/>
    <w:rsid w:val="005072A1"/>
    <w:rsid w:val="00514517"/>
    <w:rsid w:val="00545827"/>
    <w:rsid w:val="00560270"/>
    <w:rsid w:val="005C2568"/>
    <w:rsid w:val="005F1B17"/>
    <w:rsid w:val="006014C9"/>
    <w:rsid w:val="006037C0"/>
    <w:rsid w:val="006631B6"/>
    <w:rsid w:val="00680577"/>
    <w:rsid w:val="006A4621"/>
    <w:rsid w:val="006F74FA"/>
    <w:rsid w:val="00731ADD"/>
    <w:rsid w:val="00734777"/>
    <w:rsid w:val="00747932"/>
    <w:rsid w:val="00751A4A"/>
    <w:rsid w:val="00756632"/>
    <w:rsid w:val="00762C74"/>
    <w:rsid w:val="00786EC0"/>
    <w:rsid w:val="00792DD8"/>
    <w:rsid w:val="007D1690"/>
    <w:rsid w:val="007E22AD"/>
    <w:rsid w:val="00817416"/>
    <w:rsid w:val="00842779"/>
    <w:rsid w:val="00865F67"/>
    <w:rsid w:val="00873A41"/>
    <w:rsid w:val="00881A7B"/>
    <w:rsid w:val="008840E5"/>
    <w:rsid w:val="00887B3E"/>
    <w:rsid w:val="008929E2"/>
    <w:rsid w:val="008C294A"/>
    <w:rsid w:val="008C2AC6"/>
    <w:rsid w:val="00930C23"/>
    <w:rsid w:val="0093193B"/>
    <w:rsid w:val="009509D8"/>
    <w:rsid w:val="00950B64"/>
    <w:rsid w:val="00981893"/>
    <w:rsid w:val="00A07819"/>
    <w:rsid w:val="00A1687D"/>
    <w:rsid w:val="00A43E52"/>
    <w:rsid w:val="00A4678D"/>
    <w:rsid w:val="00A778C7"/>
    <w:rsid w:val="00AB441E"/>
    <w:rsid w:val="00AB6293"/>
    <w:rsid w:val="00AE0928"/>
    <w:rsid w:val="00AF3B82"/>
    <w:rsid w:val="00B12885"/>
    <w:rsid w:val="00B12E95"/>
    <w:rsid w:val="00B22876"/>
    <w:rsid w:val="00B558F0"/>
    <w:rsid w:val="00B82A69"/>
    <w:rsid w:val="00BD48FE"/>
    <w:rsid w:val="00BD7BD8"/>
    <w:rsid w:val="00BE6ADC"/>
    <w:rsid w:val="00BF658C"/>
    <w:rsid w:val="00C05BFE"/>
    <w:rsid w:val="00C23CD4"/>
    <w:rsid w:val="00C61C0C"/>
    <w:rsid w:val="00C762AA"/>
    <w:rsid w:val="00C941CB"/>
    <w:rsid w:val="00CC2357"/>
    <w:rsid w:val="00CF071A"/>
    <w:rsid w:val="00D058B8"/>
    <w:rsid w:val="00D56C11"/>
    <w:rsid w:val="00D834A0"/>
    <w:rsid w:val="00D872DF"/>
    <w:rsid w:val="00D91E21"/>
    <w:rsid w:val="00DA7FCD"/>
    <w:rsid w:val="00DB4FD8"/>
    <w:rsid w:val="00DB6706"/>
    <w:rsid w:val="00DD5880"/>
    <w:rsid w:val="00E365E1"/>
    <w:rsid w:val="00E820A4"/>
    <w:rsid w:val="00EB006A"/>
    <w:rsid w:val="00EB4772"/>
    <w:rsid w:val="00ED169E"/>
    <w:rsid w:val="00ED4235"/>
    <w:rsid w:val="00EF617C"/>
    <w:rsid w:val="00F04346"/>
    <w:rsid w:val="00F075DC"/>
    <w:rsid w:val="00F149E9"/>
    <w:rsid w:val="00F5134D"/>
    <w:rsid w:val="00F6714A"/>
    <w:rsid w:val="00F74202"/>
    <w:rsid w:val="00F87713"/>
    <w:rsid w:val="00F904D1"/>
    <w:rsid w:val="00FB4360"/>
    <w:rsid w:val="00FD0C70"/>
  </w:rsids>
  <w:docVars>
    <w:docVar w:name="dvdocse" w:val="A10-0119/2026"/>
    <w:docVar w:name="dvlangue" w:val="FR"/>
    <w:docVar w:name="dvnumam" w:val="0"/>
    <w:docVar w:name="dvpe" w:val="784.496"/>
    <w:docVar w:name="dvrapporteur" w:val="Rapporteur: "/>
    <w:docVar w:name="dvtitre" w:val="Décision du Parlement européen du ... 2026 sur la demande de levée de l’immunité d’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5159D95"/>
  <w15:chartTrackingRefBased/>
  <w15:docId w15:val="{B02EECFD-7DB7-4530-A206-138BE254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A1596"/>
    <w:pPr>
      <w:spacing w:after="240"/>
    </w:pPr>
  </w:style>
  <w:style w:type="paragraph" w:customStyle="1" w:styleId="NormalHanging12a">
    <w:name w:val="NormalHanging12a"/>
    <w:basedOn w:val="Normal"/>
    <w:rsid w:val="004A1596"/>
    <w:pPr>
      <w:spacing w:after="240"/>
      <w:ind w:left="567" w:hanging="567"/>
    </w:pPr>
  </w:style>
  <w:style w:type="paragraph" w:customStyle="1" w:styleId="EPComma">
    <w:name w:val="EPComma"/>
    <w:basedOn w:val="Normal"/>
    <w:rsid w:val="004A1596"/>
    <w:pPr>
      <w:spacing w:before="480" w:after="240"/>
    </w:pPr>
  </w:style>
  <w:style w:type="paragraph" w:customStyle="1" w:styleId="Normal12Hanging">
    <w:name w:val="Normal12Hanging"/>
    <w:basedOn w:val="Normal"/>
    <w:rsid w:val="004A1596"/>
    <w:pPr>
      <w:spacing w:after="240"/>
      <w:ind w:left="567" w:hanging="567"/>
    </w:pPr>
  </w:style>
  <w:style w:type="paragraph" w:styleId="Revision">
    <w:name w:val="Revision"/>
    <w:hidden/>
    <w:uiPriority w:val="99"/>
    <w:semiHidden/>
    <w:rsid w:val="00C762AA"/>
    <w:rPr>
      <w:sz w:val="24"/>
      <w:lang w:val="fr-FR"/>
    </w:rPr>
  </w:style>
  <w:style w:type="character" w:styleId="CommentReference">
    <w:name w:val="annotation reference"/>
    <w:basedOn w:val="DefaultParagraphFont"/>
    <w:rsid w:val="00792DD8"/>
    <w:rPr>
      <w:sz w:val="16"/>
      <w:szCs w:val="16"/>
    </w:rPr>
  </w:style>
  <w:style w:type="paragraph" w:styleId="CommentText">
    <w:name w:val="annotation text"/>
    <w:basedOn w:val="Normal"/>
    <w:link w:val="CommentTextChar"/>
    <w:rsid w:val="00792DD8"/>
    <w:rPr>
      <w:sz w:val="20"/>
    </w:rPr>
  </w:style>
  <w:style w:type="character" w:customStyle="1" w:styleId="CommentTextChar">
    <w:name w:val="Comment Text Char"/>
    <w:basedOn w:val="DefaultParagraphFont"/>
    <w:link w:val="CommentText"/>
    <w:rsid w:val="00792DD8"/>
    <w:rPr>
      <w:lang w:val="fr-FR"/>
    </w:rPr>
  </w:style>
  <w:style w:type="paragraph" w:styleId="CommentSubject">
    <w:name w:val="annotation subject"/>
    <w:basedOn w:val="CommentText"/>
    <w:next w:val="CommentText"/>
    <w:link w:val="CommentSubjectChar"/>
    <w:rsid w:val="00792DD8"/>
    <w:rPr>
      <w:b/>
      <w:bCs/>
    </w:rPr>
  </w:style>
  <w:style w:type="character" w:customStyle="1" w:styleId="CommentSubjectChar">
    <w:name w:val="Comment Subject Char"/>
    <w:basedOn w:val="CommentTextChar"/>
    <w:link w:val="CommentSubject"/>
    <w:rsid w:val="00792DD8"/>
    <w:rPr>
      <w:b/>
      <w:bCs/>
      <w:lang w:val="fr-FR"/>
    </w:rPr>
  </w:style>
  <w:style w:type="character" w:styleId="Hyperlink">
    <w:name w:val="Hyperlink"/>
    <w:basedOn w:val="DefaultParagraphFont"/>
    <w:rsid w:val="00792DD8"/>
    <w:rPr>
      <w:color w:val="0563C1" w:themeColor="hyperlink"/>
      <w:u w:val="single"/>
    </w:rPr>
  </w:style>
  <w:style w:type="character" w:styleId="UnresolvedMention">
    <w:name w:val="Unresolved Mention"/>
    <w:basedOn w:val="DefaultParagraphFont"/>
    <w:uiPriority w:val="99"/>
    <w:semiHidden/>
    <w:unhideWhenUsed/>
    <w:rsid w:val="00792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829</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2026-04-28T11:15:00Z</dcterms:created>
  <dcterms:modified xsi:type="dcterms:W3CDTF">2026-04-28T11:15:00Z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A10-0119/2026</vt:lpwstr>
  </property>
  <property fmtid="{D5CDD505-2E9C-101B-9397-08002B2CF9AE}" pid="4" name="&lt;Type&gt;">
    <vt:lpwstr>RR</vt:lpwstr>
  </property>
</Properties>
</file>