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C46C539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00985" w:rsidP="0010095E" w14:paraId="57631717" w14:textId="77777777">
            <w:pPr>
              <w:pStyle w:val="EPName"/>
            </w:pPr>
            <w:r w:rsidRPr="00400985">
              <w:t>Európai Parlament</w:t>
            </w:r>
          </w:p>
          <w:p w:rsidR="00751A4A" w:rsidRPr="00400985" w:rsidP="005F1B17" w14:paraId="0F79B8F5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00985">
              <w:t>2024</w:t>
            </w:r>
            <w:r w:rsidRPr="00400985" w:rsidR="00817416">
              <w:t>-202</w:t>
            </w:r>
            <w:r w:rsidRPr="0040098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00985" w:rsidP="0010095E" w14:paraId="4BB93C2F" w14:textId="77777777">
            <w:pPr>
              <w:pStyle w:val="EPLogo"/>
            </w:pPr>
            <w:r w:rsidRPr="00400985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00985" w:rsidP="004C5D52" w14:paraId="6208CFA1" w14:textId="77777777">
      <w:pPr>
        <w:pStyle w:val="LineTop"/>
      </w:pPr>
    </w:p>
    <w:p w:rsidR="00680577" w:rsidRPr="00400985" w:rsidP="00680577" w14:paraId="07124EF9" w14:textId="77777777">
      <w:pPr>
        <w:pStyle w:val="EPBodyTA1"/>
      </w:pPr>
      <w:r w:rsidRPr="00400985">
        <w:t>ELFOGADOTT SZÖVEGEK</w:t>
      </w:r>
    </w:p>
    <w:p w:rsidR="00D058B8" w:rsidRPr="00400985" w:rsidP="00D058B8" w14:paraId="646C671E" w14:textId="77777777">
      <w:pPr>
        <w:pStyle w:val="LineBottom"/>
      </w:pPr>
    </w:p>
    <w:p w:rsidR="007300EA" w:rsidRPr="00400985" w:rsidP="007300EA" w14:paraId="2DBCE0BC" w14:textId="473A1BCB">
      <w:pPr>
        <w:pStyle w:val="ATHeading1"/>
      </w:pPr>
      <w:bookmarkStart w:id="0" w:name="TANumber"/>
      <w:r w:rsidRPr="00400985">
        <w:t>P10_</w:t>
      </w:r>
      <w:r w:rsidRPr="00400985">
        <w:t>TA(</w:t>
      </w:r>
      <w:r w:rsidRPr="00400985">
        <w:t>2026)0</w:t>
      </w:r>
      <w:r w:rsidRPr="00400985" w:rsidR="00400985">
        <w:t>11</w:t>
      </w:r>
      <w:r w:rsidRPr="00400985">
        <w:t>0</w:t>
      </w:r>
      <w:bookmarkEnd w:id="0"/>
    </w:p>
    <w:p w:rsidR="007300EA" w:rsidRPr="00400985" w:rsidP="007300EA" w14:paraId="42066948" w14:textId="0F190E1D">
      <w:pPr>
        <w:pStyle w:val="ATHeading2"/>
      </w:pPr>
      <w:bookmarkStart w:id="1" w:name="title"/>
      <w:r w:rsidRPr="00400985">
        <w:t xml:space="preserve">Az </w:t>
      </w:r>
      <w:r w:rsidRPr="00400985">
        <w:t>Alvise</w:t>
      </w:r>
      <w:r w:rsidRPr="00400985">
        <w:t xml:space="preserve"> </w:t>
      </w:r>
      <w:r w:rsidRPr="00400985">
        <w:t>Pérez</w:t>
      </w:r>
      <w:r w:rsidRPr="00400985">
        <w:t xml:space="preserve"> mentelmi jogának felfüggesztésére irányuló kérelem </w:t>
      </w:r>
      <w:bookmarkEnd w:id="1"/>
    </w:p>
    <w:p w:rsidR="007300EA" w:rsidRPr="00400985" w:rsidP="007300EA" w14:paraId="0B01D8F5" w14:textId="77777777">
      <w:pPr>
        <w:rPr>
          <w:i/>
          <w:vanish/>
        </w:rPr>
      </w:pPr>
      <w:r>
        <w:rPr>
          <w:i/>
        </w:rPr>
        <w:fldChar w:fldCharType="begin"/>
      </w:r>
      <w:r w:rsidRPr="00400985">
        <w:rPr>
          <w:i/>
        </w:rPr>
        <w:instrText xml:space="preserve"> TC"(</w:instrText>
      </w:r>
      <w:bookmarkStart w:id="2" w:name="DocNumber"/>
      <w:r w:rsidRPr="00400985">
        <w:rPr>
          <w:i/>
        </w:rPr>
        <w:instrText>A10-0119/2026</w:instrText>
      </w:r>
      <w:bookmarkEnd w:id="2"/>
      <w:r w:rsidRPr="00400985">
        <w:rPr>
          <w:i/>
        </w:rPr>
        <w:instrText xml:space="preserve"> - Előadó: Mario Furore)"\l3 \n&gt; \* MERGEFORMAT </w:instrText>
      </w:r>
      <w:r>
        <w:rPr>
          <w:i/>
        </w:rPr>
        <w:fldChar w:fldCharType="end"/>
      </w:r>
    </w:p>
    <w:p w:rsidR="007300EA" w:rsidRPr="00400985" w:rsidP="007300EA" w14:paraId="60ECF4C3" w14:textId="77777777">
      <w:pPr>
        <w:rPr>
          <w:vanish/>
        </w:rPr>
      </w:pPr>
      <w:bookmarkStart w:id="3" w:name="Commission"/>
      <w:r w:rsidRPr="00400985">
        <w:rPr>
          <w:vanish/>
        </w:rPr>
        <w:t>Jogi Bizottság</w:t>
      </w:r>
      <w:bookmarkEnd w:id="3"/>
    </w:p>
    <w:p w:rsidR="007300EA" w:rsidRPr="00400985" w:rsidP="007300EA" w14:paraId="7D76BACC" w14:textId="77777777">
      <w:pPr>
        <w:rPr>
          <w:vanish/>
        </w:rPr>
      </w:pPr>
      <w:bookmarkStart w:id="4" w:name="PE"/>
      <w:r w:rsidRPr="00400985">
        <w:rPr>
          <w:vanish/>
        </w:rPr>
        <w:t>PE784.496</w:t>
      </w:r>
      <w:bookmarkEnd w:id="4"/>
    </w:p>
    <w:p w:rsidR="007300EA" w:rsidRPr="00400985" w:rsidP="007300EA" w14:paraId="4EE91BC5" w14:textId="4C5D2295">
      <w:pPr>
        <w:pStyle w:val="ATHeading3"/>
      </w:pPr>
      <w:bookmarkStart w:id="5" w:name="Sujet"/>
      <w:r w:rsidRPr="00400985">
        <w:t xml:space="preserve">Az Európai Parlament 2026. </w:t>
      </w:r>
      <w:r w:rsidRPr="00400985" w:rsidR="00AD601B">
        <w:t>április 28</w:t>
      </w:r>
      <w:r w:rsidRPr="00400985">
        <w:t xml:space="preserve">-i határozata </w:t>
      </w:r>
      <w:r w:rsidRPr="00400985" w:rsidR="00BD10B2">
        <w:t xml:space="preserve">az </w:t>
      </w:r>
      <w:r w:rsidRPr="00400985">
        <w:t>Alvise</w:t>
      </w:r>
      <w:r w:rsidRPr="00400985">
        <w:t xml:space="preserve"> </w:t>
      </w:r>
      <w:r w:rsidRPr="00400985">
        <w:t>Pérez</w:t>
      </w:r>
      <w:r w:rsidRPr="00400985">
        <w:t xml:space="preserve"> mentelmi jogának felfüggesztésére irányuló kérelem</w:t>
      </w:r>
      <w:bookmarkEnd w:id="5"/>
      <w:r w:rsidRPr="00400985" w:rsidR="00AD601B">
        <w:t>ről</w:t>
      </w:r>
      <w:r w:rsidRPr="00400985">
        <w:t xml:space="preserve"> </w:t>
      </w:r>
      <w:bookmarkStart w:id="6" w:name="References"/>
      <w:r w:rsidRPr="00400985">
        <w:t>(2025/2222(IMM))</w:t>
      </w:r>
      <w:bookmarkEnd w:id="6"/>
    </w:p>
    <w:p w:rsidR="002C0D59" w:rsidRPr="00400985" w:rsidP="002C0D59" w14:paraId="5E737E55" w14:textId="77777777">
      <w:pPr>
        <w:pStyle w:val="EPComma"/>
      </w:pPr>
      <w:bookmarkStart w:id="7" w:name="TextBodyBegin"/>
      <w:bookmarkEnd w:id="7"/>
      <w:r w:rsidRPr="00400985">
        <w:rPr>
          <w:i/>
        </w:rPr>
        <w:t>Az Európai Parlament</w:t>
      </w:r>
      <w:r w:rsidRPr="00400985">
        <w:t>,</w:t>
      </w:r>
    </w:p>
    <w:p w:rsidR="002C0D59" w:rsidRPr="00400985" w:rsidP="004D4496" w14:paraId="0FC26424" w14:textId="1A9CD9F0">
      <w:pPr>
        <w:pStyle w:val="NormalHanging12a"/>
        <w:widowControl/>
      </w:pPr>
      <w:r w:rsidRPr="00400985">
        <w:t>–</w:t>
      </w:r>
      <w:r w:rsidRPr="00400985">
        <w:tab/>
        <w:t xml:space="preserve">tekintettel az </w:t>
      </w:r>
      <w:r w:rsidRPr="00400985">
        <w:t>Alvise</w:t>
      </w:r>
      <w:r w:rsidRPr="00400985">
        <w:t xml:space="preserve"> </w:t>
      </w:r>
      <w:r w:rsidRPr="00400985">
        <w:t>Pérez</w:t>
      </w:r>
      <w:r w:rsidRPr="00400985">
        <w:t xml:space="preserve"> (Luis </w:t>
      </w:r>
      <w:r w:rsidRPr="00400985">
        <w:t>Pérez</w:t>
      </w:r>
      <w:r w:rsidRPr="00400985">
        <w:t xml:space="preserve"> </w:t>
      </w:r>
      <w:r w:rsidRPr="00400985">
        <w:t>Fernández</w:t>
      </w:r>
      <w:r w:rsidRPr="00400985">
        <w:t>) mentelmi jogának felfüggesztésére irányuló kérelemre, amelyet Spanyolország legfelső</w:t>
      </w:r>
      <w:r w:rsidRPr="00400985" w:rsidR="00BD10B2">
        <w:t>bb</w:t>
      </w:r>
      <w:r w:rsidRPr="00400985">
        <w:t xml:space="preserve"> bírósága 2025. október 7-i levelében nyújtott be az előtte folyamatban lévő büntetőeljárással összefüggésben, és amelyet a Parlamentben a 2025. október 22-i plenáris ülésen jelentettek be,</w:t>
      </w:r>
    </w:p>
    <w:p w:rsidR="002C0D59" w:rsidRPr="00400985" w:rsidP="004D4496" w14:paraId="2F8863B7" w14:textId="77D1AA2C">
      <w:pPr>
        <w:pStyle w:val="NormalHanging12a"/>
        <w:widowControl/>
      </w:pPr>
      <w:r w:rsidRPr="00400985">
        <w:t>–</w:t>
      </w:r>
      <w:r w:rsidRPr="00400985">
        <w:tab/>
        <w:t>miután eljárási szabályzata 9. cikke (6) bekezdésének megfelelően</w:t>
      </w:r>
      <w:r w:rsidRPr="00400985" w:rsidR="00FC60E2">
        <w:t>,</w:t>
      </w:r>
      <w:r w:rsidRPr="00400985">
        <w:t xml:space="preserve"> 2026. március 24-én meghallgatta </w:t>
      </w:r>
      <w:r w:rsidRPr="00400985">
        <w:t>Alvise</w:t>
      </w:r>
      <w:r w:rsidRPr="00400985">
        <w:t xml:space="preserve"> Pérezt,</w:t>
      </w:r>
    </w:p>
    <w:p w:rsidR="002C0D59" w:rsidRPr="00400985" w:rsidP="004D4496" w14:paraId="1E662485" w14:textId="77777777">
      <w:pPr>
        <w:pStyle w:val="NormalHanging12a"/>
        <w:widowControl/>
      </w:pPr>
      <w:r w:rsidRPr="00400985">
        <w:t>–</w:t>
      </w:r>
      <w:r w:rsidRPr="00400985">
        <w:tab/>
        <w:t>tekintettel az Európai Unió kiváltságairól és mentességeiről szóló 7. jegyzőkönyv 8. és 9. cikkére, valamint az Európai Parlament képviselőinek közvetlen és általános választójog alapján történő választásáról szóló, 1976. szeptember 20-i okmány 6. cikkének (2) bekezdésére,</w:t>
      </w:r>
    </w:p>
    <w:p w:rsidR="002C0D59" w:rsidRPr="00400985" w:rsidP="004D4496" w14:paraId="4F93CF44" w14:textId="77777777">
      <w:pPr>
        <w:pStyle w:val="NormalHanging12a"/>
        <w:widowControl/>
      </w:pPr>
      <w:r w:rsidRPr="00400985">
        <w:t>–</w:t>
      </w:r>
      <w:r w:rsidRPr="00400985">
        <w:tab/>
        <w:t>tekintettel az Európai Unió Bírósága által 2008. október 21-én, 2010. március 19-én, 2011. szeptember 6-án, 2013. január 17-én és 2019. december 19-én hozott ítéletekre</w:t>
      </w:r>
      <w:r>
        <w:rPr>
          <w:rStyle w:val="FootnoteReference"/>
          <w:color w:val="000000"/>
        </w:rPr>
        <w:footnoteReference w:id="2"/>
      </w:r>
      <w:r w:rsidRPr="00400985">
        <w:t>,</w:t>
      </w:r>
    </w:p>
    <w:p w:rsidR="002C0D59" w:rsidRPr="00400985" w:rsidP="004D4496" w14:paraId="74835272" w14:textId="77777777">
      <w:pPr>
        <w:pStyle w:val="NormalHanging12a"/>
        <w:widowControl/>
      </w:pPr>
      <w:r w:rsidRPr="00400985">
        <w:t>–</w:t>
      </w:r>
      <w:r w:rsidRPr="00400985">
        <w:tab/>
        <w:t>tekintettel a spanyol alkotmány 71. cikkének (1) és (2) bekezdésére,</w:t>
      </w:r>
    </w:p>
    <w:p w:rsidR="002C0D59" w:rsidRPr="00400985" w:rsidP="004D4496" w14:paraId="6CFECB15" w14:textId="77777777">
      <w:pPr>
        <w:pStyle w:val="NormalHanging12a"/>
        <w:widowControl/>
      </w:pPr>
      <w:r w:rsidRPr="00400985">
        <w:t>–</w:t>
      </w:r>
      <w:r w:rsidRPr="00400985">
        <w:tab/>
        <w:t>tekintettel eljárási szabályzata 5. cikkének (2) bekezdésére, 6. cikkének (1) bekezdésére és 9. cikkére,</w:t>
      </w:r>
    </w:p>
    <w:p w:rsidR="002C0D59" w:rsidRPr="00400985" w:rsidP="004D4496" w14:paraId="05C1E596" w14:textId="77777777">
      <w:pPr>
        <w:pStyle w:val="NormalHanging12a"/>
        <w:widowControl/>
      </w:pPr>
      <w:r w:rsidRPr="00400985">
        <w:t>–</w:t>
      </w:r>
      <w:r w:rsidRPr="00400985">
        <w:tab/>
        <w:t>tekintettel a Jogi Bizottság jelentésére (A10-0119/2026),</w:t>
      </w:r>
    </w:p>
    <w:p w:rsidR="002C0D59" w:rsidRPr="00400985" w:rsidP="004D4496" w14:paraId="7A914FD4" w14:textId="3D5883C9">
      <w:pPr>
        <w:pStyle w:val="NormalHanging12a"/>
        <w:widowControl/>
      </w:pPr>
      <w:r w:rsidRPr="00400985">
        <w:t>A.</w:t>
      </w:r>
      <w:r w:rsidRPr="00400985">
        <w:tab/>
        <w:t>mivel 2025. október 7-én kelt levelében Spanyolország legfelső</w:t>
      </w:r>
      <w:r w:rsidRPr="00400985" w:rsidR="00BD10B2">
        <w:t>bb</w:t>
      </w:r>
      <w:r w:rsidRPr="00400985">
        <w:t xml:space="preserve"> bíróság</w:t>
      </w:r>
      <w:r w:rsidRPr="00400985" w:rsidR="00BD10B2">
        <w:t>ának elnöke</w:t>
      </w:r>
      <w:r w:rsidRPr="00400985">
        <w:t xml:space="preserve"> </w:t>
      </w:r>
      <w:r w:rsidRPr="00400985" w:rsidR="00BD10B2">
        <w:t xml:space="preserve">– 2024-ben elkövetett állítólagos bűncselekményekkel összefüggésben – </w:t>
      </w:r>
      <w:r w:rsidRPr="00400985">
        <w:t xml:space="preserve">kérelmezte </w:t>
      </w:r>
      <w:r w:rsidRPr="00400985">
        <w:t>Alvise</w:t>
      </w:r>
      <w:r w:rsidRPr="00400985">
        <w:t xml:space="preserve"> </w:t>
      </w:r>
      <w:r w:rsidRPr="00400985">
        <w:t>Pérez</w:t>
      </w:r>
      <w:r w:rsidRPr="00400985">
        <w:t xml:space="preserve"> Spanyolországban megválasztott európai parlamenti képviselő mentelmi jogának felfüggesztését;</w:t>
      </w:r>
    </w:p>
    <w:p w:rsidR="002C0D59" w:rsidRPr="00400985" w:rsidP="00400985" w14:paraId="33B07BE4" w14:textId="1768C3C8">
      <w:pPr>
        <w:pStyle w:val="Normal12a"/>
        <w:widowControl/>
        <w:ind w:left="567" w:hanging="567"/>
      </w:pPr>
      <w:r w:rsidRPr="00400985">
        <w:rPr>
          <w:shd w:val="clear" w:color="auto" w:fill="FFFFFF"/>
        </w:rPr>
        <w:t>B.</w:t>
      </w:r>
      <w:r w:rsidRPr="00400985">
        <w:rPr>
          <w:shd w:val="clear" w:color="auto" w:fill="FFFFFF"/>
        </w:rPr>
        <w:tab/>
      </w:r>
      <w:r w:rsidRPr="00400985">
        <w:t>mivel a kérelem szerint 2024 januárjában és februárjában az „</w:t>
      </w:r>
      <w:r w:rsidRPr="00400985">
        <w:t>Alvise</w:t>
      </w:r>
      <w:r w:rsidRPr="00400985">
        <w:t xml:space="preserve"> </w:t>
      </w:r>
      <w:r w:rsidRPr="00400985">
        <w:t>Pérez</w:t>
      </w:r>
      <w:r w:rsidRPr="00400985">
        <w:t xml:space="preserve"> Chat” elnevezésű Telegram-csatorna adminisztrátora állítólag nyilatkozatokat tett közzé, amelyekben feltüntette „az ideológiai üldöztetésért, az úgynevezett gyűlölet-bűncselekményekért felelős személyek” nev</w:t>
      </w:r>
      <w:r w:rsidRPr="00400985" w:rsidR="00F209C6">
        <w:t>eit</w:t>
      </w:r>
      <w:r w:rsidRPr="00400985">
        <w:t xml:space="preserve">, </w:t>
      </w:r>
      <w:r w:rsidRPr="00400985" w:rsidR="00F209C6">
        <w:t xml:space="preserve">utalva </w:t>
      </w:r>
      <w:r w:rsidRPr="00400985">
        <w:t>különös</w:t>
      </w:r>
      <w:r w:rsidRPr="00400985" w:rsidR="00F209C6">
        <w:t>en</w:t>
      </w:r>
      <w:r w:rsidRPr="00400985">
        <w:t xml:space="preserve"> a valenciai gyűlölet-bűncselekményekért felelős kijelölt ügyészre; mivel az e csatornán közzétett nyilatkozatokra a csatorna számos követője azonnal reagált, akik több mint 1500, többnyire sértő jellegű üzenetet küldtek a kijelölt ügyésznek; mivel ez az állítólagos magatartás a spanyol büntető törvénykönyv 172b. cikke és 18. cikkének (1) bekezdése értelmében és a spanyol büntető törvénykönyv 553. cikkével összefüggésben zaklatásnak, hatóság vagy köztisztviselő elleni erőszakra való felbujtásnak, kényszerítésnek és/vagy gyűlölet közösségi médián keresztül történő terjesztésének minősülhet;</w:t>
      </w:r>
    </w:p>
    <w:p w:rsidR="002C0D59" w:rsidRPr="00400985" w:rsidP="004D4496" w14:paraId="148DA7AE" w14:textId="0868FD76">
      <w:pPr>
        <w:pStyle w:val="NormalHanging12a"/>
        <w:widowControl/>
        <w:rPr>
          <w:szCs w:val="24"/>
          <w:shd w:val="clear" w:color="auto" w:fill="FFFFFF"/>
        </w:rPr>
      </w:pPr>
      <w:r w:rsidRPr="00400985">
        <w:t>C.</w:t>
      </w:r>
      <w:r w:rsidRPr="00400985">
        <w:tab/>
        <w:t xml:space="preserve">mivel </w:t>
      </w:r>
      <w:r w:rsidRPr="00400985">
        <w:t>Alvise</w:t>
      </w:r>
      <w:r w:rsidRPr="00400985">
        <w:t xml:space="preserve"> Pérezt a 2024. júniusi európai választásokon az Európai Parlament képviselőjévé</w:t>
      </w:r>
      <w:r w:rsidRPr="00400985" w:rsidR="00F209C6">
        <w:t xml:space="preserve"> választották</w:t>
      </w:r>
      <w:r w:rsidRPr="00400985">
        <w:t xml:space="preserve">, és ezért az állítólagos </w:t>
      </w:r>
      <w:r w:rsidRPr="00400985" w:rsidR="00F209C6">
        <w:t>bűncselekmények</w:t>
      </w:r>
      <w:r w:rsidRPr="00400985">
        <w:t xml:space="preserve"> idején nem volt az Európai Parlament képviselője;</w:t>
      </w:r>
      <w:r w:rsidRPr="00400985">
        <w:rPr>
          <w:shd w:val="clear" w:color="auto" w:fill="FFFFFF"/>
        </w:rPr>
        <w:t xml:space="preserve"> </w:t>
      </w:r>
    </w:p>
    <w:p w:rsidR="002C0D59" w:rsidRPr="00400985" w:rsidP="004D4496" w14:paraId="19668D7D" w14:textId="22553CD4">
      <w:pPr>
        <w:pStyle w:val="NormalHanging12a"/>
        <w:widowControl/>
      </w:pPr>
      <w:r w:rsidRPr="00400985">
        <w:t>D.</w:t>
      </w:r>
      <w:r w:rsidRPr="00400985">
        <w:tab/>
        <w:t xml:space="preserve">mivel az állítólagos bűncselekmények nem minősülnek az Európai Unió kiváltságairól és mentességeiről szóló 7. jegyzőkönyv 8. cikke értelmében vett feladatai ellátása során </w:t>
      </w:r>
      <w:r w:rsidRPr="00400985">
        <w:t>Alvise</w:t>
      </w:r>
      <w:r w:rsidRPr="00400985">
        <w:t xml:space="preserve"> </w:t>
      </w:r>
      <w:r w:rsidRPr="00400985">
        <w:t>Pérez</w:t>
      </w:r>
      <w:r w:rsidRPr="00400985">
        <w:t xml:space="preserve"> által kifejtett véleménynek vagy leadott szavazatnak, és az </w:t>
      </w:r>
      <w:r w:rsidRPr="00400985">
        <w:t>Alvise</w:t>
      </w:r>
      <w:r w:rsidRPr="00400985">
        <w:t xml:space="preserve"> </w:t>
      </w:r>
      <w:r w:rsidRPr="00400985">
        <w:t>Pérez</w:t>
      </w:r>
      <w:r w:rsidRPr="00400985">
        <w:t xml:space="preserve"> mentelmi jogának felfüggesztésére irányuló kérelem nem kapcsolódik ilyen véleményhez vagy szavazathoz;</w:t>
      </w:r>
    </w:p>
    <w:p w:rsidR="002C0D59" w:rsidRPr="00400985" w:rsidP="004D4496" w14:paraId="0E4EAEA2" w14:textId="7DC17092">
      <w:pPr>
        <w:pStyle w:val="NormalHanging12a"/>
        <w:widowControl/>
      </w:pPr>
      <w:r w:rsidRPr="00400985">
        <w:t>E.</w:t>
      </w:r>
      <w:r w:rsidRPr="00400985">
        <w:tab/>
        <w:t xml:space="preserve">mivel az Európai Unió kiváltságairól és mentességeiről szóló 7. jegyzőkönyv 9. cikke első bekezdésének a) pontja szerint az Európai Parlament </w:t>
      </w:r>
      <w:r w:rsidRPr="00400985">
        <w:t>ülésszakainak</w:t>
      </w:r>
      <w:r w:rsidRPr="00400985">
        <w:t xml:space="preserve"> ideje alatt az Európai Parlament tagjai saját </w:t>
      </w:r>
      <w:r w:rsidRPr="00400985" w:rsidR="00776BAA">
        <w:t>tag</w:t>
      </w:r>
      <w:r w:rsidRPr="00400985">
        <w:t>államuk területén a saját tagállamuk parlamentjének tagjaira vonatkozó mentességet élvezik;</w:t>
      </w:r>
    </w:p>
    <w:p w:rsidR="002C0D59" w:rsidRPr="00400985" w:rsidP="004D4496" w14:paraId="7B8E357E" w14:textId="77777777">
      <w:pPr>
        <w:pStyle w:val="Normal12Hanging"/>
        <w:widowControl/>
      </w:pPr>
      <w:r w:rsidRPr="00400985">
        <w:t>F.</w:t>
      </w:r>
      <w:r w:rsidRPr="00400985">
        <w:tab/>
        <w:t>mivel a spanyol alkotmány 71. cikkének (1) és (2) bekezdése a következőképp rendelkezik:</w:t>
      </w:r>
    </w:p>
    <w:p w:rsidR="002C0D59" w:rsidRPr="00400985" w:rsidP="00AD601B" w14:paraId="19A72F44" w14:textId="5A798306">
      <w:pPr>
        <w:pStyle w:val="Normal12Hanging"/>
        <w:widowControl/>
        <w:ind w:left="1134"/>
        <w:rPr>
          <w:iCs/>
        </w:rPr>
      </w:pPr>
      <w:r w:rsidRPr="00400985">
        <w:t>„(1)</w:t>
      </w:r>
      <w:r w:rsidRPr="00400985" w:rsidR="00AD601B">
        <w:tab/>
        <w:t>A képviselők és a szenátorok feladataik ellátása során kifejtett véleményük tekintetében sérthetetlenséget élveznek</w:t>
      </w:r>
      <w:r w:rsidRPr="00400985">
        <w:t>.</w:t>
      </w:r>
    </w:p>
    <w:p w:rsidR="002C0D59" w:rsidRPr="00400985" w:rsidP="00AD601B" w14:paraId="3DCD0D5C" w14:textId="02A465EF">
      <w:pPr>
        <w:pStyle w:val="NormalHanging12a"/>
        <w:widowControl/>
        <w:ind w:left="1134"/>
        <w:rPr>
          <w:iCs/>
          <w:color w:val="000000"/>
        </w:rPr>
      </w:pPr>
      <w:r w:rsidRPr="00400985">
        <w:t>(2)</w:t>
      </w:r>
      <w:r w:rsidRPr="00400985" w:rsidR="00AD601B">
        <w:tab/>
        <w:t>A képviselőket és a szenátorokat mandátumuk ideje alatt mentelmi jog is megilleti, és csak a bűncselekmény elkövetésében tetten ért tagok tartóztathatók le. Az adott kamara előzetes engedélye nélkül nem gyanúsíthatók meg és nem vonhatók eljárás alá.</w:t>
      </w:r>
      <w:r w:rsidRPr="00400985">
        <w:t>”;</w:t>
      </w:r>
    </w:p>
    <w:p w:rsidR="002C0D59" w:rsidRPr="00400985" w:rsidP="004D4496" w14:paraId="7E864B19" w14:textId="77777777">
      <w:pPr>
        <w:pStyle w:val="NormalHanging12a"/>
        <w:widowControl/>
        <w:rPr>
          <w:color w:val="000000"/>
        </w:rPr>
      </w:pPr>
      <w:r w:rsidRPr="00400985">
        <w:rPr>
          <w:color w:val="000000"/>
        </w:rPr>
        <w:t>G.</w:t>
      </w:r>
      <w:r w:rsidRPr="00400985">
        <w:rPr>
          <w:color w:val="000000"/>
        </w:rPr>
        <w:tab/>
        <w:t>mivel az Európai Unió kiváltságairól és mentességeiről szóló 7. jegyzőkönyvben meghatározott mentelmi jog célja a Parlament és képviselői megóvása a parlamenti megbízatás teljesítése során végzett és e megbízatástól elválaszthatatlan tevékenységekkel összefüggésben velük szemben kezdeményezett bírósági eljárásoktól;</w:t>
      </w:r>
    </w:p>
    <w:p w:rsidR="002C0D59" w:rsidRPr="00400985" w:rsidP="004D4496" w14:paraId="00FC05A2" w14:textId="77777777">
      <w:pPr>
        <w:pStyle w:val="NormalHanging12a"/>
        <w:widowControl/>
        <w:rPr>
          <w:color w:val="000000"/>
        </w:rPr>
      </w:pPr>
      <w:r w:rsidRPr="00400985">
        <w:rPr>
          <w:color w:val="000000"/>
        </w:rPr>
        <w:t>H.</w:t>
      </w:r>
      <w:r w:rsidRPr="00400985">
        <w:rPr>
          <w:color w:val="000000"/>
        </w:rPr>
        <w:tab/>
        <w:t>mivel az Európai Parlament eljárási szabályzata 5. cikkének (2) bekezdésével összhangban a parlamenti mentelmi jog nem a képviselők személyes kiváltsága, hanem a teljes Parlament és az egyes képviselők függetlenségének biztosítéka;</w:t>
      </w:r>
    </w:p>
    <w:p w:rsidR="002C0D59" w:rsidRPr="00400985" w:rsidP="004D4496" w14:paraId="5F70BB97" w14:textId="5E067935">
      <w:pPr>
        <w:pStyle w:val="NormalHanging12a"/>
        <w:widowControl/>
        <w:rPr>
          <w:color w:val="000000"/>
        </w:rPr>
      </w:pPr>
      <w:r w:rsidRPr="00400985">
        <w:rPr>
          <w:color w:val="000000"/>
        </w:rPr>
        <w:t>I.</w:t>
      </w:r>
      <w:r w:rsidRPr="00400985">
        <w:rPr>
          <w:color w:val="000000"/>
        </w:rPr>
        <w:tab/>
        <w:t xml:space="preserve">mivel a Parlament ebben az esetben nem talált bizonyítékot </w:t>
      </w:r>
      <w:r w:rsidRPr="00400985">
        <w:rPr>
          <w:i/>
          <w:iCs/>
          <w:color w:val="000000"/>
        </w:rPr>
        <w:t>fumus</w:t>
      </w:r>
      <w:r w:rsidRPr="00400985">
        <w:rPr>
          <w:i/>
          <w:iCs/>
          <w:color w:val="000000"/>
        </w:rPr>
        <w:t xml:space="preserve"> </w:t>
      </w:r>
      <w:r w:rsidRPr="00400985">
        <w:rPr>
          <w:i/>
          <w:iCs/>
          <w:color w:val="000000"/>
        </w:rPr>
        <w:t>persecutionis</w:t>
      </w:r>
      <w:r w:rsidRPr="00400985">
        <w:rPr>
          <w:color w:val="000000"/>
        </w:rPr>
        <w:t xml:space="preserve"> fennállására, azaz olyan ténybeli elemekre, amelyek arra utalnának, hogy a szóban forgó bírósági eljárást azzal a szándékkal indították, hogy </w:t>
      </w:r>
      <w:r w:rsidRPr="00400985" w:rsidR="008E48B5">
        <w:rPr>
          <w:color w:val="000000"/>
        </w:rPr>
        <w:t>ártsanak</w:t>
      </w:r>
      <w:r w:rsidRPr="00400985">
        <w:rPr>
          <w:color w:val="000000"/>
        </w:rPr>
        <w:t xml:space="preserve"> </w:t>
      </w:r>
      <w:r w:rsidRPr="00400985">
        <w:rPr>
          <w:color w:val="000000"/>
        </w:rPr>
        <w:t>Alvise</w:t>
      </w:r>
      <w:r w:rsidRPr="00400985">
        <w:rPr>
          <w:color w:val="000000"/>
        </w:rPr>
        <w:t xml:space="preserve"> </w:t>
      </w:r>
      <w:r w:rsidRPr="00400985">
        <w:rPr>
          <w:color w:val="000000"/>
        </w:rPr>
        <w:t>Pérez</w:t>
      </w:r>
      <w:r w:rsidRPr="00400985">
        <w:rPr>
          <w:color w:val="000000"/>
        </w:rPr>
        <w:t xml:space="preserve"> Európai Parlament képviselőjeként folytatott politikai tevékenység</w:t>
      </w:r>
      <w:r w:rsidRPr="00400985" w:rsidR="008E48B5">
        <w:rPr>
          <w:color w:val="000000"/>
        </w:rPr>
        <w:t>ének</w:t>
      </w:r>
      <w:r w:rsidRPr="00400985" w:rsidR="0008494E">
        <w:rPr>
          <w:color w:val="000000"/>
        </w:rPr>
        <w:t>, és ezáltal a Parlament függetlenség</w:t>
      </w:r>
      <w:r w:rsidRPr="00400985" w:rsidR="008E48B5">
        <w:rPr>
          <w:color w:val="000000"/>
        </w:rPr>
        <w:t>ének</w:t>
      </w:r>
      <w:r w:rsidRPr="00400985">
        <w:rPr>
          <w:color w:val="000000"/>
        </w:rPr>
        <w:t>;</w:t>
      </w:r>
    </w:p>
    <w:p w:rsidR="002C0D59" w:rsidRPr="00400985" w:rsidP="004D4496" w14:paraId="02D9825A" w14:textId="77777777">
      <w:pPr>
        <w:pStyle w:val="NormalHanging12a"/>
        <w:widowControl/>
        <w:rPr>
          <w:color w:val="000000"/>
        </w:rPr>
      </w:pPr>
      <w:r w:rsidRPr="00400985">
        <w:rPr>
          <w:color w:val="000000"/>
        </w:rPr>
        <w:t>J.</w:t>
      </w:r>
      <w:r w:rsidRPr="00400985">
        <w:rPr>
          <w:color w:val="000000"/>
        </w:rPr>
        <w:tab/>
        <w:t>mivel egyrészről a Parlament nem töltheti be bíróság szerepét, másrészről pedig a mentelmi jog felfüggesztésére irányuló eljárásban az érintett képviselő nem tekinthető vádlottnak</w:t>
      </w:r>
      <w:r>
        <w:rPr>
          <w:color w:val="000000"/>
          <w:vertAlign w:val="superscript"/>
        </w:rPr>
        <w:footnoteReference w:id="3"/>
      </w:r>
      <w:r w:rsidRPr="00400985">
        <w:rPr>
          <w:color w:val="000000"/>
        </w:rPr>
        <w:t>;</w:t>
      </w:r>
    </w:p>
    <w:p w:rsidR="002C0D59" w:rsidRPr="00400985" w:rsidP="004D4496" w14:paraId="6D6A6440" w14:textId="77777777">
      <w:pPr>
        <w:pStyle w:val="NormalHanging12a"/>
        <w:widowControl/>
        <w:rPr>
          <w:color w:val="000000"/>
        </w:rPr>
      </w:pPr>
      <w:r w:rsidRPr="00400985">
        <w:rPr>
          <w:color w:val="000000"/>
        </w:rPr>
        <w:t>1.</w:t>
      </w:r>
      <w:r w:rsidRPr="00400985">
        <w:rPr>
          <w:color w:val="000000"/>
        </w:rPr>
        <w:tab/>
        <w:t xml:space="preserve">úgy határoz, hogy felfüggeszti </w:t>
      </w:r>
      <w:r w:rsidRPr="00400985">
        <w:rPr>
          <w:color w:val="000000"/>
        </w:rPr>
        <w:t>Alvise</w:t>
      </w:r>
      <w:r w:rsidRPr="00400985">
        <w:rPr>
          <w:color w:val="000000"/>
        </w:rPr>
        <w:t xml:space="preserve"> </w:t>
      </w:r>
      <w:r w:rsidRPr="00400985">
        <w:rPr>
          <w:color w:val="000000"/>
        </w:rPr>
        <w:t>Pérez</w:t>
      </w:r>
      <w:r w:rsidRPr="00400985">
        <w:rPr>
          <w:color w:val="000000"/>
        </w:rPr>
        <w:t xml:space="preserve"> mentelmi jogát;</w:t>
      </w:r>
    </w:p>
    <w:p w:rsidR="00E365E1" w:rsidRPr="00B22640" w:rsidP="004D4496" w14:paraId="295423F1" w14:textId="3964DEF7">
      <w:pPr>
        <w:widowControl/>
        <w:spacing w:after="240"/>
        <w:ind w:left="567" w:hanging="567"/>
      </w:pPr>
      <w:r w:rsidRPr="00400985">
        <w:t>2.</w:t>
      </w:r>
      <w:r w:rsidRPr="00400985">
        <w:tab/>
        <w:t>utasítja elnökét, hogy haladéktalanul továbbítsa ezt a határozatot és az illetékes bizottság jelentését a Spanyol Királyság illetékes hatóság</w:t>
      </w:r>
      <w:r w:rsidRPr="00400985" w:rsidR="008E48B5">
        <w:t>ai</w:t>
      </w:r>
      <w:r w:rsidRPr="00400985">
        <w:t xml:space="preserve">nak és </w:t>
      </w:r>
      <w:r w:rsidRPr="00400985">
        <w:t>Alvise</w:t>
      </w:r>
      <w:r w:rsidRPr="00400985">
        <w:t xml:space="preserve"> Péreznek.</w:t>
      </w:r>
    </w:p>
    <w:sectPr w:rsidSect="00B226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22640" w14:paraId="47C08519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22640" w14:paraId="190CE0D3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22640" w14:paraId="58F2BD78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300EA" w:rsidRPr="00B22640" w14:paraId="01B551A0" w14:textId="77777777">
      <w:r w:rsidRPr="00B22640">
        <w:separator/>
      </w:r>
    </w:p>
  </w:footnote>
  <w:footnote w:type="continuationSeparator" w:id="1">
    <w:p w:rsidR="007300EA" w:rsidRPr="00B22640" w14:paraId="0C039AFC" w14:textId="77777777">
      <w:r w:rsidRPr="00B22640">
        <w:continuationSeparator/>
      </w:r>
    </w:p>
  </w:footnote>
  <w:footnote w:id="2">
    <w:p w:rsidR="002C0D59" w:rsidRPr="00B22640" w:rsidP="00B22640" w14:paraId="2D5D66BD" w14:textId="33101EAC">
      <w:pPr>
        <w:pStyle w:val="FootnoteText"/>
        <w:ind w:left="567" w:hanging="567"/>
        <w:rPr>
          <w:sz w:val="24"/>
          <w:lang w:val="hu-HU"/>
        </w:rPr>
      </w:pPr>
      <w:r w:rsidRPr="00B22640">
        <w:rPr>
          <w:rStyle w:val="FootnoteReference"/>
          <w:sz w:val="24"/>
          <w:lang w:val="hu-HU"/>
        </w:rPr>
        <w:footnoteRef/>
      </w:r>
      <w:r w:rsidRPr="00B22640" w:rsidR="00B22640">
        <w:rPr>
          <w:sz w:val="24"/>
          <w:lang w:val="hu-HU"/>
        </w:rPr>
        <w:t xml:space="preserve"> </w:t>
      </w:r>
      <w:r w:rsidRPr="00B22640" w:rsidR="00B22640">
        <w:rPr>
          <w:sz w:val="24"/>
          <w:lang w:val="hu-HU"/>
        </w:rPr>
        <w:tab/>
      </w:r>
      <w:r w:rsidRPr="00B22640">
        <w:rPr>
          <w:sz w:val="24"/>
          <w:lang w:val="hu-HU"/>
        </w:rPr>
        <w:t xml:space="preserve">A Bíróság 2008. október 21-i ítélete, Marra kontra De </w:t>
      </w:r>
      <w:r w:rsidRPr="00B22640">
        <w:rPr>
          <w:sz w:val="24"/>
          <w:lang w:val="hu-HU"/>
        </w:rPr>
        <w:t>Gregorio</w:t>
      </w:r>
      <w:r w:rsidRPr="00B22640">
        <w:rPr>
          <w:sz w:val="24"/>
          <w:lang w:val="hu-HU"/>
        </w:rPr>
        <w:t xml:space="preserve"> és </w:t>
      </w:r>
      <w:r w:rsidRPr="00B22640">
        <w:rPr>
          <w:sz w:val="24"/>
          <w:lang w:val="hu-HU"/>
        </w:rPr>
        <w:t>Clemente</w:t>
      </w:r>
      <w:r w:rsidRPr="00B22640">
        <w:rPr>
          <w:sz w:val="24"/>
          <w:lang w:val="hu-HU"/>
        </w:rPr>
        <w:t xml:space="preserve">, C-200/07 és C-201/07, ECLI:EU:C:2008:579; a Törvényszék 2010. március 19-i ítélete, </w:t>
      </w:r>
      <w:r w:rsidRPr="00B22640">
        <w:rPr>
          <w:sz w:val="24"/>
          <w:lang w:val="hu-HU"/>
        </w:rPr>
        <w:t>Gollnisch</w:t>
      </w:r>
      <w:r w:rsidRPr="00B22640">
        <w:rPr>
          <w:sz w:val="24"/>
          <w:lang w:val="hu-HU"/>
        </w:rPr>
        <w:t xml:space="preserve"> kontra Európai Parlament, T-42/06, ECLI:EU:T:2010:102; a Bíróság 2011. szeptember 6-i ítélete, </w:t>
      </w:r>
      <w:r w:rsidRPr="00B22640">
        <w:rPr>
          <w:sz w:val="24"/>
          <w:lang w:val="hu-HU"/>
        </w:rPr>
        <w:t>Patriciello</w:t>
      </w:r>
      <w:r w:rsidRPr="00B22640">
        <w:rPr>
          <w:sz w:val="24"/>
          <w:lang w:val="hu-HU"/>
        </w:rPr>
        <w:t xml:space="preserve">, C-163/10, ECLI: EU:C:2011:543; a Törvényszék 2013. január 17-i ítélete, </w:t>
      </w:r>
      <w:r w:rsidRPr="00B22640">
        <w:rPr>
          <w:sz w:val="24"/>
          <w:lang w:val="hu-HU"/>
        </w:rPr>
        <w:t>Gollnisch</w:t>
      </w:r>
      <w:r w:rsidRPr="00B22640">
        <w:rPr>
          <w:sz w:val="24"/>
          <w:lang w:val="hu-HU"/>
        </w:rPr>
        <w:t xml:space="preserve"> kontra Európai Parlament, T-346/11 és T-347/11, ECLI:EU:T:2013:23; a Bíróság 2019. december 19-i ítélete, </w:t>
      </w:r>
      <w:r w:rsidRPr="00B22640">
        <w:rPr>
          <w:sz w:val="24"/>
          <w:lang w:val="hu-HU"/>
        </w:rPr>
        <w:t>Junqueras</w:t>
      </w:r>
      <w:r w:rsidRPr="00B22640">
        <w:rPr>
          <w:sz w:val="24"/>
          <w:lang w:val="hu-HU"/>
        </w:rPr>
        <w:t xml:space="preserve"> </w:t>
      </w:r>
      <w:r w:rsidRPr="00B22640">
        <w:rPr>
          <w:sz w:val="24"/>
          <w:lang w:val="hu-HU"/>
        </w:rPr>
        <w:t>Vies</w:t>
      </w:r>
      <w:r w:rsidRPr="00B22640">
        <w:rPr>
          <w:sz w:val="24"/>
          <w:lang w:val="hu-HU"/>
        </w:rPr>
        <w:t>, C-502/19, ECLI:EU:C:2019:1115.</w:t>
      </w:r>
    </w:p>
  </w:footnote>
  <w:footnote w:id="3">
    <w:p w:rsidR="002C0D59" w:rsidRPr="00B22640" w:rsidP="00B22640" w14:paraId="733B36E6" w14:textId="43511502">
      <w:pPr>
        <w:pStyle w:val="FootnoteText"/>
        <w:ind w:left="567" w:hanging="567"/>
        <w:rPr>
          <w:sz w:val="24"/>
          <w:lang w:val="hu-HU"/>
        </w:rPr>
      </w:pPr>
      <w:r w:rsidRPr="00B22640">
        <w:rPr>
          <w:rStyle w:val="FootnoteReference"/>
          <w:sz w:val="24"/>
          <w:lang w:val="hu-HU"/>
        </w:rPr>
        <w:footnoteRef/>
      </w:r>
      <w:r w:rsidRPr="00B22640" w:rsidR="00B22640">
        <w:rPr>
          <w:sz w:val="24"/>
          <w:lang w:val="hu-HU"/>
        </w:rPr>
        <w:t xml:space="preserve"> </w:t>
      </w:r>
      <w:r w:rsidRPr="00B22640" w:rsidR="00B22640">
        <w:rPr>
          <w:sz w:val="24"/>
          <w:lang w:val="hu-HU"/>
        </w:rPr>
        <w:tab/>
      </w:r>
      <w:r w:rsidRPr="00B22640">
        <w:rPr>
          <w:sz w:val="24"/>
          <w:lang w:val="hu-HU"/>
        </w:rPr>
        <w:t xml:space="preserve">A Törvényszék 2019. április 30-i ítélete, </w:t>
      </w:r>
      <w:r w:rsidRPr="00B22640">
        <w:rPr>
          <w:sz w:val="24"/>
          <w:lang w:val="hu-HU"/>
        </w:rPr>
        <w:t>Briois</w:t>
      </w:r>
      <w:r w:rsidRPr="00B22640">
        <w:rPr>
          <w:sz w:val="24"/>
          <w:lang w:val="hu-HU"/>
        </w:rPr>
        <w:t xml:space="preserve"> kontra Európai Parlament, T-214/18, ECLI:</w:t>
      </w:r>
      <w:r w:rsidRPr="00B22640">
        <w:rPr>
          <w:sz w:val="24"/>
          <w:lang w:val="hu-HU"/>
        </w:rPr>
        <w:t>EU:T</w:t>
      </w:r>
      <w:r w:rsidRPr="00B22640">
        <w:rPr>
          <w:sz w:val="24"/>
          <w:lang w:val="hu-HU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22640" w14:paraId="1E4B417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22640" w14:paraId="6CB4EBBA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22640" w14:paraId="5C8E19B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04693245">
    <w:abstractNumId w:val="9"/>
  </w:num>
  <w:num w:numId="2" w16cid:durableId="73746177">
    <w:abstractNumId w:val="9"/>
  </w:num>
  <w:num w:numId="3" w16cid:durableId="923996154">
    <w:abstractNumId w:val="7"/>
  </w:num>
  <w:num w:numId="4" w16cid:durableId="382951813">
    <w:abstractNumId w:val="7"/>
  </w:num>
  <w:num w:numId="5" w16cid:durableId="2016758132">
    <w:abstractNumId w:val="6"/>
  </w:num>
  <w:num w:numId="6" w16cid:durableId="925461249">
    <w:abstractNumId w:val="6"/>
  </w:num>
  <w:num w:numId="7" w16cid:durableId="533814759">
    <w:abstractNumId w:val="5"/>
  </w:num>
  <w:num w:numId="8" w16cid:durableId="1648779934">
    <w:abstractNumId w:val="5"/>
  </w:num>
  <w:num w:numId="9" w16cid:durableId="409889978">
    <w:abstractNumId w:val="4"/>
  </w:num>
  <w:num w:numId="10" w16cid:durableId="1401366716">
    <w:abstractNumId w:val="4"/>
  </w:num>
  <w:num w:numId="11" w16cid:durableId="1348824967">
    <w:abstractNumId w:val="8"/>
  </w:num>
  <w:num w:numId="12" w16cid:durableId="146241681">
    <w:abstractNumId w:val="8"/>
  </w:num>
  <w:num w:numId="13" w16cid:durableId="1089699169">
    <w:abstractNumId w:val="3"/>
  </w:num>
  <w:num w:numId="14" w16cid:durableId="1994524890">
    <w:abstractNumId w:val="3"/>
  </w:num>
  <w:num w:numId="15" w16cid:durableId="1492023946">
    <w:abstractNumId w:val="2"/>
  </w:num>
  <w:num w:numId="16" w16cid:durableId="1899825989">
    <w:abstractNumId w:val="2"/>
  </w:num>
  <w:num w:numId="17" w16cid:durableId="1018235114">
    <w:abstractNumId w:val="1"/>
  </w:num>
  <w:num w:numId="18" w16cid:durableId="1958024706">
    <w:abstractNumId w:val="1"/>
  </w:num>
  <w:num w:numId="19" w16cid:durableId="1357922401">
    <w:abstractNumId w:val="0"/>
  </w:num>
  <w:num w:numId="20" w16cid:durableId="1520776112">
    <w:abstractNumId w:val="0"/>
  </w:num>
  <w:num w:numId="21" w16cid:durableId="2070566383">
    <w:abstractNumId w:val="9"/>
  </w:num>
  <w:num w:numId="22" w16cid:durableId="741873682">
    <w:abstractNumId w:val="7"/>
  </w:num>
  <w:num w:numId="23" w16cid:durableId="1183518988">
    <w:abstractNumId w:val="6"/>
  </w:num>
  <w:num w:numId="24" w16cid:durableId="954100940">
    <w:abstractNumId w:val="5"/>
  </w:num>
  <w:num w:numId="25" w16cid:durableId="936116">
    <w:abstractNumId w:val="4"/>
  </w:num>
  <w:num w:numId="26" w16cid:durableId="29306746">
    <w:abstractNumId w:val="8"/>
  </w:num>
  <w:num w:numId="27" w16cid:durableId="614797745">
    <w:abstractNumId w:val="3"/>
  </w:num>
  <w:num w:numId="28" w16cid:durableId="1908832304">
    <w:abstractNumId w:val="2"/>
  </w:num>
  <w:num w:numId="29" w16cid:durableId="2112822642">
    <w:abstractNumId w:val="1"/>
  </w:num>
  <w:num w:numId="30" w16cid:durableId="1782530163">
    <w:abstractNumId w:val="0"/>
  </w:num>
  <w:num w:numId="31" w16cid:durableId="485516973">
    <w:abstractNumId w:val="9"/>
  </w:num>
  <w:num w:numId="32" w16cid:durableId="1868790126">
    <w:abstractNumId w:val="7"/>
  </w:num>
  <w:num w:numId="33" w16cid:durableId="1214192941">
    <w:abstractNumId w:val="6"/>
  </w:num>
  <w:num w:numId="34" w16cid:durableId="1542551007">
    <w:abstractNumId w:val="5"/>
  </w:num>
  <w:num w:numId="35" w16cid:durableId="840319083">
    <w:abstractNumId w:val="4"/>
  </w:num>
  <w:num w:numId="36" w16cid:durableId="1737243788">
    <w:abstractNumId w:val="8"/>
  </w:num>
  <w:num w:numId="37" w16cid:durableId="989285077">
    <w:abstractNumId w:val="3"/>
  </w:num>
  <w:num w:numId="38" w16cid:durableId="1231770216">
    <w:abstractNumId w:val="2"/>
  </w:num>
  <w:num w:numId="39" w16cid:durableId="1217618665">
    <w:abstractNumId w:val="1"/>
  </w:num>
  <w:num w:numId="40" w16cid:durableId="399207089">
    <w:abstractNumId w:val="0"/>
  </w:num>
  <w:num w:numId="41" w16cid:durableId="1665087250">
    <w:abstractNumId w:val="10"/>
  </w:num>
  <w:num w:numId="42" w16cid:durableId="272638689">
    <w:abstractNumId w:val="10"/>
  </w:num>
  <w:num w:numId="43" w16cid:durableId="2116441318">
    <w:abstractNumId w:val="10"/>
  </w:num>
  <w:num w:numId="44" w16cid:durableId="18788837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0EA"/>
    <w:rsid w:val="00002272"/>
    <w:rsid w:val="00064002"/>
    <w:rsid w:val="000677B9"/>
    <w:rsid w:val="000831BA"/>
    <w:rsid w:val="0008494E"/>
    <w:rsid w:val="000A42CC"/>
    <w:rsid w:val="000E7DD9"/>
    <w:rsid w:val="0010095E"/>
    <w:rsid w:val="00125B37"/>
    <w:rsid w:val="00187494"/>
    <w:rsid w:val="001F32AE"/>
    <w:rsid w:val="002767FF"/>
    <w:rsid w:val="0028133C"/>
    <w:rsid w:val="002B18FE"/>
    <w:rsid w:val="002B5493"/>
    <w:rsid w:val="002C0D59"/>
    <w:rsid w:val="00343214"/>
    <w:rsid w:val="00361C00"/>
    <w:rsid w:val="00395FA1"/>
    <w:rsid w:val="003E15D4"/>
    <w:rsid w:val="00400985"/>
    <w:rsid w:val="00411CCE"/>
    <w:rsid w:val="0041666E"/>
    <w:rsid w:val="00421060"/>
    <w:rsid w:val="00471C19"/>
    <w:rsid w:val="004867E3"/>
    <w:rsid w:val="00494A28"/>
    <w:rsid w:val="004C0004"/>
    <w:rsid w:val="004C5D52"/>
    <w:rsid w:val="004D4496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00EA"/>
    <w:rsid w:val="00731ADD"/>
    <w:rsid w:val="00734777"/>
    <w:rsid w:val="00747932"/>
    <w:rsid w:val="00751A4A"/>
    <w:rsid w:val="00756632"/>
    <w:rsid w:val="00762C74"/>
    <w:rsid w:val="00776BAA"/>
    <w:rsid w:val="00786EC0"/>
    <w:rsid w:val="007A0DAB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48B5"/>
    <w:rsid w:val="00930C23"/>
    <w:rsid w:val="0093193B"/>
    <w:rsid w:val="009442C4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601B"/>
    <w:rsid w:val="00AE0928"/>
    <w:rsid w:val="00AF3B82"/>
    <w:rsid w:val="00B12E95"/>
    <w:rsid w:val="00B22640"/>
    <w:rsid w:val="00B22876"/>
    <w:rsid w:val="00B558F0"/>
    <w:rsid w:val="00BD10B2"/>
    <w:rsid w:val="00BD48FE"/>
    <w:rsid w:val="00BD7BD8"/>
    <w:rsid w:val="00BE6ADC"/>
    <w:rsid w:val="00C05BFE"/>
    <w:rsid w:val="00C067AF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22A6"/>
    <w:rsid w:val="00ED169E"/>
    <w:rsid w:val="00ED4235"/>
    <w:rsid w:val="00F04346"/>
    <w:rsid w:val="00F075DC"/>
    <w:rsid w:val="00F149E9"/>
    <w:rsid w:val="00F209C6"/>
    <w:rsid w:val="00F5134D"/>
    <w:rsid w:val="00F74202"/>
    <w:rsid w:val="00F87713"/>
    <w:rsid w:val="00FB4360"/>
    <w:rsid w:val="00FC60E2"/>
    <w:rsid w:val="00FD0C70"/>
  </w:rsids>
  <w:docVars>
    <w:docVar w:name="dvdocse" w:val="A10-0119/2026"/>
    <w:docVar w:name="dvlangue" w:val="HU"/>
    <w:docVar w:name="dvnumam" w:val="0"/>
    <w:docVar w:name="dvpe" w:val="784.496"/>
    <w:docVar w:name="dvrapporteur" w:val="Előadó: "/>
    <w:docVar w:name="dvtitre" w:val="Az Európai Parlament 2026.  ...-i határozata Alvise Pérez mentelmi jogának felfüggesztésére irányuló kérelem(2025/2222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EDAE00C"/>
  <w15:chartTrackingRefBased/>
  <w15:docId w15:val="{579218C1-58C0-4E1B-AFAD-E663A70A9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2C0D59"/>
    <w:pPr>
      <w:spacing w:after="240"/>
    </w:pPr>
  </w:style>
  <w:style w:type="paragraph" w:customStyle="1" w:styleId="NormalHanging12a">
    <w:name w:val="NormalHanging12a"/>
    <w:basedOn w:val="Normal"/>
    <w:rsid w:val="002C0D59"/>
    <w:pPr>
      <w:spacing w:after="240"/>
      <w:ind w:left="567" w:hanging="567"/>
    </w:pPr>
  </w:style>
  <w:style w:type="paragraph" w:customStyle="1" w:styleId="EPComma">
    <w:name w:val="EPComma"/>
    <w:basedOn w:val="Normal"/>
    <w:rsid w:val="002C0D59"/>
    <w:pPr>
      <w:spacing w:before="480" w:after="240"/>
    </w:pPr>
  </w:style>
  <w:style w:type="paragraph" w:customStyle="1" w:styleId="Normal12Hanging">
    <w:name w:val="Normal12Hanging"/>
    <w:basedOn w:val="Normal"/>
    <w:rsid w:val="002C0D59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AD601B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654</Words>
  <Characters>4716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2026-04-28T10:51:00Z</dcterms:created>
  <dcterms:modified xsi:type="dcterms:W3CDTF">2026-04-28T10:51:00Z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A10-0119/2026</vt:lpwstr>
  </property>
  <property fmtid="{D5CDD505-2E9C-101B-9397-08002B2CF9AE}" pid="4" name="&lt;Type&gt;">
    <vt:lpwstr>RR</vt:lpwstr>
  </property>
</Properties>
</file>