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70E2E10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42A2E" w:rsidP="0010095E" w14:paraId="7459FF55" w14:textId="77777777">
            <w:pPr>
              <w:pStyle w:val="EPName"/>
            </w:pPr>
            <w:r w:rsidRPr="00242A2E">
              <w:t>Parlamento europeo</w:t>
            </w:r>
          </w:p>
          <w:p w:rsidR="00751A4A" w:rsidRPr="00242A2E" w:rsidP="005F1B17" w14:paraId="3BA561A8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42A2E">
              <w:t>2024</w:t>
            </w:r>
            <w:r w:rsidRPr="00242A2E" w:rsidR="00817416">
              <w:t>-202</w:t>
            </w:r>
            <w:r w:rsidRPr="00242A2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42A2E" w:rsidP="0010095E" w14:paraId="52A03496" w14:textId="77777777">
            <w:pPr>
              <w:pStyle w:val="EPLogo"/>
            </w:pPr>
            <w:r w:rsidRPr="00242A2E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42A2E" w:rsidP="004C5D52" w14:paraId="260A1845" w14:textId="77777777">
      <w:pPr>
        <w:pStyle w:val="LineTop"/>
      </w:pPr>
    </w:p>
    <w:p w:rsidR="00680577" w:rsidRPr="00242A2E" w:rsidP="00680577" w14:paraId="6C51DD97" w14:textId="77777777">
      <w:pPr>
        <w:pStyle w:val="EPBodyTA1"/>
      </w:pPr>
      <w:r w:rsidRPr="00242A2E">
        <w:t>TESTI APPROVATI</w:t>
      </w:r>
    </w:p>
    <w:p w:rsidR="00D058B8" w:rsidRPr="00242A2E" w:rsidP="00D058B8" w14:paraId="1BAED17C" w14:textId="77777777">
      <w:pPr>
        <w:pStyle w:val="LineBottom"/>
      </w:pPr>
    </w:p>
    <w:p w:rsidR="00EA009A" w:rsidRPr="00242A2E" w:rsidP="00EA009A" w14:paraId="1CA73D9E" w14:textId="6B73E227">
      <w:pPr>
        <w:pStyle w:val="ATHeading1"/>
      </w:pPr>
      <w:bookmarkStart w:id="0" w:name="TANumber"/>
      <w:r w:rsidRPr="00242A2E">
        <w:t>P10_</w:t>
      </w:r>
      <w:r w:rsidRPr="00242A2E">
        <w:t>TA(</w:t>
      </w:r>
      <w:r w:rsidRPr="00242A2E">
        <w:t>2026)0</w:t>
      </w:r>
      <w:r w:rsidRPr="00242A2E" w:rsidR="00C52304">
        <w:t>110</w:t>
      </w:r>
      <w:bookmarkEnd w:id="0"/>
    </w:p>
    <w:p w:rsidR="00EA009A" w:rsidRPr="00242A2E" w:rsidP="00EA009A" w14:paraId="56F39962" w14:textId="4CA65D0B">
      <w:pPr>
        <w:pStyle w:val="ATHeading2"/>
      </w:pPr>
      <w:bookmarkStart w:id="1" w:name="title"/>
      <w:r w:rsidRPr="00242A2E">
        <w:t>R</w:t>
      </w:r>
      <w:r w:rsidRPr="00242A2E" w:rsidR="008D20CE">
        <w:t>ichiesta</w:t>
      </w:r>
      <w:r w:rsidRPr="00242A2E">
        <w:t xml:space="preserve"> </w:t>
      </w:r>
      <w:r w:rsidRPr="00242A2E" w:rsidR="008D20CE">
        <w:t xml:space="preserve">di revoca </w:t>
      </w:r>
      <w:r w:rsidRPr="00242A2E">
        <w:t>dell'immunità di Alvise Pérez</w:t>
      </w:r>
      <w:bookmarkEnd w:id="1"/>
    </w:p>
    <w:p w:rsidR="00EA009A" w:rsidRPr="00242A2E" w:rsidP="00EA009A" w14:paraId="5A502D46" w14:textId="77777777">
      <w:pPr>
        <w:rPr>
          <w:i/>
          <w:vanish/>
        </w:rPr>
      </w:pPr>
      <w:r>
        <w:rPr>
          <w:i/>
        </w:rPr>
        <w:fldChar w:fldCharType="begin"/>
      </w:r>
      <w:r w:rsidRPr="00242A2E">
        <w:rPr>
          <w:i/>
        </w:rPr>
        <w:instrText xml:space="preserve"> TC"(</w:instrText>
      </w:r>
      <w:bookmarkStart w:id="2" w:name="DocNumber"/>
      <w:r w:rsidRPr="00242A2E">
        <w:rPr>
          <w:i/>
        </w:rPr>
        <w:instrText>A10-0119/2026</w:instrText>
      </w:r>
      <w:bookmarkEnd w:id="2"/>
      <w:r w:rsidRPr="00242A2E">
        <w:rPr>
          <w:i/>
        </w:rPr>
        <w:instrText xml:space="preserve"> - Relatore: Mario Furore)"\l3 \n&gt; \* MERGEFORMAT </w:instrText>
      </w:r>
      <w:r>
        <w:rPr>
          <w:i/>
        </w:rPr>
        <w:fldChar w:fldCharType="end"/>
      </w:r>
    </w:p>
    <w:p w:rsidR="00EA009A" w:rsidRPr="00242A2E" w:rsidP="00EA009A" w14:paraId="50E5CD1E" w14:textId="77777777">
      <w:pPr>
        <w:rPr>
          <w:vanish/>
        </w:rPr>
      </w:pPr>
      <w:bookmarkStart w:id="3" w:name="Commission"/>
      <w:r w:rsidRPr="00242A2E">
        <w:rPr>
          <w:vanish/>
        </w:rPr>
        <w:t>Commissione giuridica</w:t>
      </w:r>
      <w:bookmarkEnd w:id="3"/>
    </w:p>
    <w:p w:rsidR="00EA009A" w:rsidRPr="00242A2E" w:rsidP="00EA009A" w14:paraId="1AFAC6F3" w14:textId="77777777">
      <w:pPr>
        <w:rPr>
          <w:vanish/>
        </w:rPr>
      </w:pPr>
      <w:bookmarkStart w:id="4" w:name="PE"/>
      <w:r w:rsidRPr="00242A2E">
        <w:rPr>
          <w:vanish/>
        </w:rPr>
        <w:t>PE784.496</w:t>
      </w:r>
      <w:bookmarkEnd w:id="4"/>
    </w:p>
    <w:p w:rsidR="00EA009A" w:rsidRPr="00242A2E" w:rsidP="00EA009A" w14:paraId="21AF23F5" w14:textId="316880BD">
      <w:pPr>
        <w:pStyle w:val="ATHeading3"/>
      </w:pPr>
      <w:bookmarkStart w:id="5" w:name="Sujet"/>
      <w:r w:rsidRPr="00242A2E">
        <w:t xml:space="preserve">Decisione del Parlamento europeo del </w:t>
      </w:r>
      <w:r w:rsidRPr="00242A2E" w:rsidR="008D20CE">
        <w:t>28</w:t>
      </w:r>
      <w:r w:rsidRPr="00242A2E">
        <w:t xml:space="preserve"> aprile 2026 sulla richiesta di revoca dell'immunità di Alvise Pérez</w:t>
      </w:r>
      <w:bookmarkEnd w:id="5"/>
      <w:r w:rsidRPr="00242A2E">
        <w:t xml:space="preserve"> </w:t>
      </w:r>
      <w:bookmarkStart w:id="6" w:name="References"/>
      <w:r w:rsidRPr="00242A2E">
        <w:t>(2025/2222(IMM))</w:t>
      </w:r>
      <w:bookmarkEnd w:id="6"/>
    </w:p>
    <w:p w:rsidR="00633C90" w:rsidRPr="00242A2E" w:rsidP="00633C90" w14:paraId="30C8DF18" w14:textId="77777777">
      <w:pPr>
        <w:pStyle w:val="EPComma"/>
      </w:pPr>
      <w:bookmarkStart w:id="7" w:name="TextBodyBegin"/>
      <w:bookmarkEnd w:id="7"/>
      <w:r w:rsidRPr="00242A2E">
        <w:rPr>
          <w:i/>
        </w:rPr>
        <w:t>Il Parlamento europeo</w:t>
      </w:r>
      <w:r w:rsidRPr="00242A2E">
        <w:t>,</w:t>
      </w:r>
    </w:p>
    <w:p w:rsidR="00633C90" w:rsidRPr="00242A2E" w:rsidP="00633C90" w14:paraId="25236FDD" w14:textId="3C3F6F6F">
      <w:pPr>
        <w:pStyle w:val="NormalHanging12a"/>
      </w:pPr>
      <w:r w:rsidRPr="00242A2E">
        <w:t>–</w:t>
      </w:r>
      <w:r w:rsidRPr="00242A2E">
        <w:tab/>
        <w:t xml:space="preserve">vista la richiesta di revoca dell'immunità di Alvise Pérez (Luis Pérez Fernández), </w:t>
      </w:r>
      <w:r w:rsidRPr="00242A2E" w:rsidR="008D20CE">
        <w:t>presentata</w:t>
      </w:r>
      <w:r w:rsidRPr="00242A2E">
        <w:t xml:space="preserve"> dalla Corte suprema spagnola con lettera in data 7 ottobre 2025 nel quadro di un procedimento penale </w:t>
      </w:r>
      <w:r w:rsidRPr="00242A2E" w:rsidR="008D20CE">
        <w:t xml:space="preserve">da avviare </w:t>
      </w:r>
      <w:r w:rsidRPr="00242A2E">
        <w:t>a suo carico, e annunciata in Aula il 22 ottobre 2025,</w:t>
      </w:r>
    </w:p>
    <w:p w:rsidR="00633C90" w:rsidRPr="00242A2E" w:rsidP="00633C90" w14:paraId="5B874A73" w14:textId="77777777">
      <w:pPr>
        <w:pStyle w:val="NormalHanging12a"/>
      </w:pPr>
      <w:r w:rsidRPr="00242A2E">
        <w:t>–</w:t>
      </w:r>
      <w:r w:rsidRPr="00242A2E">
        <w:tab/>
        <w:t>avendo ascoltato Alvise Pérez il 24 marzo 2026 a norma dell'articolo 9, paragrafo 6, del suo regolamento,</w:t>
      </w:r>
    </w:p>
    <w:p w:rsidR="00633C90" w:rsidRPr="00242A2E" w:rsidP="00633C90" w14:paraId="703FFD75" w14:textId="77777777">
      <w:pPr>
        <w:pStyle w:val="NormalHanging12a"/>
      </w:pPr>
      <w:r w:rsidRPr="00242A2E">
        <w:t>–</w:t>
      </w:r>
      <w:r w:rsidRPr="00242A2E">
        <w:tab/>
        <w:t>visti gli articoli 8 e 9 del protocollo n. 7 sui privilegi e sulle immunità dell'Unione europea e l'articolo 6, paragrafo 2, dell'atto relativo all'elezione dei membri del Parlamento europeo a suffragio universale diretto, del 20 settembre 1976,</w:t>
      </w:r>
    </w:p>
    <w:p w:rsidR="00633C90" w:rsidRPr="00242A2E" w:rsidP="00633C90" w14:paraId="61EB6FFB" w14:textId="77777777">
      <w:pPr>
        <w:pStyle w:val="NormalHanging12a"/>
      </w:pPr>
      <w:r w:rsidRPr="00242A2E">
        <w:t>–</w:t>
      </w:r>
      <w:r w:rsidRPr="00242A2E">
        <w:tab/>
        <w:t>viste le sentenze pronunciate dalla Corte di giustizia dell'Unione europea il 21 ottobre 2008, 19 marzo 2010, 6 settembre 2011, 17 gennaio 2013 e 19 dicembre 2019</w:t>
      </w:r>
      <w:r>
        <w:rPr>
          <w:rStyle w:val="FootnoteReference"/>
        </w:rPr>
        <w:footnoteReference w:id="2"/>
      </w:r>
      <w:r w:rsidRPr="00242A2E">
        <w:t>,</w:t>
      </w:r>
    </w:p>
    <w:p w:rsidR="00633C90" w:rsidRPr="00242A2E" w:rsidP="00633C90" w14:paraId="2033E167" w14:textId="77777777">
      <w:pPr>
        <w:pStyle w:val="NormalHanging12a"/>
      </w:pPr>
      <w:r w:rsidRPr="00242A2E">
        <w:t>–</w:t>
      </w:r>
      <w:r w:rsidRPr="00242A2E">
        <w:tab/>
        <w:t>visto l'articolo 71, paragrafi 1 e 2, della Costituzione spagnola,</w:t>
      </w:r>
    </w:p>
    <w:p w:rsidR="00633C90" w:rsidRPr="00242A2E" w:rsidP="00633C90" w14:paraId="015AF182" w14:textId="77777777">
      <w:pPr>
        <w:pStyle w:val="NormalHanging12a"/>
      </w:pPr>
      <w:r w:rsidRPr="00242A2E">
        <w:t>–</w:t>
      </w:r>
      <w:r w:rsidRPr="00242A2E">
        <w:tab/>
        <w:t>visti l'articolo 5, paragrafo 2, l'articolo 6, paragrafo 1, e l'articolo 9 del suo regolamento,</w:t>
      </w:r>
    </w:p>
    <w:p w:rsidR="00633C90" w:rsidRPr="00242A2E" w:rsidP="00633C90" w14:paraId="18EFA779" w14:textId="77777777">
      <w:pPr>
        <w:pStyle w:val="NormalHanging12a"/>
      </w:pPr>
      <w:r w:rsidRPr="00242A2E">
        <w:t>–</w:t>
      </w:r>
      <w:r w:rsidRPr="00242A2E">
        <w:tab/>
        <w:t>vista la relazione della commissione giuridica (A10</w:t>
      </w:r>
      <w:r w:rsidRPr="00242A2E">
        <w:noBreakHyphen/>
        <w:t>0119/2026),</w:t>
      </w:r>
    </w:p>
    <w:p w:rsidR="00633C90" w:rsidRPr="00242A2E" w:rsidP="00633C90" w14:paraId="3CF89CFB" w14:textId="41853F0F">
      <w:pPr>
        <w:pStyle w:val="NormalHanging12a"/>
      </w:pPr>
      <w:r w:rsidRPr="00242A2E">
        <w:t>A.</w:t>
      </w:r>
      <w:r w:rsidRPr="00242A2E">
        <w:tab/>
        <w:t xml:space="preserve">considerando che, con lettera in data 7 ottobre 2025, il presidente della Corte suprema spagnola ha trasmesso una richiesta di revoca dell'immunità di Alvise Pérez, deputato al </w:t>
      </w:r>
      <w:r w:rsidRPr="00242A2E">
        <w:t xml:space="preserve">Parlamento europeo, in relazione a presunti reati </w:t>
      </w:r>
      <w:r w:rsidRPr="00242A2E" w:rsidR="00AC0BE6">
        <w:t>avvenuti</w:t>
      </w:r>
      <w:r w:rsidRPr="00242A2E">
        <w:t xml:space="preserve"> nel 2024;</w:t>
      </w:r>
    </w:p>
    <w:p w:rsidR="00633C90" w:rsidRPr="00242A2E" w:rsidP="00242A2E" w14:paraId="28AB2E3A" w14:textId="7DFE64FA">
      <w:pPr>
        <w:pStyle w:val="Normal12a"/>
        <w:ind w:left="567" w:hanging="567"/>
      </w:pPr>
      <w:r w:rsidRPr="00242A2E">
        <w:rPr>
          <w:shd w:val="clear" w:color="auto" w:fill="FFFFFF"/>
        </w:rPr>
        <w:t>B.</w:t>
      </w:r>
      <w:r w:rsidRPr="00242A2E">
        <w:rPr>
          <w:shd w:val="clear" w:color="auto" w:fill="FFFFFF"/>
        </w:rPr>
        <w:tab/>
      </w:r>
      <w:r w:rsidRPr="00242A2E">
        <w:t xml:space="preserve">considerando che, secondo </w:t>
      </w:r>
      <w:r w:rsidRPr="00242A2E" w:rsidR="00AC0BE6">
        <w:t>la</w:t>
      </w:r>
      <w:r w:rsidRPr="00242A2E">
        <w:t xml:space="preserve"> richiesta, nel gennaio e nel febbraio 2024 l'amministratore di un canale Telegram denominato "Alvise Pérez Chat" avrebbe pubblicato dichiarazioni nelle quali venivano indicati i nomi dei "responsabili della persecuzione ideologica nota come reati generati dall'odio", facendo riferimento in particolare alla procuratrice delegata per i reati generati dall'odio di Valencia; che le dichiarazioni pubblicate su tale canale hanno generato una reazione immediata da parte di numerosi utenti iscritti al canale, che hanno inviato oltre 1 500 commenti alla procuratrice delegata, per lo più di natura ingiuriosa; che i presunti comportamenti po</w:t>
      </w:r>
      <w:r w:rsidRPr="00242A2E" w:rsidR="00AC0BE6">
        <w:t>trebbero</w:t>
      </w:r>
      <w:r w:rsidRPr="00242A2E">
        <w:t xml:space="preserve"> costituire reati di molestie o stalking, istigazione a commettere aggressioni contro un'autorità o un funzionario pubblico, coercizione e/o diffusione dell'odio attraverso i social media, ai sensi dell'articolo 172 ter e dell'articolo 18, paragrafo 1, del codice penale spagnolo in combinato disposto con l'articolo 553 del codice penale spagnolo;</w:t>
      </w:r>
    </w:p>
    <w:p w:rsidR="00633C90" w:rsidRPr="00242A2E" w:rsidP="00633C90" w14:paraId="4A192B8E" w14:textId="2374BCDD">
      <w:pPr>
        <w:pStyle w:val="NormalHanging12a"/>
        <w:rPr>
          <w:szCs w:val="24"/>
          <w:shd w:val="clear" w:color="auto" w:fill="FFFFFF"/>
        </w:rPr>
      </w:pPr>
      <w:r w:rsidRPr="00242A2E">
        <w:t>C.</w:t>
      </w:r>
      <w:r w:rsidRPr="00242A2E">
        <w:tab/>
      </w:r>
      <w:r w:rsidRPr="00242A2E">
        <w:rPr>
          <w:shd w:val="clear" w:color="auto" w:fill="FFFFFF"/>
        </w:rPr>
        <w:t xml:space="preserve">considerando che </w:t>
      </w:r>
      <w:r w:rsidRPr="00242A2E">
        <w:t>Alvise Pérez</w:t>
      </w:r>
      <w:r w:rsidRPr="00242A2E">
        <w:rPr>
          <w:shd w:val="clear" w:color="auto" w:fill="FFFFFF"/>
        </w:rPr>
        <w:t xml:space="preserve"> è stato eletto al Parlamento europeo</w:t>
      </w:r>
      <w:r w:rsidRPr="00242A2E" w:rsidR="00AC0BE6">
        <w:rPr>
          <w:shd w:val="clear" w:color="auto" w:fill="FFFFFF"/>
        </w:rPr>
        <w:t xml:space="preserve"> a</w:t>
      </w:r>
      <w:r w:rsidRPr="00242A2E">
        <w:rPr>
          <w:shd w:val="clear" w:color="auto" w:fill="FFFFFF"/>
        </w:rPr>
        <w:t xml:space="preserve">lle elezioni europee del giugno 2024 e </w:t>
      </w:r>
      <w:r w:rsidRPr="00242A2E" w:rsidR="00AC0BE6">
        <w:rPr>
          <w:shd w:val="clear" w:color="auto" w:fill="FFFFFF"/>
        </w:rPr>
        <w:t xml:space="preserve">che </w:t>
      </w:r>
      <w:r w:rsidRPr="00242A2E">
        <w:rPr>
          <w:shd w:val="clear" w:color="auto" w:fill="FFFFFF"/>
        </w:rPr>
        <w:t xml:space="preserve">pertanto non era deputato al Parlamento europeo all'epoca dei presunti reati; </w:t>
      </w:r>
    </w:p>
    <w:p w:rsidR="00633C90" w:rsidRPr="00242A2E" w:rsidP="00633C90" w14:paraId="42A8C12D" w14:textId="25F71843">
      <w:pPr>
        <w:pStyle w:val="NormalHanging12a"/>
      </w:pPr>
      <w:r w:rsidRPr="00242A2E">
        <w:t>D.</w:t>
      </w:r>
      <w:r w:rsidRPr="00242A2E">
        <w:tab/>
        <w:t>considerando che i presunti reati e la successiva richiesta di revoca dell'immunità di Alvise Pérez non si riferiscono a opinion</w:t>
      </w:r>
      <w:r w:rsidRPr="00242A2E" w:rsidR="00AC0BE6">
        <w:t>i</w:t>
      </w:r>
      <w:r w:rsidRPr="00242A2E">
        <w:t xml:space="preserve"> o vot</w:t>
      </w:r>
      <w:r w:rsidRPr="00242A2E" w:rsidR="00AC0BE6">
        <w:t>i</w:t>
      </w:r>
      <w:r w:rsidRPr="00242A2E">
        <w:t xml:space="preserve"> espressi da quest'ultimo nell'esercizio delle sue funzioni ai sensi dell'articolo 8 del protocollo n. 7 sui privilegi e sulle immunità dell'Unione europea;</w:t>
      </w:r>
    </w:p>
    <w:p w:rsidR="00633C90" w:rsidRPr="00242A2E" w:rsidP="00633C90" w14:paraId="5F07A5FA" w14:textId="7BC86473">
      <w:pPr>
        <w:pStyle w:val="NormalHanging12a"/>
      </w:pPr>
      <w:r w:rsidRPr="00242A2E">
        <w:t>E.</w:t>
      </w:r>
      <w:r w:rsidRPr="00242A2E">
        <w:tab/>
        <w:t>considerando che l'articolo 9, primo comma, lettera a), del protocollo n. 7 sui privilegi e sulle immunità dell'Unione europea stabilisce che</w:t>
      </w:r>
      <w:r w:rsidRPr="00242A2E" w:rsidR="00AC0BE6">
        <w:t>, per la durata delle sessioni del Parlamento europeo,</w:t>
      </w:r>
      <w:r w:rsidRPr="00242A2E">
        <w:t xml:space="preserve"> i membri d</w:t>
      </w:r>
      <w:r w:rsidRPr="00242A2E" w:rsidR="00AC0BE6">
        <w:t>i esso</w:t>
      </w:r>
      <w:r w:rsidRPr="00242A2E">
        <w:t xml:space="preserve"> beneficiano, sul territorio nazionale, delle immunità riconosciute ai membri del parlamento del loro </w:t>
      </w:r>
      <w:r w:rsidRPr="00242A2E" w:rsidR="00AC0BE6">
        <w:t>Stato membro</w:t>
      </w:r>
      <w:r w:rsidRPr="00242A2E">
        <w:t>;</w:t>
      </w:r>
    </w:p>
    <w:p w:rsidR="00633C90" w:rsidRPr="00242A2E" w:rsidP="00633C90" w14:paraId="43773E5D" w14:textId="51C284BD">
      <w:pPr>
        <w:pStyle w:val="Normal12Hanging"/>
      </w:pPr>
      <w:r w:rsidRPr="00242A2E">
        <w:t>F.</w:t>
      </w:r>
      <w:r w:rsidRPr="00242A2E">
        <w:tab/>
        <w:t>considerando che</w:t>
      </w:r>
      <w:r w:rsidRPr="00242A2E" w:rsidR="00343219">
        <w:t xml:space="preserve"> </w:t>
      </w:r>
      <w:r w:rsidRPr="00242A2E">
        <w:t>l'articolo 71, paragrafi 1 e 2, della Costituzione spagnola</w:t>
      </w:r>
      <w:r w:rsidRPr="00242A2E" w:rsidR="00343219">
        <w:t xml:space="preserve"> stabilisce che</w:t>
      </w:r>
      <w:r w:rsidRPr="00242A2E">
        <w:t>:</w:t>
      </w:r>
    </w:p>
    <w:p w:rsidR="00633C90" w:rsidRPr="00242A2E" w:rsidP="00242A2E" w14:paraId="50A047C2" w14:textId="4E07F678">
      <w:pPr>
        <w:pStyle w:val="Normal12Hanging"/>
        <w:ind w:left="1134"/>
        <w:rPr>
          <w:iCs/>
        </w:rPr>
      </w:pPr>
      <w:r w:rsidRPr="00242A2E">
        <w:t>"1</w:t>
      </w:r>
      <w:r w:rsidRPr="00242A2E" w:rsidR="00AC0BE6">
        <w:t>)</w:t>
      </w:r>
      <w:r w:rsidRPr="00242A2E">
        <w:t>.</w:t>
      </w:r>
      <w:r w:rsidRPr="00242A2E" w:rsidR="00AC0BE6">
        <w:tab/>
      </w:r>
      <w:r w:rsidRPr="00242A2E">
        <w:t xml:space="preserve">I </w:t>
      </w:r>
      <w:r w:rsidRPr="00242A2E" w:rsidR="00CF6477">
        <w:t>deputati</w:t>
      </w:r>
      <w:r w:rsidRPr="00242A2E">
        <w:t xml:space="preserve"> e i senatori </w:t>
      </w:r>
      <w:r w:rsidRPr="00242A2E" w:rsidR="00CF6477">
        <w:t>beneficiano dell’inviolabilità</w:t>
      </w:r>
      <w:r w:rsidRPr="00242A2E">
        <w:t xml:space="preserve"> per le opinioni </w:t>
      </w:r>
      <w:r w:rsidRPr="00242A2E" w:rsidR="00CF6477">
        <w:t>manifestate</w:t>
      </w:r>
      <w:r w:rsidRPr="00242A2E">
        <w:t xml:space="preserve"> nell'esercizio delle loro funzioni.</w:t>
      </w:r>
    </w:p>
    <w:p w:rsidR="00633C90" w:rsidRPr="00242A2E" w:rsidP="00242A2E" w14:paraId="2FEDAC61" w14:textId="136725CA">
      <w:pPr>
        <w:pStyle w:val="NormalHanging12a"/>
        <w:ind w:left="1134"/>
        <w:rPr>
          <w:iCs/>
          <w:color w:val="000000"/>
        </w:rPr>
      </w:pPr>
      <w:r w:rsidRPr="00242A2E">
        <w:t>2</w:t>
      </w:r>
      <w:r w:rsidRPr="00242A2E" w:rsidR="00AC0BE6">
        <w:t>)</w:t>
      </w:r>
      <w:r w:rsidRPr="00242A2E">
        <w:t>.</w:t>
      </w:r>
      <w:r w:rsidRPr="00242A2E" w:rsidR="00AC0BE6">
        <w:tab/>
      </w:r>
      <w:r w:rsidRPr="00242A2E">
        <w:t xml:space="preserve">Durante il </w:t>
      </w:r>
      <w:r w:rsidRPr="00242A2E" w:rsidR="00CF6477">
        <w:t xml:space="preserve">periodo del </w:t>
      </w:r>
      <w:r w:rsidRPr="00242A2E">
        <w:t xml:space="preserve">loro mandato, i </w:t>
      </w:r>
      <w:r w:rsidRPr="00242A2E" w:rsidR="00CF6477">
        <w:t>deputati</w:t>
      </w:r>
      <w:r w:rsidRPr="00242A2E">
        <w:t xml:space="preserve"> e i senatori </w:t>
      </w:r>
      <w:r w:rsidRPr="00242A2E" w:rsidR="00CF6477">
        <w:t>beneficiano</w:t>
      </w:r>
      <w:r w:rsidRPr="00242A2E">
        <w:t xml:space="preserve"> parimenti dell</w:t>
      </w:r>
      <w:r w:rsidRPr="00242A2E" w:rsidR="00CF6477">
        <w:t>’immunità</w:t>
      </w:r>
      <w:r w:rsidRPr="00242A2E">
        <w:t xml:space="preserve"> e possono essere arrestati </w:t>
      </w:r>
      <w:r w:rsidRPr="00242A2E" w:rsidR="00CF6477">
        <w:t>unicamente</w:t>
      </w:r>
      <w:r w:rsidRPr="00242A2E">
        <w:t xml:space="preserve"> in caso di flagranza di reato. Non possono essere incriminati né </w:t>
      </w:r>
      <w:r w:rsidRPr="00242A2E" w:rsidR="00CF6477">
        <w:t>sottoposti a processo</w:t>
      </w:r>
      <w:r w:rsidRPr="00242A2E">
        <w:t xml:space="preserve"> se</w:t>
      </w:r>
      <w:r w:rsidRPr="00242A2E" w:rsidR="00CF6477">
        <w:t xml:space="preserve"> non</w:t>
      </w:r>
      <w:r w:rsidRPr="00242A2E">
        <w:t xml:space="preserve"> previa autorizzazione della rispettiva </w:t>
      </w:r>
      <w:r w:rsidRPr="00242A2E" w:rsidR="00CF6477">
        <w:t>c</w:t>
      </w:r>
      <w:r w:rsidRPr="00242A2E">
        <w:t>amera.";</w:t>
      </w:r>
    </w:p>
    <w:p w:rsidR="00633C90" w:rsidRPr="00242A2E" w:rsidP="00633C90" w14:paraId="4BFAC2FB" w14:textId="77777777">
      <w:pPr>
        <w:pStyle w:val="NormalHanging12a"/>
        <w:rPr>
          <w:color w:val="000000"/>
        </w:rPr>
      </w:pPr>
      <w:r w:rsidRPr="00242A2E">
        <w:rPr>
          <w:color w:val="000000"/>
        </w:rPr>
        <w:t>G.</w:t>
      </w:r>
      <w:r w:rsidRPr="00242A2E">
        <w:rPr>
          <w:color w:val="000000"/>
        </w:rPr>
        <w:tab/>
        <w:t>considerando che l'immunità prevista dal protocollo n. 7 sui privilegi e sulle immunità dell'Unione europea è intesa a proteggere il Parlamento e i deputati che lo compongono da procedimenti giudiziari relativi ad attività svolte nell'esercizio del mandato parlamentare e che non possono essere disgiunte da esso;</w:t>
      </w:r>
    </w:p>
    <w:p w:rsidR="00633C90" w:rsidRPr="00242A2E" w:rsidP="00633C90" w14:paraId="6E16E46F" w14:textId="5156A5E0">
      <w:pPr>
        <w:pStyle w:val="NormalHanging12a"/>
        <w:rPr>
          <w:color w:val="000000"/>
        </w:rPr>
      </w:pPr>
      <w:r w:rsidRPr="00242A2E">
        <w:rPr>
          <w:color w:val="000000"/>
        </w:rPr>
        <w:t>H.</w:t>
      </w:r>
      <w:r w:rsidRPr="00242A2E">
        <w:rPr>
          <w:color w:val="000000"/>
        </w:rPr>
        <w:tab/>
        <w:t xml:space="preserve">considerando che, conformemente all'articolo 5, paragrafo 2, del </w:t>
      </w:r>
      <w:r w:rsidRPr="00242A2E" w:rsidR="00CF6477">
        <w:rPr>
          <w:color w:val="000000"/>
        </w:rPr>
        <w:t xml:space="preserve">suo </w:t>
      </w:r>
      <w:r w:rsidRPr="00242A2E">
        <w:rPr>
          <w:color w:val="000000"/>
        </w:rPr>
        <w:t>regolamento, l'immunità parlamentare non è un privilegio personale del deputato, ma una garanzia di indipendenza del Parlamento in quanto istituzione e dei suoi membri;</w:t>
      </w:r>
    </w:p>
    <w:p w:rsidR="00633C90" w:rsidRPr="00242A2E" w:rsidP="00633C90" w14:paraId="7F465A93" w14:textId="18618C3B">
      <w:pPr>
        <w:pStyle w:val="NormalHanging12a"/>
        <w:rPr>
          <w:color w:val="000000"/>
        </w:rPr>
      </w:pPr>
      <w:r w:rsidRPr="00242A2E">
        <w:rPr>
          <w:color w:val="000000"/>
        </w:rPr>
        <w:t>I.</w:t>
      </w:r>
      <w:r w:rsidRPr="00242A2E">
        <w:rPr>
          <w:color w:val="000000"/>
        </w:rPr>
        <w:tab/>
        <w:t xml:space="preserve">considerando che, nella fattispecie, il Parlamento non ha riscontrato prova di </w:t>
      </w:r>
      <w:r w:rsidRPr="00242A2E">
        <w:rPr>
          <w:i/>
          <w:iCs/>
          <w:color w:val="000000"/>
        </w:rPr>
        <w:t xml:space="preserve">fumus </w:t>
      </w:r>
      <w:r w:rsidRPr="00242A2E">
        <w:rPr>
          <w:i/>
          <w:iCs/>
          <w:color w:val="000000"/>
        </w:rPr>
        <w:t>persecutionis</w:t>
      </w:r>
      <w:r w:rsidRPr="00242A2E">
        <w:rPr>
          <w:color w:val="000000"/>
        </w:rPr>
        <w:t xml:space="preserve">, </w:t>
      </w:r>
      <w:r w:rsidRPr="00242A2E" w:rsidR="000E6E2D">
        <w:rPr>
          <w:color w:val="000000"/>
        </w:rPr>
        <w:t>ossia non</w:t>
      </w:r>
      <w:r w:rsidRPr="00242A2E">
        <w:rPr>
          <w:color w:val="000000"/>
        </w:rPr>
        <w:t xml:space="preserve"> si evinc</w:t>
      </w:r>
      <w:r w:rsidRPr="00242A2E" w:rsidR="000E6E2D">
        <w:rPr>
          <w:color w:val="000000"/>
        </w:rPr>
        <w:t>e</w:t>
      </w:r>
      <w:r w:rsidRPr="00242A2E">
        <w:rPr>
          <w:color w:val="000000"/>
        </w:rPr>
        <w:t xml:space="preserve"> che l’intento alla base del procedimento giudiziario sia quello di recare pregiudizio all'attività politica di Alvise Pérez in quanto membro del </w:t>
      </w:r>
      <w:r w:rsidRPr="00242A2E">
        <w:rPr>
          <w:color w:val="000000"/>
        </w:rPr>
        <w:t>Parlamento europeo</w:t>
      </w:r>
      <w:r w:rsidRPr="00242A2E" w:rsidR="000E6E2D">
        <w:rPr>
          <w:color w:val="000000"/>
        </w:rPr>
        <w:t xml:space="preserve"> e di conseguenza all’indipendenza del Parlamento</w:t>
      </w:r>
      <w:r w:rsidRPr="00242A2E">
        <w:rPr>
          <w:color w:val="000000"/>
        </w:rPr>
        <w:t>;</w:t>
      </w:r>
    </w:p>
    <w:p w:rsidR="00633C90" w:rsidRPr="00242A2E" w:rsidP="00633C90" w14:paraId="490DBB1A" w14:textId="429F9CBD">
      <w:pPr>
        <w:pStyle w:val="NormalHanging12a"/>
      </w:pPr>
      <w:r w:rsidRPr="00242A2E">
        <w:rPr>
          <w:color w:val="000000"/>
        </w:rPr>
        <w:t>J.</w:t>
      </w:r>
      <w:r w:rsidRPr="00242A2E">
        <w:rPr>
          <w:color w:val="000000"/>
        </w:rPr>
        <w:tab/>
        <w:t xml:space="preserve">considerando, da un lato, </w:t>
      </w:r>
      <w:r w:rsidRPr="00242A2E" w:rsidR="000E6E2D">
        <w:rPr>
          <w:color w:val="000000"/>
        </w:rPr>
        <w:t xml:space="preserve">che </w:t>
      </w:r>
      <w:r w:rsidRPr="00242A2E">
        <w:rPr>
          <w:color w:val="000000"/>
        </w:rPr>
        <w:t xml:space="preserve">il Parlamento non dovrebbe essere assimilato a un tribunale e, dall'altro lato, </w:t>
      </w:r>
      <w:r w:rsidRPr="00242A2E" w:rsidR="000E6E2D">
        <w:rPr>
          <w:color w:val="000000"/>
        </w:rPr>
        <w:t xml:space="preserve">che </w:t>
      </w:r>
      <w:r w:rsidRPr="00242A2E">
        <w:rPr>
          <w:color w:val="000000"/>
        </w:rPr>
        <w:t>il deputato non dovrebbe, nel contesto di una procedura di revoca dell'immunità, essere considerato un "accusato"</w:t>
      </w:r>
      <w:r>
        <w:rPr>
          <w:color w:val="000000"/>
          <w:vertAlign w:val="superscript"/>
        </w:rPr>
        <w:footnoteReference w:id="3"/>
      </w:r>
      <w:r w:rsidRPr="00242A2E">
        <w:rPr>
          <w:color w:val="000000"/>
        </w:rPr>
        <w:t>;</w:t>
      </w:r>
    </w:p>
    <w:p w:rsidR="00633C90" w:rsidRPr="00242A2E" w:rsidP="00633C90" w14:paraId="2ECFBE78" w14:textId="77777777">
      <w:pPr>
        <w:pStyle w:val="NormalHanging12a"/>
      </w:pPr>
      <w:r w:rsidRPr="00242A2E">
        <w:t>1.</w:t>
      </w:r>
      <w:r w:rsidRPr="00242A2E">
        <w:tab/>
        <w:t>decide di revocare l'immunità di Alvise Pérez;</w:t>
      </w:r>
    </w:p>
    <w:p w:rsidR="00014A62" w:rsidRPr="00242A2E" w:rsidP="00014A62" w14:paraId="72CADC41" w14:textId="77777777">
      <w:pPr>
        <w:pStyle w:val="NormalHanging12a"/>
      </w:pPr>
      <w:r w:rsidRPr="00242A2E">
        <w:t>2.</w:t>
      </w:r>
      <w:r w:rsidRPr="00242A2E">
        <w:tab/>
        <w:t>incarica la sua Presidente di trasmettere immediatamente la presente decisione e la relazione della sua commissione competente alle autorità competenti del Regno di Spagna e ad Alvise Pérez.</w:t>
      </w:r>
    </w:p>
    <w:p w:rsidR="00E365E1" w:rsidRPr="00242A2E" w:rsidP="00EA009A" w14:paraId="6B70A192" w14:textId="77777777"/>
    <w:sectPr w:rsidSect="00014A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14A62" w14:paraId="1418ECAF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14A62" w14:paraId="0150A7D9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14A62" w14:paraId="3B04611B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EA009A" w:rsidRPr="00014A62" w14:paraId="6029AABE" w14:textId="77777777">
      <w:r w:rsidRPr="00014A62">
        <w:separator/>
      </w:r>
    </w:p>
  </w:footnote>
  <w:footnote w:type="continuationSeparator" w:id="1">
    <w:p w:rsidR="00EA009A" w:rsidRPr="00014A62" w14:paraId="36F0D8CD" w14:textId="77777777">
      <w:r w:rsidRPr="00014A62">
        <w:continuationSeparator/>
      </w:r>
    </w:p>
  </w:footnote>
  <w:footnote w:id="2">
    <w:p w:rsidR="00633C90" w:rsidRPr="00014A62" w:rsidP="00014A62" w14:paraId="5257F232" w14:textId="77777777">
      <w:pPr>
        <w:pStyle w:val="FootnoteText"/>
        <w:ind w:left="567" w:hanging="567"/>
        <w:rPr>
          <w:sz w:val="24"/>
          <w:lang w:val="it-IT"/>
        </w:rPr>
      </w:pPr>
      <w:r w:rsidRPr="00014A62">
        <w:rPr>
          <w:rStyle w:val="FootnoteReference"/>
          <w:sz w:val="24"/>
          <w:lang w:val="it-IT"/>
        </w:rPr>
        <w:footnoteRef/>
      </w:r>
      <w:r w:rsidRPr="00014A62" w:rsidR="00014A62">
        <w:rPr>
          <w:sz w:val="24"/>
          <w:lang w:val="it-IT"/>
        </w:rPr>
        <w:t xml:space="preserve"> </w:t>
      </w:r>
      <w:r w:rsidRPr="00014A62" w:rsidR="00014A62">
        <w:rPr>
          <w:sz w:val="24"/>
          <w:lang w:val="it-IT"/>
        </w:rPr>
        <w:tab/>
      </w:r>
      <w:r w:rsidRPr="00014A62">
        <w:rPr>
          <w:sz w:val="24"/>
          <w:lang w:val="it-IT"/>
        </w:rPr>
        <w:t xml:space="preserve">Sentenza della Corte di giustizia del 21 ottobre 2008, </w:t>
      </w:r>
      <w:r w:rsidRPr="00242A2E">
        <w:rPr>
          <w:i/>
          <w:iCs/>
          <w:sz w:val="24"/>
          <w:lang w:val="it-IT"/>
        </w:rPr>
        <w:t>Marra/De Gregorio e Clemente</w:t>
      </w:r>
      <w:r w:rsidRPr="00014A62">
        <w:rPr>
          <w:sz w:val="24"/>
          <w:lang w:val="it-IT"/>
        </w:rPr>
        <w:t xml:space="preserve">, C-200/07 e C-201/07, ECLI:EU:C:2008:579; sentenza del Tribunale del 19 marzo 2010, </w:t>
      </w:r>
      <w:r w:rsidRPr="00242A2E">
        <w:rPr>
          <w:i/>
          <w:iCs/>
          <w:sz w:val="24"/>
          <w:lang w:val="it-IT"/>
        </w:rPr>
        <w:t>Gollnisch</w:t>
      </w:r>
      <w:r w:rsidRPr="00242A2E">
        <w:rPr>
          <w:i/>
          <w:iCs/>
          <w:sz w:val="24"/>
          <w:lang w:val="it-IT"/>
        </w:rPr>
        <w:t>/Parlamento</w:t>
      </w:r>
      <w:r w:rsidRPr="00014A62">
        <w:rPr>
          <w:sz w:val="24"/>
          <w:lang w:val="it-IT"/>
        </w:rPr>
        <w:t xml:space="preserve">, T-42/06, ECLI:EU:T:2010:102; sentenza della Corte di giustizia del 6 settembre 2011, </w:t>
      </w:r>
      <w:r w:rsidRPr="00242A2E">
        <w:rPr>
          <w:i/>
          <w:iCs/>
          <w:sz w:val="24"/>
          <w:lang w:val="it-IT"/>
        </w:rPr>
        <w:t>Patriciello</w:t>
      </w:r>
      <w:r w:rsidRPr="00014A62">
        <w:rPr>
          <w:sz w:val="24"/>
          <w:lang w:val="it-IT"/>
        </w:rPr>
        <w:t xml:space="preserve">, C-163/10, ECLI:EU:C:2011:543; sentenza del Tribunale del 17 gennaio 2013, </w:t>
      </w:r>
      <w:r w:rsidRPr="00242A2E">
        <w:rPr>
          <w:i/>
          <w:iCs/>
          <w:sz w:val="24"/>
          <w:lang w:val="it-IT"/>
        </w:rPr>
        <w:t>Gollnisch</w:t>
      </w:r>
      <w:r w:rsidRPr="00242A2E">
        <w:rPr>
          <w:i/>
          <w:iCs/>
          <w:sz w:val="24"/>
          <w:lang w:val="it-IT"/>
        </w:rPr>
        <w:t>/Parlamento</w:t>
      </w:r>
      <w:r w:rsidRPr="00014A62">
        <w:rPr>
          <w:sz w:val="24"/>
          <w:lang w:val="it-IT"/>
        </w:rPr>
        <w:t xml:space="preserve">, T-346/11 e T-347/11, ECLI:EU:T:2013:23; sentenza della Corte di giustizia del 19 dicembre 2019, </w:t>
      </w:r>
      <w:r w:rsidRPr="00242A2E">
        <w:rPr>
          <w:i/>
          <w:iCs/>
          <w:sz w:val="24"/>
          <w:lang w:val="it-IT"/>
        </w:rPr>
        <w:t>Junqueras</w:t>
      </w:r>
      <w:r w:rsidRPr="00242A2E">
        <w:rPr>
          <w:i/>
          <w:iCs/>
          <w:sz w:val="24"/>
          <w:lang w:val="it-IT"/>
        </w:rPr>
        <w:t xml:space="preserve"> </w:t>
      </w:r>
      <w:r w:rsidRPr="00242A2E">
        <w:rPr>
          <w:i/>
          <w:iCs/>
          <w:sz w:val="24"/>
          <w:lang w:val="it-IT"/>
        </w:rPr>
        <w:t>Vies</w:t>
      </w:r>
      <w:r w:rsidRPr="00014A62">
        <w:rPr>
          <w:sz w:val="24"/>
          <w:lang w:val="it-IT"/>
        </w:rPr>
        <w:t>, C-502/19, ECLI:EU:C:2019:1115.</w:t>
      </w:r>
    </w:p>
  </w:footnote>
  <w:footnote w:id="3">
    <w:p w:rsidR="00633C90" w:rsidRPr="00014A62" w:rsidP="00014A62" w14:paraId="12F357F6" w14:textId="77777777">
      <w:pPr>
        <w:pStyle w:val="FootnoteText"/>
        <w:ind w:left="567" w:hanging="567"/>
        <w:rPr>
          <w:sz w:val="24"/>
          <w:lang w:val="it-IT"/>
        </w:rPr>
      </w:pPr>
      <w:r w:rsidRPr="00014A62">
        <w:rPr>
          <w:rStyle w:val="FootnoteReference"/>
          <w:sz w:val="24"/>
          <w:lang w:val="it-IT"/>
        </w:rPr>
        <w:footnoteRef/>
      </w:r>
      <w:r w:rsidRPr="00014A62" w:rsidR="00014A62">
        <w:rPr>
          <w:sz w:val="24"/>
          <w:lang w:val="it-IT"/>
        </w:rPr>
        <w:t xml:space="preserve"> </w:t>
      </w:r>
      <w:r w:rsidRPr="00014A62" w:rsidR="00014A62">
        <w:rPr>
          <w:sz w:val="24"/>
          <w:lang w:val="it-IT"/>
        </w:rPr>
        <w:tab/>
      </w:r>
      <w:r w:rsidRPr="00014A62">
        <w:rPr>
          <w:sz w:val="24"/>
          <w:lang w:val="it-IT"/>
        </w:rPr>
        <w:t xml:space="preserve">Sentenza del Tribunale del 30 aprile 2019, </w:t>
      </w:r>
      <w:r w:rsidRPr="00242A2E">
        <w:rPr>
          <w:i/>
          <w:iCs/>
          <w:sz w:val="24"/>
          <w:lang w:val="it-IT"/>
        </w:rPr>
        <w:t>Briois</w:t>
      </w:r>
      <w:r w:rsidRPr="00242A2E">
        <w:rPr>
          <w:i/>
          <w:iCs/>
          <w:sz w:val="24"/>
          <w:lang w:val="it-IT"/>
        </w:rPr>
        <w:t>/Parlamento</w:t>
      </w:r>
      <w:r w:rsidRPr="00014A62">
        <w:rPr>
          <w:sz w:val="24"/>
          <w:lang w:val="it-IT"/>
        </w:rPr>
        <w:t>, T-214/18, ECLI:</w:t>
      </w:r>
      <w:r w:rsidRPr="00014A62">
        <w:rPr>
          <w:sz w:val="24"/>
          <w:lang w:val="it-IT"/>
        </w:rPr>
        <w:t>EU:T</w:t>
      </w:r>
      <w:r w:rsidRPr="00014A62">
        <w:rPr>
          <w:sz w:val="24"/>
          <w:lang w:val="it-IT"/>
        </w:rPr>
        <w:t>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14A62" w14:paraId="76E5F062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14A62" w14:paraId="3C80787F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14A62" w14:paraId="5BB97349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24640901">
    <w:abstractNumId w:val="9"/>
  </w:num>
  <w:num w:numId="2" w16cid:durableId="1983610093">
    <w:abstractNumId w:val="9"/>
  </w:num>
  <w:num w:numId="3" w16cid:durableId="1901935718">
    <w:abstractNumId w:val="7"/>
  </w:num>
  <w:num w:numId="4" w16cid:durableId="149175589">
    <w:abstractNumId w:val="7"/>
  </w:num>
  <w:num w:numId="5" w16cid:durableId="629360101">
    <w:abstractNumId w:val="6"/>
  </w:num>
  <w:num w:numId="6" w16cid:durableId="1498424253">
    <w:abstractNumId w:val="6"/>
  </w:num>
  <w:num w:numId="7" w16cid:durableId="1384793246">
    <w:abstractNumId w:val="5"/>
  </w:num>
  <w:num w:numId="8" w16cid:durableId="995954083">
    <w:abstractNumId w:val="5"/>
  </w:num>
  <w:num w:numId="9" w16cid:durableId="368649053">
    <w:abstractNumId w:val="4"/>
  </w:num>
  <w:num w:numId="10" w16cid:durableId="90517384">
    <w:abstractNumId w:val="4"/>
  </w:num>
  <w:num w:numId="11" w16cid:durableId="1086656332">
    <w:abstractNumId w:val="8"/>
  </w:num>
  <w:num w:numId="12" w16cid:durableId="936400904">
    <w:abstractNumId w:val="8"/>
  </w:num>
  <w:num w:numId="13" w16cid:durableId="1641685305">
    <w:abstractNumId w:val="3"/>
  </w:num>
  <w:num w:numId="14" w16cid:durableId="27031975">
    <w:abstractNumId w:val="3"/>
  </w:num>
  <w:num w:numId="15" w16cid:durableId="2046631668">
    <w:abstractNumId w:val="2"/>
  </w:num>
  <w:num w:numId="16" w16cid:durableId="1088497518">
    <w:abstractNumId w:val="2"/>
  </w:num>
  <w:num w:numId="17" w16cid:durableId="1490249309">
    <w:abstractNumId w:val="1"/>
  </w:num>
  <w:num w:numId="18" w16cid:durableId="1442646321">
    <w:abstractNumId w:val="1"/>
  </w:num>
  <w:num w:numId="19" w16cid:durableId="1426075286">
    <w:abstractNumId w:val="0"/>
  </w:num>
  <w:num w:numId="20" w16cid:durableId="217403997">
    <w:abstractNumId w:val="0"/>
  </w:num>
  <w:num w:numId="21" w16cid:durableId="638076894">
    <w:abstractNumId w:val="9"/>
  </w:num>
  <w:num w:numId="22" w16cid:durableId="970985764">
    <w:abstractNumId w:val="7"/>
  </w:num>
  <w:num w:numId="23" w16cid:durableId="729426261">
    <w:abstractNumId w:val="6"/>
  </w:num>
  <w:num w:numId="24" w16cid:durableId="1210145479">
    <w:abstractNumId w:val="5"/>
  </w:num>
  <w:num w:numId="25" w16cid:durableId="2124956202">
    <w:abstractNumId w:val="4"/>
  </w:num>
  <w:num w:numId="26" w16cid:durableId="1848785683">
    <w:abstractNumId w:val="8"/>
  </w:num>
  <w:num w:numId="27" w16cid:durableId="1958489618">
    <w:abstractNumId w:val="3"/>
  </w:num>
  <w:num w:numId="28" w16cid:durableId="652681032">
    <w:abstractNumId w:val="2"/>
  </w:num>
  <w:num w:numId="29" w16cid:durableId="158663212">
    <w:abstractNumId w:val="1"/>
  </w:num>
  <w:num w:numId="30" w16cid:durableId="670258660">
    <w:abstractNumId w:val="0"/>
  </w:num>
  <w:num w:numId="31" w16cid:durableId="2139179932">
    <w:abstractNumId w:val="9"/>
  </w:num>
  <w:num w:numId="32" w16cid:durableId="1821073386">
    <w:abstractNumId w:val="7"/>
  </w:num>
  <w:num w:numId="33" w16cid:durableId="693699636">
    <w:abstractNumId w:val="6"/>
  </w:num>
  <w:num w:numId="34" w16cid:durableId="1337267190">
    <w:abstractNumId w:val="5"/>
  </w:num>
  <w:num w:numId="35" w16cid:durableId="443036139">
    <w:abstractNumId w:val="4"/>
  </w:num>
  <w:num w:numId="36" w16cid:durableId="1428886406">
    <w:abstractNumId w:val="8"/>
  </w:num>
  <w:num w:numId="37" w16cid:durableId="1077898047">
    <w:abstractNumId w:val="3"/>
  </w:num>
  <w:num w:numId="38" w16cid:durableId="301928025">
    <w:abstractNumId w:val="2"/>
  </w:num>
  <w:num w:numId="39" w16cid:durableId="1418287576">
    <w:abstractNumId w:val="1"/>
  </w:num>
  <w:num w:numId="40" w16cid:durableId="887378881">
    <w:abstractNumId w:val="0"/>
  </w:num>
  <w:num w:numId="41" w16cid:durableId="508252766">
    <w:abstractNumId w:val="10"/>
  </w:num>
  <w:num w:numId="42" w16cid:durableId="1147286614">
    <w:abstractNumId w:val="10"/>
  </w:num>
  <w:num w:numId="43" w16cid:durableId="606083035">
    <w:abstractNumId w:val="10"/>
  </w:num>
  <w:num w:numId="44" w16cid:durableId="2006293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09A"/>
    <w:rsid w:val="00002272"/>
    <w:rsid w:val="00014A62"/>
    <w:rsid w:val="00064002"/>
    <w:rsid w:val="000677B9"/>
    <w:rsid w:val="000831BA"/>
    <w:rsid w:val="000A42CC"/>
    <w:rsid w:val="000E6E2D"/>
    <w:rsid w:val="000E7DD9"/>
    <w:rsid w:val="0010095E"/>
    <w:rsid w:val="00125B37"/>
    <w:rsid w:val="00182705"/>
    <w:rsid w:val="00187494"/>
    <w:rsid w:val="001F32AE"/>
    <w:rsid w:val="00242A2E"/>
    <w:rsid w:val="002767FF"/>
    <w:rsid w:val="002B18FE"/>
    <w:rsid w:val="002B5493"/>
    <w:rsid w:val="00324AF7"/>
    <w:rsid w:val="00343214"/>
    <w:rsid w:val="00343219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33C9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20CE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0BE6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2304"/>
    <w:rsid w:val="00C61C0C"/>
    <w:rsid w:val="00C941CB"/>
    <w:rsid w:val="00CC2357"/>
    <w:rsid w:val="00CF071A"/>
    <w:rsid w:val="00CF6477"/>
    <w:rsid w:val="00D058B8"/>
    <w:rsid w:val="00D56C11"/>
    <w:rsid w:val="00D834A0"/>
    <w:rsid w:val="00D872DF"/>
    <w:rsid w:val="00D91E21"/>
    <w:rsid w:val="00DA7FCD"/>
    <w:rsid w:val="00E365E1"/>
    <w:rsid w:val="00E545AD"/>
    <w:rsid w:val="00E820A4"/>
    <w:rsid w:val="00EA009A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19/2026"/>
    <w:docVar w:name="dvlangue" w:val="IT"/>
    <w:docVar w:name="dvnumam" w:val="0"/>
    <w:docVar w:name="dvpe" w:val="784.496"/>
    <w:docVar w:name="dvrapporteur" w:val="Relatore: "/>
    <w:docVar w:name="dvtitre" w:val="Decisione del Parlamento europeo del xx aprile 2026 sulla richiesta di revoca dell'immunità di Alvise Pérez(2025/2222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FE52C9E"/>
  <w15:chartTrackingRefBased/>
  <w15:docId w15:val="{62F535B2-911B-4594-8DA0-1568241BB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633C90"/>
    <w:pPr>
      <w:spacing w:after="240"/>
    </w:pPr>
  </w:style>
  <w:style w:type="paragraph" w:customStyle="1" w:styleId="NormalHanging12a">
    <w:name w:val="NormalHanging12a"/>
    <w:basedOn w:val="Normal"/>
    <w:rsid w:val="00633C90"/>
    <w:pPr>
      <w:spacing w:after="240"/>
      <w:ind w:left="567" w:hanging="567"/>
    </w:pPr>
  </w:style>
  <w:style w:type="paragraph" w:customStyle="1" w:styleId="EPComma">
    <w:name w:val="EPComma"/>
    <w:basedOn w:val="Normal"/>
    <w:rsid w:val="00633C90"/>
    <w:pPr>
      <w:spacing w:before="480" w:after="240"/>
    </w:pPr>
  </w:style>
  <w:style w:type="paragraph" w:customStyle="1" w:styleId="Normal12Hanging">
    <w:name w:val="Normal12Hanging"/>
    <w:basedOn w:val="Normal"/>
    <w:rsid w:val="00633C90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8D20CE"/>
    <w:rPr>
      <w:sz w:val="24"/>
      <w:lang w:val="it-IT"/>
    </w:rPr>
  </w:style>
  <w:style w:type="character" w:styleId="CommentReference">
    <w:name w:val="annotation reference"/>
    <w:basedOn w:val="DefaultParagraphFont"/>
    <w:rsid w:val="00AC0BE6"/>
    <w:rPr>
      <w:sz w:val="16"/>
      <w:szCs w:val="16"/>
    </w:rPr>
  </w:style>
  <w:style w:type="paragraph" w:styleId="CommentText">
    <w:name w:val="annotation text"/>
    <w:basedOn w:val="Normal"/>
    <w:link w:val="CommentTextChar"/>
    <w:rsid w:val="00AC0BE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C0BE6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AC0B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C0BE6"/>
    <w:rPr>
      <w:b/>
      <w:bCs/>
      <w:lang w:val="it-IT"/>
    </w:rPr>
  </w:style>
  <w:style w:type="character" w:styleId="Hyperlink">
    <w:name w:val="Hyperlink"/>
    <w:basedOn w:val="DefaultParagraphFont"/>
    <w:rsid w:val="00CF647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64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768</Words>
  <Characters>4590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7</cp:revision>
  <cp:lastPrinted>2004-11-19T15:42:00Z</cp:lastPrinted>
  <dcterms:created xsi:type="dcterms:W3CDTF">2026-04-24T13:13:00Z</dcterms:created>
  <dcterms:modified xsi:type="dcterms:W3CDTF">2026-04-28T11:20:00Z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A10-0119/2026</vt:lpwstr>
  </property>
  <property fmtid="{D5CDD505-2E9C-101B-9397-08002B2CF9AE}" pid="4" name="&lt;Type&gt;">
    <vt:lpwstr>RR</vt:lpwstr>
  </property>
</Properties>
</file>