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C9F0CE9" w14:textId="77777777" w:rsidTr="0010095E">
        <w:tblPrEx>
          <w:tblW w:w="9072" w:type="dxa"/>
          <w:tblLook w:val="01E0"/>
        </w:tblPrEx>
        <w:trPr>
          <w:trHeight w:hRule="exact" w:val="1418"/>
        </w:trPr>
        <w:tc>
          <w:tcPr>
            <w:tcW w:w="6804" w:type="dxa"/>
            <w:shd w:val="clear" w:color="auto" w:fill="auto"/>
            <w:vAlign w:val="center"/>
          </w:tcPr>
          <w:p w:rsidR="00751A4A" w:rsidRPr="006054D2" w:rsidP="0010095E" w14:paraId="28B8B8E5" w14:textId="157D9E06">
            <w:pPr>
              <w:pStyle w:val="EPName"/>
            </w:pPr>
            <w:r w:rsidRPr="006054D2">
              <w:t>Eiropas Parlaments</w:t>
            </w:r>
          </w:p>
          <w:p w:rsidR="00751A4A" w:rsidRPr="006054D2" w:rsidP="005F1B17" w14:paraId="5199EF53" w14:textId="77777777">
            <w:pPr>
              <w:pStyle w:val="EPTerm"/>
              <w:rPr>
                <w:rStyle w:val="HideTWBExt"/>
                <w:noProof w:val="0"/>
                <w:vanish w:val="0"/>
                <w:color w:val="auto"/>
              </w:rPr>
            </w:pPr>
            <w:r w:rsidRPr="006054D2">
              <w:t>2024</w:t>
            </w:r>
            <w:r w:rsidRPr="006054D2" w:rsidR="00817416">
              <w:t>-202</w:t>
            </w:r>
            <w:r w:rsidRPr="006054D2">
              <w:t>9</w:t>
            </w:r>
          </w:p>
        </w:tc>
        <w:tc>
          <w:tcPr>
            <w:tcW w:w="2268" w:type="dxa"/>
            <w:shd w:val="clear" w:color="auto" w:fill="auto"/>
          </w:tcPr>
          <w:p w:rsidR="00751A4A" w:rsidRPr="006054D2" w:rsidP="0010095E" w14:paraId="197F1D98" w14:textId="77777777">
            <w:pPr>
              <w:pStyle w:val="EPLogo"/>
            </w:pPr>
            <w:r w:rsidRPr="006054D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054D2" w:rsidP="004C5D52" w14:paraId="3CBF256E" w14:textId="77777777">
      <w:pPr>
        <w:pStyle w:val="LineTop"/>
      </w:pPr>
    </w:p>
    <w:p w:rsidR="00680577" w:rsidRPr="006054D2" w:rsidP="00680577" w14:paraId="0C0BBE30" w14:textId="77777777">
      <w:pPr>
        <w:pStyle w:val="EPBodyTA1"/>
      </w:pPr>
      <w:r w:rsidRPr="006054D2">
        <w:t>PIEŅEMTIE TEKSTI</w:t>
      </w:r>
    </w:p>
    <w:p w:rsidR="00D058B8" w:rsidRPr="006054D2" w:rsidP="00D058B8" w14:paraId="398BE705" w14:textId="77777777">
      <w:pPr>
        <w:pStyle w:val="LineBottom"/>
      </w:pPr>
    </w:p>
    <w:p w:rsidR="00DB413A" w:rsidRPr="006054D2" w:rsidP="00DB413A" w14:paraId="472A6B68" w14:textId="13D4044E">
      <w:pPr>
        <w:pStyle w:val="ATHeading1"/>
      </w:pPr>
      <w:bookmarkStart w:id="0" w:name="TANumber"/>
      <w:r w:rsidRPr="006054D2">
        <w:t>P10_TA(2026)0</w:t>
      </w:r>
      <w:r w:rsidRPr="006054D2" w:rsidR="006054D2">
        <w:t>11</w:t>
      </w:r>
      <w:r w:rsidRPr="006054D2">
        <w:t>0</w:t>
      </w:r>
      <w:bookmarkEnd w:id="0"/>
    </w:p>
    <w:p w:rsidR="00DB413A" w:rsidRPr="006054D2" w:rsidP="00DB413A" w14:paraId="41673E49" w14:textId="431FC207">
      <w:pPr>
        <w:pStyle w:val="ATHeading2"/>
      </w:pPr>
      <w:bookmarkStart w:id="1" w:name="title"/>
      <w:r w:rsidRPr="006054D2">
        <w:t>P</w:t>
      </w:r>
      <w:r w:rsidRPr="006054D2">
        <w:t>ieprasījum</w:t>
      </w:r>
      <w:r w:rsidRPr="006054D2">
        <w:t>s</w:t>
      </w:r>
      <w:r w:rsidRPr="006054D2">
        <w:t xml:space="preserve"> atcelt </w:t>
      </w:r>
      <w:r w:rsidRPr="006054D2">
        <w:rPr>
          <w:i/>
          <w:iCs/>
        </w:rPr>
        <w:t>Alvise</w:t>
      </w:r>
      <w:r w:rsidRPr="006054D2">
        <w:rPr>
          <w:i/>
          <w:iCs/>
        </w:rPr>
        <w:t xml:space="preserve"> </w:t>
      </w:r>
      <w:r w:rsidRPr="006054D2">
        <w:rPr>
          <w:i/>
          <w:iCs/>
        </w:rPr>
        <w:t>Pérez</w:t>
      </w:r>
      <w:r w:rsidRPr="006054D2">
        <w:t xml:space="preserve"> imunitāti</w:t>
      </w:r>
      <w:bookmarkEnd w:id="1"/>
    </w:p>
    <w:p w:rsidR="00DB413A" w:rsidRPr="006054D2" w:rsidP="00DB413A" w14:paraId="30CD57A1" w14:textId="77777777">
      <w:pPr>
        <w:rPr>
          <w:i/>
          <w:vanish/>
        </w:rPr>
      </w:pPr>
      <w:r>
        <w:rPr>
          <w:i/>
        </w:rPr>
        <w:fldChar w:fldCharType="begin"/>
      </w:r>
      <w:r w:rsidRPr="006054D2">
        <w:rPr>
          <w:i/>
        </w:rPr>
        <w:instrText xml:space="preserve"> TC"(</w:instrText>
      </w:r>
      <w:bookmarkStart w:id="2" w:name="DocNumber"/>
      <w:r w:rsidRPr="006054D2">
        <w:rPr>
          <w:i/>
        </w:rPr>
        <w:instrText>A10-0119/2026</w:instrText>
      </w:r>
      <w:bookmarkEnd w:id="2"/>
      <w:r w:rsidRPr="006054D2">
        <w:rPr>
          <w:i/>
        </w:rPr>
        <w:instrText xml:space="preserve"> - Referents: Mario </w:instrText>
      </w:r>
      <w:r w:rsidRPr="006054D2">
        <w:rPr>
          <w:i/>
        </w:rPr>
        <w:instrText>Furore</w:instrText>
      </w:r>
      <w:r w:rsidRPr="006054D2">
        <w:rPr>
          <w:i/>
        </w:rPr>
        <w:instrText xml:space="preserve">)"\l3 \n&gt; \* MERGEFORMAT </w:instrText>
      </w:r>
      <w:r>
        <w:rPr>
          <w:i/>
        </w:rPr>
        <w:fldChar w:fldCharType="end"/>
      </w:r>
    </w:p>
    <w:p w:rsidR="00DB413A" w:rsidRPr="006054D2" w:rsidP="00DB413A" w14:paraId="50A77E8C" w14:textId="77777777">
      <w:pPr>
        <w:rPr>
          <w:vanish/>
        </w:rPr>
      </w:pPr>
      <w:bookmarkStart w:id="3" w:name="Commission"/>
      <w:r w:rsidRPr="006054D2">
        <w:rPr>
          <w:vanish/>
        </w:rPr>
        <w:t>Juridiskā komiteja</w:t>
      </w:r>
      <w:bookmarkEnd w:id="3"/>
    </w:p>
    <w:p w:rsidR="00DB413A" w:rsidRPr="006054D2" w:rsidP="00DB413A" w14:paraId="44AEB081" w14:textId="77777777">
      <w:pPr>
        <w:rPr>
          <w:vanish/>
        </w:rPr>
      </w:pPr>
      <w:bookmarkStart w:id="4" w:name="PE"/>
      <w:r w:rsidRPr="006054D2">
        <w:rPr>
          <w:vanish/>
        </w:rPr>
        <w:t>PE784.496</w:t>
      </w:r>
      <w:bookmarkEnd w:id="4"/>
    </w:p>
    <w:p w:rsidR="00DB413A" w:rsidRPr="006054D2" w:rsidP="00DB413A" w14:paraId="7CB61110" w14:textId="406801E2">
      <w:pPr>
        <w:pStyle w:val="ATHeading3"/>
      </w:pPr>
      <w:bookmarkStart w:id="5" w:name="Sujet"/>
      <w:r w:rsidRPr="006054D2">
        <w:t xml:space="preserve">Eiropas Parlamenta 2026. gada </w:t>
      </w:r>
      <w:r w:rsidRPr="006054D2" w:rsidR="00353EBE">
        <w:t>28</w:t>
      </w:r>
      <w:r w:rsidRPr="006054D2">
        <w:t xml:space="preserve">. </w:t>
      </w:r>
      <w:r w:rsidRPr="006054D2" w:rsidR="00353EBE">
        <w:t>aprīļa</w:t>
      </w:r>
      <w:r w:rsidRPr="006054D2">
        <w:t xml:space="preserve"> lēmums par pieprasījumu atcelt </w:t>
      </w:r>
      <w:r w:rsidRPr="006054D2">
        <w:rPr>
          <w:i/>
          <w:iCs/>
        </w:rPr>
        <w:t>Alvise</w:t>
      </w:r>
      <w:r w:rsidRPr="006054D2">
        <w:rPr>
          <w:i/>
          <w:iCs/>
        </w:rPr>
        <w:t xml:space="preserve"> </w:t>
      </w:r>
      <w:r w:rsidRPr="006054D2">
        <w:rPr>
          <w:i/>
          <w:iCs/>
        </w:rPr>
        <w:t>Pérez</w:t>
      </w:r>
      <w:r w:rsidRPr="006054D2">
        <w:t xml:space="preserve"> imunitāti</w:t>
      </w:r>
      <w:bookmarkEnd w:id="5"/>
      <w:r w:rsidRPr="006054D2">
        <w:t xml:space="preserve"> </w:t>
      </w:r>
      <w:bookmarkStart w:id="6" w:name="References"/>
      <w:r w:rsidRPr="006054D2">
        <w:t>(2025/2222(IMM))</w:t>
      </w:r>
      <w:bookmarkEnd w:id="6"/>
    </w:p>
    <w:p w:rsidR="00F100A8" w:rsidRPr="006054D2" w:rsidP="00F100A8" w14:paraId="18C6FD8A" w14:textId="77777777">
      <w:pPr>
        <w:pStyle w:val="EPComma"/>
      </w:pPr>
      <w:bookmarkStart w:id="7" w:name="TextBodyBegin"/>
      <w:bookmarkEnd w:id="7"/>
      <w:r w:rsidRPr="006054D2">
        <w:rPr>
          <w:i/>
          <w:iCs/>
        </w:rPr>
        <w:t>Eiropas Parlaments,</w:t>
      </w:r>
    </w:p>
    <w:p w:rsidR="00F100A8" w:rsidRPr="006054D2" w:rsidP="00F100A8" w14:paraId="24F94943" w14:textId="77777777">
      <w:pPr>
        <w:pStyle w:val="NormalHanging12a"/>
      </w:pPr>
      <w:r w:rsidRPr="006054D2">
        <w:t>–</w:t>
      </w:r>
      <w:r w:rsidRPr="006054D2">
        <w:tab/>
        <w:t xml:space="preserve">ņemot vērā ar Spānijas Augstākās tiesas 2025. gada 7. oktobra vēstuli iesniegto pieprasījumu atcelt </w:t>
      </w:r>
      <w:r w:rsidRPr="006054D2">
        <w:rPr>
          <w:i/>
          <w:iCs/>
        </w:rPr>
        <w:t>Alvise</w:t>
      </w:r>
      <w:r w:rsidRPr="006054D2">
        <w:rPr>
          <w:i/>
          <w:iCs/>
        </w:rPr>
        <w:t xml:space="preserve"> </w:t>
      </w:r>
      <w:r w:rsidRPr="006054D2">
        <w:rPr>
          <w:i/>
          <w:iCs/>
        </w:rPr>
        <w:t>Pérez</w:t>
      </w:r>
      <w:r w:rsidRPr="006054D2">
        <w:t xml:space="preserve"> (</w:t>
      </w:r>
      <w:r w:rsidRPr="006054D2">
        <w:rPr>
          <w:i/>
          <w:iCs/>
        </w:rPr>
        <w:t xml:space="preserve">Luis </w:t>
      </w:r>
      <w:r w:rsidRPr="006054D2">
        <w:rPr>
          <w:i/>
          <w:iCs/>
        </w:rPr>
        <w:t>Pérez</w:t>
      </w:r>
      <w:r w:rsidRPr="006054D2">
        <w:rPr>
          <w:i/>
          <w:iCs/>
        </w:rPr>
        <w:t xml:space="preserve"> </w:t>
      </w:r>
      <w:r w:rsidRPr="006054D2">
        <w:rPr>
          <w:i/>
          <w:iCs/>
        </w:rPr>
        <w:t>Fernández</w:t>
      </w:r>
      <w:r w:rsidRPr="006054D2">
        <w:t>) imunitāti saistībā ar kriminālprocesu, kas pret viņu tiks ierosināts un paziņots parlamentā 2025. gada 22. oktobrī,</w:t>
      </w:r>
    </w:p>
    <w:p w:rsidR="00F100A8" w:rsidRPr="006054D2" w:rsidP="00F100A8" w14:paraId="0A7C56AD" w14:textId="77777777">
      <w:pPr>
        <w:pStyle w:val="NormalHanging12a"/>
      </w:pPr>
      <w:r w:rsidRPr="006054D2">
        <w:t>–</w:t>
      </w:r>
      <w:r w:rsidRPr="006054D2">
        <w:tab/>
        <w:t xml:space="preserve">pēc </w:t>
      </w:r>
      <w:r w:rsidRPr="006054D2">
        <w:rPr>
          <w:i/>
          <w:iCs/>
        </w:rPr>
        <w:t>Alvise</w:t>
      </w:r>
      <w:r w:rsidRPr="006054D2">
        <w:rPr>
          <w:i/>
          <w:iCs/>
        </w:rPr>
        <w:t xml:space="preserve"> </w:t>
      </w:r>
      <w:r w:rsidRPr="006054D2">
        <w:rPr>
          <w:i/>
          <w:iCs/>
        </w:rPr>
        <w:t>Pérez</w:t>
      </w:r>
      <w:r w:rsidRPr="006054D2">
        <w:t xml:space="preserve"> uzklausīšanas 2026. gada 24. martā saskaņā ar Reglamenta 9. panta 6. punktu,</w:t>
      </w:r>
    </w:p>
    <w:p w:rsidR="00F100A8" w:rsidRPr="006054D2" w:rsidP="00F100A8" w14:paraId="5F15DB53" w14:textId="77777777">
      <w:pPr>
        <w:pStyle w:val="NormalHanging12a"/>
      </w:pPr>
      <w:r w:rsidRPr="006054D2">
        <w:t>–</w:t>
      </w:r>
      <w:r w:rsidRPr="006054D2">
        <w:tab/>
        <w:t>ņemot vērā Protokola Nr. 7 par privilēģijām un imunitāti Eiropas Savienībā 8. un 9. pantu, kā arī 1976. gada 20. septembra Akta par Eiropas Parlamenta deputātu ievēlēšanu tiešās vispārējās vēlēšanās 6. panta 2. punktu,</w:t>
      </w:r>
    </w:p>
    <w:p w:rsidR="00F100A8" w:rsidRPr="006054D2" w:rsidP="00F100A8" w14:paraId="648BECFF" w14:textId="77777777">
      <w:pPr>
        <w:pStyle w:val="NormalHanging12a"/>
      </w:pPr>
      <w:r w:rsidRPr="006054D2">
        <w:t>–</w:t>
      </w:r>
      <w:r w:rsidRPr="006054D2">
        <w:tab/>
        <w:t>ņemot vērā Eiropas Savienības Tiesas 2008. gada 21. oktobra, 2010. gada 19. marta, 2011. gada 6. septembra, 2013. gada 17. janvāra un 2019. gada 19. decembra spriedumu</w:t>
      </w:r>
      <w:r>
        <w:rPr>
          <w:rStyle w:val="FootnoteReference"/>
          <w:color w:val="000000"/>
        </w:rPr>
        <w:footnoteReference w:id="2"/>
      </w:r>
      <w:r w:rsidRPr="006054D2">
        <w:t>,</w:t>
      </w:r>
    </w:p>
    <w:p w:rsidR="00F100A8" w:rsidRPr="006054D2" w:rsidP="00F100A8" w14:paraId="670FD76A" w14:textId="77777777">
      <w:pPr>
        <w:pStyle w:val="NormalHanging12a"/>
      </w:pPr>
      <w:r w:rsidRPr="006054D2">
        <w:t>–</w:t>
      </w:r>
      <w:r w:rsidRPr="006054D2">
        <w:tab/>
        <w:t>ņemot vērā Spānijas Konstitūcijas 71. panta 1. un 2. punktu,</w:t>
      </w:r>
    </w:p>
    <w:p w:rsidR="00F100A8" w:rsidRPr="006054D2" w:rsidP="00F100A8" w14:paraId="65C7E31C" w14:textId="77777777">
      <w:pPr>
        <w:pStyle w:val="NormalHanging12a"/>
      </w:pPr>
      <w:r w:rsidRPr="006054D2">
        <w:t>–</w:t>
      </w:r>
      <w:r w:rsidRPr="006054D2">
        <w:tab/>
        <w:t>ņemot vērā Reglamenta 5. panta 2. punktu, 6. panta 1. punktu un 9. pantu,</w:t>
      </w:r>
    </w:p>
    <w:p w:rsidR="00F100A8" w:rsidRPr="006054D2" w:rsidP="00F100A8" w14:paraId="40608EB3" w14:textId="77777777">
      <w:pPr>
        <w:pStyle w:val="NormalHanging12a"/>
      </w:pPr>
      <w:r w:rsidRPr="006054D2">
        <w:t>–</w:t>
      </w:r>
      <w:r w:rsidRPr="006054D2">
        <w:tab/>
        <w:t>ņemot vērā Juridiskās komitejas ziņojumu (A10</w:t>
      </w:r>
      <w:r w:rsidRPr="006054D2">
        <w:noBreakHyphen/>
        <w:t>0119/2026),</w:t>
      </w:r>
    </w:p>
    <w:p w:rsidR="00F100A8" w:rsidRPr="006054D2" w:rsidP="00F100A8" w14:paraId="534F4796" w14:textId="5311F4C0">
      <w:pPr>
        <w:pStyle w:val="NormalHanging12a"/>
      </w:pPr>
      <w:r w:rsidRPr="006054D2">
        <w:t>A.</w:t>
      </w:r>
      <w:r w:rsidRPr="006054D2">
        <w:tab/>
        <w:t>tā kā ar 2025. gada 7. oktobra vēstuli Spānijas Augstākās tiesas priekšsēdētājs ir pieprasīj</w:t>
      </w:r>
      <w:r w:rsidRPr="006054D2" w:rsidR="000073EA">
        <w:t>is</w:t>
      </w:r>
      <w:r w:rsidRPr="006054D2">
        <w:t xml:space="preserve"> atcelt Spānijā ievēlētā Eiropas Parlamenta deputāta </w:t>
      </w:r>
      <w:r w:rsidRPr="006054D2">
        <w:rPr>
          <w:i/>
          <w:iCs/>
        </w:rPr>
        <w:t>Alvise</w:t>
      </w:r>
      <w:r w:rsidRPr="006054D2">
        <w:rPr>
          <w:i/>
          <w:iCs/>
        </w:rPr>
        <w:t xml:space="preserve"> </w:t>
      </w:r>
      <w:r w:rsidRPr="006054D2">
        <w:rPr>
          <w:i/>
          <w:iCs/>
        </w:rPr>
        <w:t>Pérez</w:t>
      </w:r>
      <w:r w:rsidRPr="006054D2">
        <w:t xml:space="preserve"> imunitāti saistībā ar vairākiem iespējamiem nodarījumiem, kas notikuši 2024. gadā;</w:t>
      </w:r>
    </w:p>
    <w:p w:rsidR="00F100A8" w:rsidRPr="006054D2" w:rsidP="006054D2" w14:paraId="237A282D" w14:textId="548B00AE">
      <w:pPr>
        <w:pStyle w:val="Normal12a"/>
        <w:ind w:left="567" w:hanging="567"/>
      </w:pPr>
      <w:r w:rsidRPr="006054D2">
        <w:rPr>
          <w:shd w:val="clear" w:color="auto" w:fill="FFFFFF"/>
        </w:rPr>
        <w:t>B.</w:t>
      </w:r>
      <w:r w:rsidRPr="006054D2">
        <w:rPr>
          <w:shd w:val="clear" w:color="auto" w:fill="FFFFFF"/>
        </w:rPr>
        <w:tab/>
      </w:r>
      <w:r w:rsidRPr="006054D2">
        <w:t xml:space="preserve">tā kā pieprasījumā ir norādīts par aizdomām, ka 2024. gada janvārī un februārī </w:t>
      </w:r>
      <w:r w:rsidRPr="006054D2">
        <w:rPr>
          <w:i/>
          <w:iCs/>
        </w:rPr>
        <w:t>Telegram</w:t>
      </w:r>
      <w:r w:rsidRPr="006054D2">
        <w:t xml:space="preserve"> kanāla “</w:t>
      </w:r>
      <w:r w:rsidRPr="006054D2">
        <w:t>Alvise</w:t>
      </w:r>
      <w:r w:rsidRPr="006054D2">
        <w:t xml:space="preserve"> </w:t>
      </w:r>
      <w:r w:rsidRPr="006054D2">
        <w:t>Pérez</w:t>
      </w:r>
      <w:r w:rsidRPr="006054D2">
        <w:t xml:space="preserve"> Chat” administrators publicējis paziņojumus, norādot tos, kuri ir atbildīgi par ideoloģisko vajāšanu, kas pazīstama kā naida noziegumi, jo īpaši atsaucoties uz īpašo uzdevumu prokuroru naida noziegumu jautājumos </w:t>
      </w:r>
      <w:r w:rsidRPr="006054D2">
        <w:t>Valensijā</w:t>
      </w:r>
      <w:r w:rsidRPr="006054D2">
        <w:t>; tā kā šajā kanālā publicētie paziņojumi izraisīja daudzu kanāla sekotāju tūlītēju reakciju, kuri šim īpašo uzdevumu prokuroram nosūtīja vairāk nekā 1500 komentāru, galvenokārt aizvainojošu; tā kā saskaņā ar Spānijas Kriminālkodeksa 172.ter pantu un 18. panta 1. punktu saistībā ar Spānijas Kriminālkodeksa 553. pantu iespējamā rīcība var</w:t>
      </w:r>
      <w:r w:rsidRPr="006054D2" w:rsidR="000073EA">
        <w:t>ētu</w:t>
      </w:r>
      <w:r w:rsidRPr="006054D2">
        <w:t xml:space="preserve"> būt aizskaršana vai vajāšana, kūdīšana veikt uzbrukumu iestādei vai valsts amatpersonai, piespiešana un/vai naida izplatīšana sociālajos medijos;</w:t>
      </w:r>
    </w:p>
    <w:p w:rsidR="00F100A8" w:rsidRPr="006054D2" w:rsidP="00F100A8" w14:paraId="2064024B" w14:textId="57342B4B">
      <w:pPr>
        <w:pStyle w:val="NormalHanging12a"/>
        <w:rPr>
          <w:szCs w:val="24"/>
          <w:shd w:val="clear" w:color="auto" w:fill="FFFFFF"/>
        </w:rPr>
      </w:pPr>
      <w:r w:rsidRPr="006054D2">
        <w:t>C.</w:t>
      </w:r>
      <w:r w:rsidRPr="006054D2">
        <w:tab/>
      </w:r>
      <w:r w:rsidRPr="006054D2">
        <w:rPr>
          <w:shd w:val="clear" w:color="auto" w:fill="FFFFFF"/>
        </w:rPr>
        <w:t xml:space="preserve">tā kā </w:t>
      </w:r>
      <w:r w:rsidRPr="006054D2">
        <w:rPr>
          <w:i/>
          <w:iCs/>
        </w:rPr>
        <w:t>Alvise</w:t>
      </w:r>
      <w:r w:rsidRPr="006054D2">
        <w:rPr>
          <w:i/>
          <w:iCs/>
        </w:rPr>
        <w:t xml:space="preserve"> </w:t>
      </w:r>
      <w:r w:rsidRPr="006054D2">
        <w:rPr>
          <w:i/>
          <w:iCs/>
        </w:rPr>
        <w:t>Pérez</w:t>
      </w:r>
      <w:r w:rsidRPr="006054D2">
        <w:rPr>
          <w:shd w:val="clear" w:color="auto" w:fill="FFFFFF"/>
        </w:rPr>
        <w:t xml:space="preserve"> 2024. gada jūnija Eiropas vēlēšanās tika ievēlēts Eiropas Parlamentā un noziedzīgā nodarījuma, par kuru pastāv aizdomas, izdarīšanas laikā viņš </w:t>
      </w:r>
      <w:r w:rsidRPr="006054D2" w:rsidR="000073EA">
        <w:rPr>
          <w:shd w:val="clear" w:color="auto" w:fill="FFFFFF"/>
        </w:rPr>
        <w:t>ne</w:t>
      </w:r>
      <w:r w:rsidRPr="006054D2">
        <w:rPr>
          <w:shd w:val="clear" w:color="auto" w:fill="FFFFFF"/>
        </w:rPr>
        <w:t xml:space="preserve">bija Eiropas Parlamenta deputāts; </w:t>
      </w:r>
    </w:p>
    <w:p w:rsidR="00F100A8" w:rsidRPr="006054D2" w:rsidP="00F100A8" w14:paraId="37B8B6B6" w14:textId="77777777">
      <w:pPr>
        <w:pStyle w:val="NormalHanging12a"/>
      </w:pPr>
      <w:r w:rsidRPr="006054D2">
        <w:t>D.</w:t>
      </w:r>
      <w:r w:rsidRPr="006054D2">
        <w:tab/>
        <w:t xml:space="preserve">tā kā iespējamie noziedzīgie nodarījumi un no tiem izrietošais pieprasījums atcelt </w:t>
      </w:r>
      <w:r w:rsidRPr="006054D2">
        <w:rPr>
          <w:i/>
          <w:iCs/>
        </w:rPr>
        <w:t>Alvise</w:t>
      </w:r>
      <w:r w:rsidRPr="006054D2">
        <w:rPr>
          <w:i/>
          <w:iCs/>
        </w:rPr>
        <w:t xml:space="preserve"> </w:t>
      </w:r>
      <w:r w:rsidRPr="006054D2">
        <w:rPr>
          <w:i/>
          <w:iCs/>
        </w:rPr>
        <w:t>Pére</w:t>
      </w:r>
      <w:r w:rsidRPr="006054D2">
        <w:t>z</w:t>
      </w:r>
      <w:r w:rsidRPr="006054D2">
        <w:t xml:space="preserve"> imunitāti nav saistīti ar viņa pausto viedokli vai veikto balsojumu, pildot savus pienākumus Protokola Nr. 7 par privilēģijām un imunitāti Eiropas Savienībā 8. panta nozīmē;</w:t>
      </w:r>
    </w:p>
    <w:p w:rsidR="00F100A8" w:rsidRPr="006054D2" w:rsidP="00F100A8" w14:paraId="44463830" w14:textId="77777777">
      <w:pPr>
        <w:pStyle w:val="NormalHanging12a"/>
      </w:pPr>
      <w:r w:rsidRPr="006054D2">
        <w:t>E.</w:t>
      </w:r>
      <w:r w:rsidRPr="006054D2">
        <w:tab/>
        <w:t>tā kā saskaņā ar Protokola Nr. 7 par privilēģijām un imunitāti Eiropas Savienībā 9. panta pirmās daļas a) punktu Eiropas Parlamenta locekļiem savā valstī ir imunitāte, ko piešķir attiecīgās valsts parlamenta locekļiem;</w:t>
      </w:r>
    </w:p>
    <w:p w:rsidR="00F100A8" w:rsidRPr="006054D2" w:rsidP="00F100A8" w14:paraId="54E65BA2" w14:textId="77777777">
      <w:pPr>
        <w:pStyle w:val="Normal12Hanging"/>
      </w:pPr>
      <w:r w:rsidRPr="006054D2">
        <w:t>F.</w:t>
      </w:r>
      <w:r w:rsidRPr="006054D2">
        <w:tab/>
        <w:t>tā kā Spānijas Konstitūcijas 71. panta 1. un 2. punkts paredz, ka:</w:t>
      </w:r>
    </w:p>
    <w:p w:rsidR="00F100A8" w:rsidRPr="006054D2" w:rsidP="00F100A8" w14:paraId="245639A8" w14:textId="77777777">
      <w:pPr>
        <w:pStyle w:val="Normal12Hanging"/>
        <w:ind w:firstLine="0"/>
        <w:rPr>
          <w:iCs/>
        </w:rPr>
      </w:pPr>
      <w:r w:rsidRPr="006054D2">
        <w:t>“(1) Kongresa locekļiem un senatoriem ir vārda brīvība attiecībā uz viedokļiem, kas pausti, pildot savus pienākumus.”</w:t>
      </w:r>
    </w:p>
    <w:p w:rsidR="00F100A8" w:rsidRPr="006054D2" w:rsidP="00F100A8" w14:paraId="1AEEB9C6" w14:textId="77777777">
      <w:pPr>
        <w:pStyle w:val="NormalHanging12a"/>
        <w:ind w:firstLine="0"/>
        <w:rPr>
          <w:iCs/>
          <w:color w:val="000000"/>
        </w:rPr>
      </w:pPr>
      <w:r w:rsidRPr="006054D2">
        <w:t>(2) Arī Kongresa locekļiem un senatoriem viņu pilnvaru laikā ir tiesības netikt arestētiem, un viņus var arestēt tikai gadījumā, ja viņi ir pieķerti nozieguma izdarīšanas brīdī; viņus nevar nedz apsūdzēt, nedz tiesāt bez attiecīgās palātas iepriekšējas atļaujas, kuras locekļi viņi ir”;</w:t>
      </w:r>
    </w:p>
    <w:p w:rsidR="00F100A8" w:rsidRPr="006054D2" w:rsidP="00F100A8" w14:paraId="5359AF4E" w14:textId="2DE2007A">
      <w:pPr>
        <w:pStyle w:val="NormalHanging12a"/>
        <w:rPr>
          <w:color w:val="000000"/>
        </w:rPr>
      </w:pPr>
      <w:r w:rsidRPr="006054D2">
        <w:rPr>
          <w:color w:val="000000"/>
        </w:rPr>
        <w:t>G.</w:t>
      </w:r>
      <w:r w:rsidRPr="006054D2">
        <w:rPr>
          <w:color w:val="000000"/>
        </w:rPr>
        <w:tab/>
        <w:t xml:space="preserve">tā kā Protokola Nr. 7 par imunitāti un privilēģijām Eiropas Savienībā paredzētās imunitātes mērķis ir aizsargāt Parlamentu un tā deputātus pret juridiskiem procesiem, kas tiek ierosināti par darbībām, kuras ir veiktas, pildot parlamentāros pienākumus, un kuras nevar skatīt atrauti no </w:t>
      </w:r>
      <w:r w:rsidRPr="006054D2" w:rsidR="000073EA">
        <w:rPr>
          <w:color w:val="000000"/>
        </w:rPr>
        <w:t>minētajiem</w:t>
      </w:r>
      <w:r w:rsidRPr="006054D2">
        <w:rPr>
          <w:color w:val="000000"/>
        </w:rPr>
        <w:t xml:space="preserve"> pienākumiem;</w:t>
      </w:r>
    </w:p>
    <w:p w:rsidR="00F100A8" w:rsidRPr="006054D2" w:rsidP="00F100A8" w14:paraId="32A71D07" w14:textId="52390DC7">
      <w:pPr>
        <w:pStyle w:val="NormalHanging12a"/>
        <w:rPr>
          <w:color w:val="000000"/>
        </w:rPr>
      </w:pPr>
      <w:r w:rsidRPr="006054D2">
        <w:rPr>
          <w:color w:val="000000"/>
        </w:rPr>
        <w:t>H.</w:t>
      </w:r>
      <w:r w:rsidRPr="006054D2">
        <w:rPr>
          <w:color w:val="000000"/>
        </w:rPr>
        <w:tab/>
        <w:t xml:space="preserve">tā kā saskaņā ar Parlamenta Reglamenta 5. panta 2. punktu deputāta imunitāte nav </w:t>
      </w:r>
      <w:r w:rsidRPr="006054D2" w:rsidR="000073EA">
        <w:rPr>
          <w:color w:val="000000"/>
        </w:rPr>
        <w:t xml:space="preserve">viņa </w:t>
      </w:r>
      <w:r w:rsidRPr="006054D2">
        <w:rPr>
          <w:color w:val="000000"/>
        </w:rPr>
        <w:t>personiska privilēģija, bet gan visa Parlamenta un tā deputātu neatkarības garantija;</w:t>
      </w:r>
    </w:p>
    <w:p w:rsidR="00F100A8" w:rsidRPr="006054D2" w:rsidP="00F100A8" w14:paraId="50115947" w14:textId="31AF21CE">
      <w:pPr>
        <w:pStyle w:val="NormalHanging12a"/>
        <w:rPr>
          <w:color w:val="000000"/>
        </w:rPr>
      </w:pPr>
      <w:r w:rsidRPr="006054D2">
        <w:rPr>
          <w:color w:val="000000"/>
        </w:rPr>
        <w:t>I.</w:t>
      </w:r>
      <w:r w:rsidRPr="006054D2">
        <w:rPr>
          <w:color w:val="000000"/>
        </w:rPr>
        <w:tab/>
        <w:t xml:space="preserve">tā kā šajā lietā Parlamentam nav pierādījumu par </w:t>
      </w:r>
      <w:r w:rsidRPr="006054D2">
        <w:rPr>
          <w:i/>
          <w:iCs/>
          <w:color w:val="000000"/>
        </w:rPr>
        <w:t>fumus</w:t>
      </w:r>
      <w:r w:rsidRPr="006054D2">
        <w:rPr>
          <w:i/>
          <w:iCs/>
          <w:color w:val="000000"/>
        </w:rPr>
        <w:t xml:space="preserve"> </w:t>
      </w:r>
      <w:r w:rsidRPr="006054D2">
        <w:rPr>
          <w:i/>
          <w:iCs/>
          <w:color w:val="000000"/>
        </w:rPr>
        <w:t>persecutionis</w:t>
      </w:r>
      <w:r w:rsidRPr="006054D2">
        <w:rPr>
          <w:color w:val="000000"/>
        </w:rPr>
        <w:t xml:space="preserve">, proti, </w:t>
      </w:r>
      <w:r w:rsidRPr="006054D2" w:rsidR="000073EA">
        <w:rPr>
          <w:color w:val="000000"/>
        </w:rPr>
        <w:t>nešķiet, ka attiecīgās tiesvedības pamatā esošais nolūks ir kaitēt</w:t>
      </w:r>
      <w:r w:rsidRPr="006054D2">
        <w:rPr>
          <w:color w:val="000000"/>
        </w:rPr>
        <w:t xml:space="preserve"> </w:t>
      </w:r>
      <w:r w:rsidRPr="006054D2">
        <w:rPr>
          <w:i/>
          <w:iCs/>
          <w:color w:val="000000"/>
        </w:rPr>
        <w:t>Alvise</w:t>
      </w:r>
      <w:r w:rsidRPr="006054D2">
        <w:rPr>
          <w:i/>
          <w:iCs/>
          <w:color w:val="000000"/>
        </w:rPr>
        <w:t xml:space="preserve"> </w:t>
      </w:r>
      <w:r w:rsidRPr="006054D2">
        <w:rPr>
          <w:i/>
          <w:iCs/>
          <w:color w:val="000000"/>
        </w:rPr>
        <w:t>Pérez</w:t>
      </w:r>
      <w:r w:rsidRPr="006054D2">
        <w:rPr>
          <w:color w:val="000000"/>
        </w:rPr>
        <w:t xml:space="preserve"> kā Eiropas Parlamenta deputāta</w:t>
      </w:r>
      <w:r w:rsidRPr="006054D2" w:rsidR="000073EA">
        <w:rPr>
          <w:color w:val="000000"/>
        </w:rPr>
        <w:t>m un</w:t>
      </w:r>
      <w:r w:rsidRPr="006054D2">
        <w:rPr>
          <w:color w:val="000000"/>
        </w:rPr>
        <w:t xml:space="preserve"> </w:t>
      </w:r>
      <w:r w:rsidRPr="006054D2" w:rsidR="000073EA">
        <w:rPr>
          <w:color w:val="000000"/>
        </w:rPr>
        <w:t>līdz ar to Parlamenta neatkarībai</w:t>
      </w:r>
      <w:r w:rsidRPr="006054D2">
        <w:rPr>
          <w:color w:val="000000"/>
        </w:rPr>
        <w:t>;</w:t>
      </w:r>
    </w:p>
    <w:p w:rsidR="00F100A8" w:rsidRPr="006054D2" w:rsidP="00F100A8" w14:paraId="449ADA6D" w14:textId="77777777">
      <w:pPr>
        <w:pStyle w:val="NormalHanging12a"/>
        <w:rPr>
          <w:color w:val="000000"/>
        </w:rPr>
      </w:pPr>
      <w:r w:rsidRPr="006054D2">
        <w:rPr>
          <w:color w:val="000000"/>
        </w:rPr>
        <w:t>J.</w:t>
      </w:r>
      <w:r w:rsidRPr="006054D2">
        <w:rPr>
          <w:color w:val="000000"/>
        </w:rPr>
        <w:tab/>
        <w:t xml:space="preserve">tā kā, no vienas puses, Parlaments nevar tikt pielīdzināts tiesai un, no otras puses, </w:t>
      </w:r>
      <w:r w:rsidRPr="006054D2">
        <w:rPr>
          <w:color w:val="000000"/>
        </w:rPr>
        <w:t>deputāts imunitātes atcelšanas procedūras kontekstā nevar tikt uzskatīts par apsūdzēto</w:t>
      </w:r>
      <w:r>
        <w:rPr>
          <w:color w:val="000000"/>
          <w:vertAlign w:val="superscript"/>
        </w:rPr>
        <w:footnoteReference w:id="3"/>
      </w:r>
      <w:r w:rsidRPr="006054D2">
        <w:rPr>
          <w:color w:val="000000"/>
        </w:rPr>
        <w:t>;</w:t>
      </w:r>
    </w:p>
    <w:p w:rsidR="00F100A8" w:rsidRPr="006054D2" w:rsidP="00F100A8" w14:paraId="03BA5514" w14:textId="77777777">
      <w:pPr>
        <w:pStyle w:val="NormalHanging12a"/>
        <w:rPr>
          <w:color w:val="000000"/>
        </w:rPr>
      </w:pPr>
      <w:r w:rsidRPr="006054D2">
        <w:rPr>
          <w:color w:val="000000"/>
        </w:rPr>
        <w:t>1.</w:t>
      </w:r>
      <w:r w:rsidRPr="006054D2">
        <w:rPr>
          <w:color w:val="000000"/>
        </w:rPr>
        <w:tab/>
        <w:t xml:space="preserve">nolemj atcelt </w:t>
      </w:r>
      <w:r w:rsidRPr="006054D2">
        <w:rPr>
          <w:i/>
          <w:iCs/>
          <w:color w:val="000000"/>
        </w:rPr>
        <w:t>Alvise</w:t>
      </w:r>
      <w:r w:rsidRPr="006054D2">
        <w:rPr>
          <w:i/>
          <w:iCs/>
          <w:color w:val="000000"/>
        </w:rPr>
        <w:t xml:space="preserve"> </w:t>
      </w:r>
      <w:r w:rsidRPr="006054D2">
        <w:rPr>
          <w:i/>
          <w:iCs/>
          <w:color w:val="000000"/>
        </w:rPr>
        <w:t>Pérez</w:t>
      </w:r>
      <w:r w:rsidRPr="006054D2">
        <w:rPr>
          <w:color w:val="000000"/>
        </w:rPr>
        <w:t xml:space="preserve"> imunitāti;</w:t>
      </w:r>
    </w:p>
    <w:p w:rsidR="00E365E1" w:rsidRPr="006054D2" w:rsidP="00353EBE" w14:paraId="73D37049" w14:textId="7DA675E3">
      <w:pPr>
        <w:pStyle w:val="NormalHanging12a"/>
      </w:pPr>
      <w:r w:rsidRPr="006054D2">
        <w:t>2.</w:t>
      </w:r>
      <w:r w:rsidRPr="006054D2">
        <w:tab/>
        <w:t xml:space="preserve">uzdod priekšsēdētājai šo lēmumu un atbildīgās komitejas ziņojumu nekavējoties nosūtīt Spānijas Karalistes kompetentajām iestādēm un </w:t>
      </w:r>
      <w:r w:rsidRPr="006054D2">
        <w:rPr>
          <w:i/>
          <w:iCs/>
        </w:rPr>
        <w:t>Alvise</w:t>
      </w:r>
      <w:r w:rsidRPr="006054D2">
        <w:rPr>
          <w:i/>
          <w:iCs/>
        </w:rPr>
        <w:t xml:space="preserve"> </w:t>
      </w:r>
      <w:r w:rsidRPr="006054D2">
        <w:rPr>
          <w:i/>
          <w:iCs/>
        </w:rPr>
        <w:t>Pérez</w:t>
      </w:r>
      <w:r w:rsidRPr="006054D2">
        <w:t>.</w:t>
      </w:r>
    </w:p>
    <w:sectPr w:rsidSect="008F362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3629" w14:paraId="63AF307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3629" w14:paraId="133C7C4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3629" w14:paraId="2349AAD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B413A" w:rsidRPr="008F3629" w14:paraId="5E00AD08" w14:textId="77777777">
      <w:r w:rsidRPr="008F3629">
        <w:separator/>
      </w:r>
    </w:p>
  </w:footnote>
  <w:footnote w:type="continuationSeparator" w:id="1">
    <w:p w:rsidR="00DB413A" w:rsidRPr="008F3629" w14:paraId="6A5A535F" w14:textId="77777777">
      <w:r w:rsidRPr="008F3629">
        <w:continuationSeparator/>
      </w:r>
    </w:p>
  </w:footnote>
  <w:footnote w:id="2">
    <w:p w:rsidR="00F100A8" w:rsidRPr="008F3629" w:rsidP="006054D2" w14:paraId="7410F154" w14:textId="0ECB3066">
      <w:pPr>
        <w:pStyle w:val="FootnoteText"/>
        <w:ind w:left="567" w:hanging="567"/>
        <w:rPr>
          <w:sz w:val="24"/>
          <w:lang w:val="lv-LV"/>
        </w:rPr>
      </w:pPr>
      <w:r w:rsidRPr="008F3629">
        <w:rPr>
          <w:rStyle w:val="FootnoteReference"/>
          <w:sz w:val="24"/>
          <w:lang w:val="lv-LV"/>
        </w:rPr>
        <w:footnoteRef/>
      </w:r>
      <w:r w:rsidRPr="008F3629" w:rsidR="008F3629">
        <w:rPr>
          <w:sz w:val="24"/>
          <w:lang w:val="lv-LV"/>
        </w:rPr>
        <w:t xml:space="preserve"> </w:t>
      </w:r>
      <w:r w:rsidRPr="008F3629" w:rsidR="008F3629">
        <w:rPr>
          <w:sz w:val="24"/>
          <w:lang w:val="lv-LV"/>
        </w:rPr>
        <w:tab/>
      </w:r>
      <w:r w:rsidRPr="008F3629">
        <w:rPr>
          <w:sz w:val="24"/>
          <w:lang w:val="lv-LV"/>
        </w:rPr>
        <w:t xml:space="preserve">Tiesas 2008. gada 21. oktobra spriedumi, </w:t>
      </w:r>
      <w:r w:rsidRPr="008F3629">
        <w:rPr>
          <w:i/>
          <w:iCs/>
          <w:sz w:val="24"/>
          <w:lang w:val="lv-LV"/>
        </w:rPr>
        <w:t>Marra</w:t>
      </w:r>
      <w:r w:rsidRPr="008F3629">
        <w:rPr>
          <w:i/>
          <w:iCs/>
          <w:sz w:val="24"/>
          <w:lang w:val="lv-LV"/>
        </w:rPr>
        <w:t>/</w:t>
      </w:r>
      <w:r w:rsidRPr="008F3629">
        <w:rPr>
          <w:i/>
          <w:iCs/>
          <w:sz w:val="24"/>
          <w:lang w:val="lv-LV"/>
        </w:rPr>
        <w:t>De</w:t>
      </w:r>
      <w:r w:rsidRPr="008F3629">
        <w:rPr>
          <w:i/>
          <w:iCs/>
          <w:sz w:val="24"/>
          <w:lang w:val="lv-LV"/>
        </w:rPr>
        <w:t xml:space="preserve"> Gregorio</w:t>
      </w:r>
      <w:r w:rsidRPr="008F3629">
        <w:rPr>
          <w:sz w:val="24"/>
          <w:lang w:val="lv-LV"/>
        </w:rPr>
        <w:t xml:space="preserve"> un </w:t>
      </w:r>
      <w:r w:rsidRPr="008F3629">
        <w:rPr>
          <w:i/>
          <w:iCs/>
          <w:sz w:val="24"/>
          <w:lang w:val="lv-LV"/>
        </w:rPr>
        <w:t>Clemente</w:t>
      </w:r>
      <w:r w:rsidRPr="008F3629">
        <w:rPr>
          <w:sz w:val="24"/>
          <w:lang w:val="lv-LV"/>
        </w:rPr>
        <w:t xml:space="preserve">, C-200/07 un C-201/07, ECLI:EU:C:2008:579; Vispārējās tiesas 2010. gada 19. marta spriedums, </w:t>
      </w:r>
      <w:r w:rsidRPr="008F3629">
        <w:rPr>
          <w:i/>
          <w:iCs/>
          <w:sz w:val="24"/>
          <w:lang w:val="lv-LV"/>
        </w:rPr>
        <w:t>Gollnisch</w:t>
      </w:r>
      <w:r w:rsidRPr="008F3629">
        <w:rPr>
          <w:sz w:val="24"/>
          <w:lang w:val="lv-LV"/>
        </w:rPr>
        <w:t xml:space="preserve">/Parlaments, T-42/06, ECLI:EU:T:2010:102; Tiesas 2011. gada 6. septembra spriedums, </w:t>
      </w:r>
      <w:r w:rsidRPr="008F3629">
        <w:rPr>
          <w:i/>
          <w:iCs/>
          <w:sz w:val="24"/>
          <w:lang w:val="lv-LV"/>
        </w:rPr>
        <w:t>Patriciello</w:t>
      </w:r>
      <w:r w:rsidRPr="008F3629">
        <w:rPr>
          <w:sz w:val="24"/>
          <w:lang w:val="lv-LV"/>
        </w:rPr>
        <w:t xml:space="preserve">, C-163/10, ECLI: EU:C:2011:543; Vispārējās tiesas 2013. gada 17. janvāra spriedumi, </w:t>
      </w:r>
      <w:r w:rsidRPr="008F3629">
        <w:rPr>
          <w:i/>
          <w:iCs/>
          <w:sz w:val="24"/>
          <w:lang w:val="lv-LV"/>
        </w:rPr>
        <w:t>Gollnisch</w:t>
      </w:r>
      <w:r w:rsidRPr="008F3629">
        <w:rPr>
          <w:sz w:val="24"/>
          <w:lang w:val="lv-LV"/>
        </w:rPr>
        <w:t xml:space="preserve">/Parlaments, T-346/11 un T-347/11, ECLI:EU:T:2013:23. Tiesas 2019. gada 19. decembra spriedums, </w:t>
      </w:r>
      <w:r w:rsidRPr="008F3629">
        <w:rPr>
          <w:i/>
          <w:iCs/>
          <w:sz w:val="24"/>
          <w:lang w:val="lv-LV"/>
        </w:rPr>
        <w:t>Junqueras</w:t>
      </w:r>
      <w:r w:rsidRPr="008F3629">
        <w:rPr>
          <w:i/>
          <w:iCs/>
          <w:sz w:val="24"/>
          <w:lang w:val="lv-LV"/>
        </w:rPr>
        <w:t xml:space="preserve"> Vies</w:t>
      </w:r>
      <w:r w:rsidRPr="008F3629">
        <w:rPr>
          <w:sz w:val="24"/>
          <w:lang w:val="lv-LV"/>
        </w:rPr>
        <w:t>, C-502/19, ECLI:EU:C:2019:1115.</w:t>
      </w:r>
    </w:p>
  </w:footnote>
  <w:footnote w:id="3">
    <w:p w:rsidR="00F100A8" w:rsidRPr="008F3629" w:rsidP="008F3629" w14:paraId="49071B40" w14:textId="4C02EA3A">
      <w:pPr>
        <w:pStyle w:val="FootnoteText"/>
        <w:ind w:left="567" w:hanging="567"/>
        <w:rPr>
          <w:sz w:val="24"/>
          <w:lang w:val="lv-LV"/>
        </w:rPr>
      </w:pPr>
      <w:r w:rsidRPr="008F3629">
        <w:rPr>
          <w:rStyle w:val="FootnoteReference"/>
          <w:sz w:val="24"/>
          <w:lang w:val="lv-LV"/>
        </w:rPr>
        <w:footnoteRef/>
      </w:r>
      <w:r w:rsidRPr="008F3629" w:rsidR="008F3629">
        <w:rPr>
          <w:sz w:val="24"/>
          <w:lang w:val="lv-LV"/>
        </w:rPr>
        <w:t xml:space="preserve"> </w:t>
      </w:r>
      <w:r w:rsidRPr="008F3629" w:rsidR="008F3629">
        <w:rPr>
          <w:sz w:val="24"/>
          <w:lang w:val="lv-LV"/>
        </w:rPr>
        <w:tab/>
      </w:r>
      <w:r w:rsidRPr="008F3629">
        <w:rPr>
          <w:sz w:val="24"/>
          <w:lang w:val="lv-LV"/>
        </w:rPr>
        <w:t xml:space="preserve">Vispārējās tiesas 2019. gada 30. aprīļa spriedums, </w:t>
      </w:r>
      <w:r w:rsidRPr="008F3629">
        <w:rPr>
          <w:i/>
          <w:iCs/>
          <w:sz w:val="24"/>
          <w:lang w:val="lv-LV"/>
        </w:rPr>
        <w:t>Briois</w:t>
      </w:r>
      <w:r w:rsidRPr="008F3629">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3629" w14:paraId="0D05D05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3629" w14:paraId="5972428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3629" w14:paraId="5FBF144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3399693">
    <w:abstractNumId w:val="9"/>
  </w:num>
  <w:num w:numId="2" w16cid:durableId="1274634193">
    <w:abstractNumId w:val="9"/>
  </w:num>
  <w:num w:numId="3" w16cid:durableId="423067349">
    <w:abstractNumId w:val="7"/>
  </w:num>
  <w:num w:numId="4" w16cid:durableId="1768696497">
    <w:abstractNumId w:val="7"/>
  </w:num>
  <w:num w:numId="5" w16cid:durableId="1491289709">
    <w:abstractNumId w:val="6"/>
  </w:num>
  <w:num w:numId="6" w16cid:durableId="1392851333">
    <w:abstractNumId w:val="6"/>
  </w:num>
  <w:num w:numId="7" w16cid:durableId="1506089743">
    <w:abstractNumId w:val="5"/>
  </w:num>
  <w:num w:numId="8" w16cid:durableId="277831405">
    <w:abstractNumId w:val="5"/>
  </w:num>
  <w:num w:numId="9" w16cid:durableId="2087875171">
    <w:abstractNumId w:val="4"/>
  </w:num>
  <w:num w:numId="10" w16cid:durableId="833761889">
    <w:abstractNumId w:val="4"/>
  </w:num>
  <w:num w:numId="11" w16cid:durableId="1771923924">
    <w:abstractNumId w:val="8"/>
  </w:num>
  <w:num w:numId="12" w16cid:durableId="1809086094">
    <w:abstractNumId w:val="8"/>
  </w:num>
  <w:num w:numId="13" w16cid:durableId="581570696">
    <w:abstractNumId w:val="3"/>
  </w:num>
  <w:num w:numId="14" w16cid:durableId="1421869278">
    <w:abstractNumId w:val="3"/>
  </w:num>
  <w:num w:numId="15" w16cid:durableId="446119443">
    <w:abstractNumId w:val="2"/>
  </w:num>
  <w:num w:numId="16" w16cid:durableId="1942294762">
    <w:abstractNumId w:val="2"/>
  </w:num>
  <w:num w:numId="17" w16cid:durableId="716246525">
    <w:abstractNumId w:val="1"/>
  </w:num>
  <w:num w:numId="18" w16cid:durableId="590239024">
    <w:abstractNumId w:val="1"/>
  </w:num>
  <w:num w:numId="19" w16cid:durableId="1863546260">
    <w:abstractNumId w:val="0"/>
  </w:num>
  <w:num w:numId="20" w16cid:durableId="660160064">
    <w:abstractNumId w:val="0"/>
  </w:num>
  <w:num w:numId="21" w16cid:durableId="466892830">
    <w:abstractNumId w:val="9"/>
  </w:num>
  <w:num w:numId="22" w16cid:durableId="1220239571">
    <w:abstractNumId w:val="7"/>
  </w:num>
  <w:num w:numId="23" w16cid:durableId="540095006">
    <w:abstractNumId w:val="6"/>
  </w:num>
  <w:num w:numId="24" w16cid:durableId="1827282652">
    <w:abstractNumId w:val="5"/>
  </w:num>
  <w:num w:numId="25" w16cid:durableId="590815944">
    <w:abstractNumId w:val="4"/>
  </w:num>
  <w:num w:numId="26" w16cid:durableId="560025483">
    <w:abstractNumId w:val="8"/>
  </w:num>
  <w:num w:numId="27" w16cid:durableId="792139596">
    <w:abstractNumId w:val="3"/>
  </w:num>
  <w:num w:numId="28" w16cid:durableId="1044870572">
    <w:abstractNumId w:val="2"/>
  </w:num>
  <w:num w:numId="29" w16cid:durableId="1601256553">
    <w:abstractNumId w:val="1"/>
  </w:num>
  <w:num w:numId="30" w16cid:durableId="829516146">
    <w:abstractNumId w:val="0"/>
  </w:num>
  <w:num w:numId="31" w16cid:durableId="980771049">
    <w:abstractNumId w:val="9"/>
  </w:num>
  <w:num w:numId="32" w16cid:durableId="1249119728">
    <w:abstractNumId w:val="7"/>
  </w:num>
  <w:num w:numId="33" w16cid:durableId="532546625">
    <w:abstractNumId w:val="6"/>
  </w:num>
  <w:num w:numId="34" w16cid:durableId="580221287">
    <w:abstractNumId w:val="5"/>
  </w:num>
  <w:num w:numId="35" w16cid:durableId="648218519">
    <w:abstractNumId w:val="4"/>
  </w:num>
  <w:num w:numId="36" w16cid:durableId="1601835641">
    <w:abstractNumId w:val="8"/>
  </w:num>
  <w:num w:numId="37" w16cid:durableId="1229222569">
    <w:abstractNumId w:val="3"/>
  </w:num>
  <w:num w:numId="38" w16cid:durableId="537474419">
    <w:abstractNumId w:val="2"/>
  </w:num>
  <w:num w:numId="39" w16cid:durableId="1348291429">
    <w:abstractNumId w:val="1"/>
  </w:num>
  <w:num w:numId="40" w16cid:durableId="601373726">
    <w:abstractNumId w:val="0"/>
  </w:num>
  <w:num w:numId="41" w16cid:durableId="1757634618">
    <w:abstractNumId w:val="10"/>
  </w:num>
  <w:num w:numId="42" w16cid:durableId="1884560479">
    <w:abstractNumId w:val="10"/>
  </w:num>
  <w:num w:numId="43" w16cid:durableId="4139365">
    <w:abstractNumId w:val="10"/>
  </w:num>
  <w:num w:numId="44" w16cid:durableId="966773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3A"/>
    <w:rsid w:val="00002272"/>
    <w:rsid w:val="000073EA"/>
    <w:rsid w:val="00064002"/>
    <w:rsid w:val="000677B9"/>
    <w:rsid w:val="000831BA"/>
    <w:rsid w:val="000A42CC"/>
    <w:rsid w:val="000D4495"/>
    <w:rsid w:val="000E7DD9"/>
    <w:rsid w:val="0010095E"/>
    <w:rsid w:val="00125B37"/>
    <w:rsid w:val="00187494"/>
    <w:rsid w:val="001F32AE"/>
    <w:rsid w:val="002767FF"/>
    <w:rsid w:val="00294B22"/>
    <w:rsid w:val="002B18FE"/>
    <w:rsid w:val="002B5493"/>
    <w:rsid w:val="00343214"/>
    <w:rsid w:val="00353EB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4D2"/>
    <w:rsid w:val="006631B6"/>
    <w:rsid w:val="00680577"/>
    <w:rsid w:val="006F74FA"/>
    <w:rsid w:val="00731ADD"/>
    <w:rsid w:val="00734777"/>
    <w:rsid w:val="00747932"/>
    <w:rsid w:val="00751A4A"/>
    <w:rsid w:val="00756632"/>
    <w:rsid w:val="00762C74"/>
    <w:rsid w:val="00786EC0"/>
    <w:rsid w:val="00793897"/>
    <w:rsid w:val="007D1690"/>
    <w:rsid w:val="007E22AD"/>
    <w:rsid w:val="00817416"/>
    <w:rsid w:val="00842779"/>
    <w:rsid w:val="00865F67"/>
    <w:rsid w:val="00881A7B"/>
    <w:rsid w:val="008840E5"/>
    <w:rsid w:val="00887B3E"/>
    <w:rsid w:val="008C2AC6"/>
    <w:rsid w:val="008F362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7C5"/>
    <w:rsid w:val="00BD48FE"/>
    <w:rsid w:val="00BD7BD8"/>
    <w:rsid w:val="00BE6ADC"/>
    <w:rsid w:val="00BF1276"/>
    <w:rsid w:val="00C05BFE"/>
    <w:rsid w:val="00C23CD4"/>
    <w:rsid w:val="00C61C0C"/>
    <w:rsid w:val="00C941CB"/>
    <w:rsid w:val="00CC2357"/>
    <w:rsid w:val="00CF071A"/>
    <w:rsid w:val="00D058B8"/>
    <w:rsid w:val="00D56C11"/>
    <w:rsid w:val="00D834A0"/>
    <w:rsid w:val="00D872DF"/>
    <w:rsid w:val="00D91E21"/>
    <w:rsid w:val="00DA7FCD"/>
    <w:rsid w:val="00DB413A"/>
    <w:rsid w:val="00E365E1"/>
    <w:rsid w:val="00E820A4"/>
    <w:rsid w:val="00EB006A"/>
    <w:rsid w:val="00EB4772"/>
    <w:rsid w:val="00ED169E"/>
    <w:rsid w:val="00ED4235"/>
    <w:rsid w:val="00F04346"/>
    <w:rsid w:val="00F075DC"/>
    <w:rsid w:val="00F100A8"/>
    <w:rsid w:val="00F149E9"/>
    <w:rsid w:val="00F5134D"/>
    <w:rsid w:val="00F62DB1"/>
    <w:rsid w:val="00F74202"/>
    <w:rsid w:val="00F87713"/>
    <w:rsid w:val="00FB4360"/>
    <w:rsid w:val="00FD0C70"/>
  </w:rsids>
  <w:docVars>
    <w:docVar w:name="dvdocse" w:val="A10-0119/2026"/>
    <w:docVar w:name="dvlangue" w:val="LV"/>
    <w:docVar w:name="dvnumam" w:val="0"/>
    <w:docVar w:name="dvpe" w:val="784.496"/>
    <w:docVar w:name="dvrapporteur" w:val="Referents: "/>
    <w:docVar w:name="dvtitre" w:val="Eiropas Parlamenta 2026. gada XX. XXX lēmums par pieprasījumu atcelt Alvise Pérez imunitāti(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C13D07E"/>
  <w15:chartTrackingRefBased/>
  <w15:docId w15:val="{ED752A24-2190-4B86-A7B7-52AE3702D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100A8"/>
    <w:pPr>
      <w:spacing w:after="240"/>
    </w:pPr>
  </w:style>
  <w:style w:type="paragraph" w:customStyle="1" w:styleId="NormalBold">
    <w:name w:val="NormalBold"/>
    <w:basedOn w:val="Normal"/>
    <w:rsid w:val="00F100A8"/>
    <w:rPr>
      <w:b/>
    </w:rPr>
  </w:style>
  <w:style w:type="paragraph" w:customStyle="1" w:styleId="NormalHanging12a">
    <w:name w:val="NormalHanging12a"/>
    <w:basedOn w:val="Normal"/>
    <w:rsid w:val="00F100A8"/>
    <w:pPr>
      <w:spacing w:after="240"/>
      <w:ind w:left="567" w:hanging="567"/>
    </w:pPr>
  </w:style>
  <w:style w:type="paragraph" w:customStyle="1" w:styleId="EPComma">
    <w:name w:val="EPComma"/>
    <w:basedOn w:val="Normal"/>
    <w:rsid w:val="00F100A8"/>
    <w:pPr>
      <w:spacing w:before="480" w:after="240"/>
    </w:pPr>
  </w:style>
  <w:style w:type="paragraph" w:customStyle="1" w:styleId="Normal12Hanging">
    <w:name w:val="Normal12Hanging"/>
    <w:basedOn w:val="Normal"/>
    <w:rsid w:val="00F100A8"/>
    <w:pPr>
      <w:spacing w:after="240"/>
      <w:ind w:left="567" w:hanging="567"/>
    </w:pPr>
  </w:style>
  <w:style w:type="paragraph" w:styleId="Revision">
    <w:name w:val="Revision"/>
    <w:hidden/>
    <w:uiPriority w:val="99"/>
    <w:semiHidden/>
    <w:rsid w:val="000073E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633</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2026-06-05T08:53:00Z</dcterms:created>
  <dcterms:modified xsi:type="dcterms:W3CDTF">2026-06-05T08:53:00Z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A10-0119/2026</vt:lpwstr>
  </property>
  <property fmtid="{D5CDD505-2E9C-101B-9397-08002B2CF9AE}" pid="4" name="&lt;Type&gt;">
    <vt:lpwstr>RR</vt:lpwstr>
  </property>
</Properties>
</file>