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B754C8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B0F78" w:rsidP="0010095E" w14:paraId="24DC8759" w14:textId="77777777">
            <w:pPr>
              <w:pStyle w:val="EPName"/>
            </w:pPr>
            <w:r w:rsidRPr="00AB0F78">
              <w:t>Parlament Ewropew</w:t>
            </w:r>
          </w:p>
          <w:p w:rsidR="00751A4A" w:rsidRPr="00AB0F78" w:rsidP="005F1B17" w14:paraId="3B4114B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0F78">
              <w:t>2024</w:t>
            </w:r>
            <w:r w:rsidRPr="00AB0F78" w:rsidR="00817416">
              <w:t>-202</w:t>
            </w:r>
            <w:r w:rsidRPr="00AB0F7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B0F78" w:rsidP="0010095E" w14:paraId="4AC53B00" w14:textId="77777777">
            <w:pPr>
              <w:pStyle w:val="EPLogo"/>
            </w:pPr>
            <w:r w:rsidRPr="00AB0F7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B0F78" w:rsidP="004C5D52" w14:paraId="2E050B71" w14:textId="77777777">
      <w:pPr>
        <w:pStyle w:val="LineTop"/>
      </w:pPr>
    </w:p>
    <w:p w:rsidR="00680577" w:rsidRPr="00AB0F78" w:rsidP="00680577" w14:paraId="1294BD54" w14:textId="77777777">
      <w:pPr>
        <w:pStyle w:val="EPBodyTA1"/>
      </w:pPr>
      <w:r w:rsidRPr="00AB0F78">
        <w:t>TESTI ADOTTATI</w:t>
      </w:r>
    </w:p>
    <w:p w:rsidR="00D058B8" w:rsidRPr="00AB0F78" w:rsidP="00D058B8" w14:paraId="6F2FF9BB" w14:textId="77777777">
      <w:pPr>
        <w:pStyle w:val="LineBottom"/>
      </w:pPr>
    </w:p>
    <w:p w:rsidR="00553A8F" w:rsidRPr="00AB0F78" w:rsidP="00553A8F" w14:paraId="1E8C804F" w14:textId="5D05A279">
      <w:pPr>
        <w:pStyle w:val="ATHeading1"/>
      </w:pPr>
      <w:bookmarkStart w:id="0" w:name="TANumber"/>
      <w:r w:rsidRPr="00AB0F78">
        <w:t>P10_TA(2026)</w:t>
      </w:r>
      <w:bookmarkEnd w:id="0"/>
      <w:r w:rsidR="006968C8">
        <w:t>0110</w:t>
      </w:r>
    </w:p>
    <w:p w:rsidR="00553A8F" w:rsidRPr="00AB0F78" w:rsidP="00553A8F" w14:paraId="0F231677" w14:textId="094C72B3">
      <w:pPr>
        <w:pStyle w:val="ATHeading2"/>
      </w:pPr>
      <w:r>
        <w:t>T</w:t>
      </w:r>
      <w:r w:rsidRPr="00AB0F78">
        <w:t>alba għat-tneħħija tal-immunità ta’ Alvise Pérez</w:t>
      </w:r>
    </w:p>
    <w:p w:rsidR="00553A8F" w:rsidRPr="00AB0F78" w:rsidP="00553A8F" w14:paraId="50219CCF" w14:textId="77777777">
      <w:pPr>
        <w:rPr>
          <w:i/>
          <w:vanish/>
        </w:rPr>
      </w:pPr>
      <w:r>
        <w:rPr>
          <w:i/>
        </w:rPr>
        <w:fldChar w:fldCharType="begin"/>
      </w:r>
      <w:r w:rsidRPr="00AB0F78">
        <w:rPr>
          <w:i/>
        </w:rPr>
        <w:instrText xml:space="preserve"> TC"(</w:instrText>
      </w:r>
      <w:bookmarkStart w:id="1" w:name="DocNumber"/>
      <w:r w:rsidRPr="00AB0F78">
        <w:rPr>
          <w:i/>
        </w:rPr>
        <w:instrText>A10-0119/2026</w:instrText>
      </w:r>
      <w:bookmarkEnd w:id="1"/>
      <w:r w:rsidRPr="00AB0F78">
        <w:rPr>
          <w:i/>
        </w:rPr>
        <w:instrText xml:space="preserve"> - </w:instrText>
      </w:r>
      <w:r w:rsidRPr="00AB0F78">
        <w:rPr>
          <w:i/>
        </w:rPr>
        <w:instrText>Rapporteur</w:instrText>
      </w:r>
      <w:r w:rsidRPr="00AB0F78">
        <w:rPr>
          <w:i/>
        </w:rPr>
        <w:instrText xml:space="preserve">: Mario Furore)"\l3 \n&gt; \* MERGEFORMAT </w:instrText>
      </w:r>
      <w:r>
        <w:rPr>
          <w:i/>
        </w:rPr>
        <w:fldChar w:fldCharType="end"/>
      </w:r>
    </w:p>
    <w:p w:rsidR="00553A8F" w:rsidRPr="00AB0F78" w:rsidP="00553A8F" w14:paraId="34899947" w14:textId="77777777">
      <w:pPr>
        <w:rPr>
          <w:vanish/>
        </w:rPr>
      </w:pPr>
      <w:bookmarkStart w:id="2" w:name="Commission"/>
      <w:r w:rsidRPr="00AB0F78">
        <w:rPr>
          <w:vanish/>
        </w:rPr>
        <w:t>Kumitat għall-Affarijiet Legali</w:t>
      </w:r>
      <w:bookmarkEnd w:id="2"/>
    </w:p>
    <w:p w:rsidR="00553A8F" w:rsidRPr="00AB0F78" w:rsidP="00553A8F" w14:paraId="1DC9F7BC" w14:textId="0F483F7C">
      <w:pPr>
        <w:rPr>
          <w:vanish/>
        </w:rPr>
      </w:pPr>
      <w:bookmarkStart w:id="3" w:name="PE"/>
      <w:r w:rsidRPr="00AB0F78">
        <w:rPr>
          <w:vanish/>
        </w:rPr>
        <w:t>PE784.496</w:t>
      </w:r>
      <w:bookmarkEnd w:id="3"/>
    </w:p>
    <w:p w:rsidR="00553A8F" w:rsidRPr="00AB0F78" w:rsidP="00EA735B" w14:paraId="555E4952" w14:textId="48B7D4F0">
      <w:pPr>
        <w:pStyle w:val="ATHeading3"/>
      </w:pPr>
      <w:bookmarkStart w:id="4" w:name="Sujet"/>
      <w:r>
        <w:t>Deċiżjoni</w:t>
      </w:r>
      <w:r w:rsidRPr="00AB0F78">
        <w:t xml:space="preserve"> tal-Parlament Ewropew </w:t>
      </w:r>
      <w:r>
        <w:t>tat-28 ta’ April 2026</w:t>
      </w:r>
      <w:r w:rsidRPr="00AB0F78">
        <w:t xml:space="preserve"> dwar it-talba għat-tneħħija tal-immunità ta’ Alvise Pérez</w:t>
      </w:r>
      <w:bookmarkEnd w:id="4"/>
      <w:r w:rsidRPr="00AB0F78">
        <w:t xml:space="preserve"> </w:t>
      </w:r>
      <w:bookmarkStart w:id="5" w:name="References"/>
      <w:r w:rsidRPr="00AB0F78">
        <w:t>(2025/2222(IMM))</w:t>
      </w:r>
      <w:bookmarkEnd w:id="5"/>
    </w:p>
    <w:p w:rsidR="00E13CF3" w:rsidRPr="00AB0F78" w:rsidP="00E13CF3" w14:paraId="008F58A2" w14:textId="77777777">
      <w:pPr>
        <w:pStyle w:val="EPComma"/>
      </w:pPr>
      <w:bookmarkStart w:id="6" w:name="TextBodyBegin"/>
      <w:bookmarkEnd w:id="6"/>
      <w:r w:rsidRPr="00AB0F78">
        <w:rPr>
          <w:i/>
          <w:iCs/>
        </w:rPr>
        <w:t>Il-Parlament Ewropew</w:t>
      </w:r>
      <w:r w:rsidRPr="00AB0F78">
        <w:t>,</w:t>
      </w:r>
    </w:p>
    <w:p w:rsidR="00E13CF3" w:rsidRPr="00AB0F78" w:rsidP="00E13CF3" w14:paraId="1647E272" w14:textId="10D82C5F">
      <w:pPr>
        <w:pStyle w:val="NormalHanging12a"/>
      </w:pPr>
      <w:r w:rsidRPr="00AB0F78">
        <w:t>–</w:t>
      </w:r>
      <w:r w:rsidRPr="00AB0F78">
        <w:tab/>
        <w:t>wara li kkunsidra t-talba għat-tneħħija tal-immunità ta’ Alvise Pérez (</w:t>
      </w:r>
      <w:r w:rsidRPr="00AB0F78">
        <w:t>Luis</w:t>
      </w:r>
      <w:r w:rsidRPr="00AB0F78">
        <w:t xml:space="preserve"> Pérez Fernández), imressqa mill-Qorti Suprema ta’ Spanja permezz ta’ ittra tas-7 ta’ Ottubru 2025</w:t>
      </w:r>
      <w:r w:rsidR="00EA735B">
        <w:t>,</w:t>
      </w:r>
      <w:r w:rsidRPr="00AB0F78">
        <w:t xml:space="preserve"> b’rabta ma’ proċedimenti kriminali li għandhom jitressqu kontrih u mħabbra fil-Parlament fit-22 ta’ Ottubru 2025,</w:t>
      </w:r>
    </w:p>
    <w:p w:rsidR="00E13CF3" w:rsidRPr="00AB0F78" w:rsidP="00E13CF3" w14:paraId="5EC6ED9B" w14:textId="77777777">
      <w:pPr>
        <w:pStyle w:val="NormalHanging12a"/>
      </w:pPr>
      <w:r w:rsidRPr="00AB0F78">
        <w:t>–</w:t>
      </w:r>
      <w:r w:rsidRPr="00AB0F78">
        <w:tab/>
        <w:t>wara li sema’ lil Alvise Pérez fl-24 ta’ Marzu 2026, skont l-Artikolu 9(6) tar-Regoli ta’ Proċedura tiegħu,</w:t>
      </w:r>
    </w:p>
    <w:p w:rsidR="00E13CF3" w:rsidRPr="00AB0F78" w:rsidP="00E13CF3" w14:paraId="10962F83" w14:textId="77777777">
      <w:pPr>
        <w:pStyle w:val="NormalHanging12a"/>
      </w:pPr>
      <w:r w:rsidRPr="00AB0F78">
        <w:t>–</w:t>
      </w:r>
      <w:r w:rsidRPr="00AB0F78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:rsidR="00E13CF3" w:rsidRPr="00AB0F78" w:rsidP="00E13CF3" w14:paraId="6CA96870" w14:textId="32D3BB0E">
      <w:pPr>
        <w:pStyle w:val="NormalHanging12a"/>
      </w:pPr>
      <w:r w:rsidRPr="00AB0F78">
        <w:t>–</w:t>
      </w:r>
      <w:r w:rsidRPr="00AB0F78">
        <w:tab/>
        <w:t>wara li kkunsidra s-sentenzi mogħtija mill-Qorti tal-Ġustizzja tal-Unjoni Ewropea fil-21 ta’ Ottubru 2008, fid-19 ta’ Marzu 2010, fis-6 ta’ Settembru 2011, fis-17 ta’ Jannar 2013 u fid-19 ta</w:t>
      </w:r>
      <w:r w:rsidR="00251E16">
        <w:t>’</w:t>
      </w:r>
      <w:r w:rsidRPr="00AB0F78">
        <w:t xml:space="preserve"> Diċembru 2019</w:t>
      </w:r>
      <w:r>
        <w:rPr>
          <w:rStyle w:val="FootnoteReference"/>
          <w:color w:val="000000"/>
        </w:rPr>
        <w:footnoteReference w:id="2"/>
      </w:r>
      <w:r w:rsidRPr="00AB0F78">
        <w:t>,</w:t>
      </w:r>
    </w:p>
    <w:p w:rsidR="00E13CF3" w:rsidRPr="00AB0F78" w:rsidP="00E13CF3" w14:paraId="3A188534" w14:textId="77777777">
      <w:pPr>
        <w:pStyle w:val="NormalHanging12a"/>
      </w:pPr>
      <w:r w:rsidRPr="00AB0F78">
        <w:t>–</w:t>
      </w:r>
      <w:r w:rsidRPr="00AB0F78">
        <w:tab/>
        <w:t>wara li kkunsidra l-Artikolu 71(1) u (2) tal-Kostituzzjoni Spanjola,</w:t>
      </w:r>
    </w:p>
    <w:p w:rsidR="00E13CF3" w:rsidRPr="00AB0F78" w:rsidP="00E13CF3" w14:paraId="59BAE0C0" w14:textId="77777777">
      <w:pPr>
        <w:pStyle w:val="NormalHanging12a"/>
      </w:pPr>
      <w:r w:rsidRPr="00AB0F78">
        <w:t>–</w:t>
      </w:r>
      <w:r w:rsidRPr="00AB0F78">
        <w:tab/>
        <w:t>wara li kkunsidra l-Artikolu 5(2), l-Artikolu 6(1) u l-Artikolu 9 tar-Regoli ta’ Proċedura tiegħu,</w:t>
      </w:r>
    </w:p>
    <w:p w:rsidR="00E13CF3" w:rsidRPr="00AB0F78" w:rsidP="00E13CF3" w14:paraId="714CFCD0" w14:textId="77777777">
      <w:pPr>
        <w:pStyle w:val="NormalHanging12a"/>
      </w:pPr>
      <w:r w:rsidRPr="00AB0F78">
        <w:t>–</w:t>
      </w:r>
      <w:r w:rsidRPr="00AB0F78">
        <w:tab/>
        <w:t>wara li kkunsidra r-rapport tal-Kumitat għall-Affarijiet Legali (A10-0119/2026),</w:t>
      </w:r>
    </w:p>
    <w:p w:rsidR="00E13CF3" w:rsidRPr="00AB0F78" w:rsidP="00E13CF3" w14:paraId="318BBA50" w14:textId="77777777">
      <w:pPr>
        <w:pStyle w:val="NormalHanging12a"/>
      </w:pPr>
      <w:r w:rsidRPr="00AB0F78">
        <w:t>A.</w:t>
      </w:r>
      <w:r w:rsidRPr="00AB0F78">
        <w:tab/>
        <w:t>billi, permezz tal-ittra tas-7 ta’ Ottubru 2025, il-President tal-Qorti Suprema ta’ Spanja talab it-tneħħija tal-immunità ta’ Alvise Pérez, Membru tal-Parlament Ewropew elett fi Spanja, b’rabta mal-allegati reati li seħħew fl-2024;</w:t>
      </w:r>
    </w:p>
    <w:p w:rsidR="00E13CF3" w:rsidRPr="00AB0F78" w:rsidP="00E13CF3" w14:paraId="5877678D" w14:textId="77777777">
      <w:pPr>
        <w:pStyle w:val="Normal12a"/>
        <w:ind w:left="567" w:hanging="567"/>
        <w:jc w:val="both"/>
      </w:pPr>
      <w:r w:rsidRPr="00AB0F78">
        <w:rPr>
          <w:shd w:val="clear" w:color="auto" w:fill="FFFFFF"/>
        </w:rPr>
        <w:t>B.</w:t>
      </w:r>
      <w:r w:rsidRPr="00AB0F78">
        <w:rPr>
          <w:shd w:val="clear" w:color="auto" w:fill="FFFFFF"/>
        </w:rPr>
        <w:tab/>
      </w:r>
      <w:r w:rsidRPr="00AB0F78">
        <w:t xml:space="preserve">billi t-talba tindika li f’Jannar u fi Frar 2024, l-amministratur ta’ kanal </w:t>
      </w:r>
      <w:r w:rsidRPr="00AB0F78">
        <w:t>Telegram</w:t>
      </w:r>
      <w:r w:rsidRPr="00AB0F78">
        <w:t xml:space="preserve"> imsejjaħ “</w:t>
      </w:r>
      <w:r w:rsidRPr="00AB0F78">
        <w:rPr>
          <w:i/>
          <w:iCs/>
        </w:rPr>
        <w:t>Alvise Pérez Chat</w:t>
      </w:r>
      <w:r w:rsidRPr="00AB0F78">
        <w:t xml:space="preserve">” allegatament ippubblika dikjarazzjonijiet li jindikaw l-ismijiet ta’ “dawk responsabbli għall-persekuzzjoni ideoloġika magħrufa bħala reati ta’ mibegħda”, u </w:t>
      </w:r>
      <w:r w:rsidRPr="00AB0F78">
        <w:t>rrefera</w:t>
      </w:r>
      <w:r w:rsidRPr="00AB0F78">
        <w:t xml:space="preserve"> b’mod partikolari għall-prosekutur pubbliku delegat għal reati ta’ mibegħda f’Valenzja; billi d-dikjarazzjonijiet ippubblikati fuq dak il-kanal </w:t>
      </w:r>
      <w:r w:rsidRPr="00AB0F78">
        <w:t>iġġeneraw</w:t>
      </w:r>
      <w:r w:rsidRPr="00AB0F78">
        <w:t xml:space="preserve"> reazzjoni immedjata minn bosta </w:t>
      </w:r>
      <w:r w:rsidRPr="00AB0F78">
        <w:t>segwaċi</w:t>
      </w:r>
      <w:r w:rsidRPr="00AB0F78">
        <w:t xml:space="preserve"> tal-kanal, li bagħtu aktar minn 1 500 kumment lil dak il-prosekutur pubbliku delegat, l-aktar ta’ natura insolenti; billi l-allegata mġiba tista’ tikkostitwixxi r-reati ta’ fastidju jew </w:t>
      </w:r>
      <w:r w:rsidRPr="00AB0F78">
        <w:t>stalking</w:t>
      </w:r>
      <w:r w:rsidRPr="00AB0F78">
        <w:t xml:space="preserve">, inċitament biex jitwettaq attakk kontra awtorità jew uffiċjal pubbliku, </w:t>
      </w:r>
      <w:r w:rsidRPr="00AB0F78">
        <w:t>koerċizzjoni</w:t>
      </w:r>
      <w:r w:rsidRPr="00AB0F78">
        <w:t xml:space="preserve"> u/jew tixrid ta’ mibegħda permezz tal-media soċjali, skont l-Artikolu 172-ter u l-Artikolu 18(1) tal-Kodiċi Kriminali Spanjol b’rabta mal-Artikolu 553 tal-Kodiċi Kriminali Spanjol;</w:t>
      </w:r>
    </w:p>
    <w:p w:rsidR="00E13CF3" w:rsidRPr="00AB0F78" w:rsidP="00E13CF3" w14:paraId="77CC79EA" w14:textId="62B48B9B">
      <w:pPr>
        <w:pStyle w:val="NormalHanging12a"/>
        <w:rPr>
          <w:szCs w:val="24"/>
          <w:shd w:val="clear" w:color="auto" w:fill="FFFFFF"/>
        </w:rPr>
      </w:pPr>
      <w:r w:rsidRPr="00AB0F78">
        <w:t>C.</w:t>
      </w:r>
      <w:r w:rsidRPr="00AB0F78">
        <w:tab/>
      </w:r>
      <w:r w:rsidRPr="00AB0F78">
        <w:rPr>
          <w:shd w:val="clear" w:color="auto" w:fill="FFFFFF"/>
        </w:rPr>
        <w:t xml:space="preserve">billi </w:t>
      </w:r>
      <w:r w:rsidRPr="00AB0F78">
        <w:t>Alvise Pérez</w:t>
      </w:r>
      <w:r w:rsidRPr="00AB0F78">
        <w:rPr>
          <w:shd w:val="clear" w:color="auto" w:fill="FFFFFF"/>
        </w:rPr>
        <w:t xml:space="preserve"> ġie elett fil-Parlament Ewropew fl-elezzjonijiet Ewropej ta’ Ġunju 2024 u għalhekk</w:t>
      </w:r>
      <w:r w:rsidR="00EA735B">
        <w:rPr>
          <w:shd w:val="clear" w:color="auto" w:fill="FFFFFF"/>
        </w:rPr>
        <w:t>,</w:t>
      </w:r>
      <w:r w:rsidRPr="00AB0F78">
        <w:rPr>
          <w:shd w:val="clear" w:color="auto" w:fill="FFFFFF"/>
        </w:rPr>
        <w:t xml:space="preserve"> ma kienx Membru tal-Parlament Ewropew fiż-żmien tal-allegati reati; </w:t>
      </w:r>
    </w:p>
    <w:p w:rsidR="00E13CF3" w:rsidRPr="00AB0F78" w:rsidP="00E13CF3" w14:paraId="7A6E0336" w14:textId="77777777">
      <w:pPr>
        <w:pStyle w:val="NormalHanging12a"/>
      </w:pPr>
      <w:r w:rsidRPr="00AB0F78">
        <w:t>D.</w:t>
      </w:r>
      <w:r w:rsidRPr="00AB0F78">
        <w:tab/>
        <w:t xml:space="preserve">billi l-allegati reati ma </w:t>
      </w:r>
      <w:r w:rsidRPr="00AB0F78">
        <w:t>jikkostitwux</w:t>
      </w:r>
      <w:r w:rsidRPr="00AB0F78">
        <w:t xml:space="preserve"> opinjoni espressa jew vot mitfugħ minn Alvise Pérez fil-qadi ta’ dmirijietu skont it-tifsira tal-Artikolu 8 tal-Protokoll Nru 7 dwar il-Privileġġi u l-Immunitajiet tal-Unjoni Ewropea, u t-talba sussegwenti għat-tneħħija tal-immunità ta’ Alvise Pérez mhix relatata ma’ tali opinjoni jew vot;</w:t>
      </w:r>
    </w:p>
    <w:p w:rsidR="00E13CF3" w:rsidRPr="00AB0F78" w:rsidP="00E13CF3" w14:paraId="697E1C89" w14:textId="7CCA9627">
      <w:pPr>
        <w:pStyle w:val="NormalHanging12a"/>
      </w:pPr>
      <w:r w:rsidRPr="00AB0F78">
        <w:t>E.</w:t>
      </w:r>
      <w:r w:rsidRPr="00AB0F78">
        <w:tab/>
        <w:t xml:space="preserve">billi l-Artikolu 9, l-ewwel paragrafu, il-punt (a), tal-Protokoll Nru 7 dwar il-Privileġġi u l-Immunitajiet tal-Unjoni Ewropea jipprevedi li, waqt is-sessjonijiet tal-Parlament Ewropew, il-Membri tal-Parlament Ewropew għandhom igawdu, fit-territorju tal-Istat </w:t>
      </w:r>
      <w:r w:rsidR="00EA735B">
        <w:t xml:space="preserve">Membru </w:t>
      </w:r>
      <w:r w:rsidRPr="00AB0F78">
        <w:t>tagħhom stess, l-</w:t>
      </w:r>
      <w:r w:rsidRPr="00AB0F78">
        <w:t>immunitajiet</w:t>
      </w:r>
      <w:r w:rsidRPr="00AB0F78">
        <w:t xml:space="preserve"> mogħtija lill-membri tal-parlament tal-Istat Membru tagħhom;</w:t>
      </w:r>
    </w:p>
    <w:p w:rsidR="00E13CF3" w:rsidP="00E13CF3" w14:paraId="26199F98" w14:textId="77777777">
      <w:pPr>
        <w:pStyle w:val="Normal12Hanging"/>
      </w:pPr>
      <w:r w:rsidRPr="00AB0F78">
        <w:t>F.</w:t>
      </w:r>
      <w:r w:rsidRPr="00AB0F78">
        <w:tab/>
        <w:t>billi l-Artikolu 71(1) u (2) tal-Kostituzzjoni Spanjola jipprevedi li:</w:t>
      </w:r>
    </w:p>
    <w:p w:rsidR="00EA735B" w:rsidRPr="00135B5C" w:rsidP="00135B5C" w14:paraId="430B6A4E" w14:textId="0260D238">
      <w:pPr>
        <w:pStyle w:val="Normal12Hanging"/>
        <w:ind w:left="1134"/>
      </w:pPr>
      <w:r>
        <w:t>‘(1)</w:t>
      </w:r>
      <w:r>
        <w:tab/>
      </w:r>
      <w:r w:rsidRPr="00135B5C">
        <w:t>Id-deputati u s-senaturi jgawdu mill-</w:t>
      </w:r>
      <w:r w:rsidRPr="00135B5C">
        <w:t>invjolabbiltà</w:t>
      </w:r>
      <w:r w:rsidRPr="00135B5C">
        <w:t xml:space="preserve"> għall-opinjonijiet espressi fl-eżerċizzju tal-funzjonijiet tagħhom.</w:t>
      </w:r>
    </w:p>
    <w:p w:rsidR="00EA735B" w:rsidRPr="00AB0F78" w:rsidP="00135B5C" w14:paraId="7ED87666" w14:textId="7483A403">
      <w:pPr>
        <w:pStyle w:val="Normal12Hanging"/>
        <w:ind w:left="1134"/>
      </w:pPr>
      <w:r>
        <w:t>(2)</w:t>
      </w:r>
      <w:r>
        <w:tab/>
      </w:r>
      <w:r w:rsidRPr="00135B5C">
        <w:t>Matul il-mandat tagħhom, id-deputati u s-senaturi jgawdu wkoll mill-immunità u ma jistgħux jiġu arrestati ħlief f’każ li jinqabdu jwettqu reat. Huma ma jistgħux jiġu suġġetti għal investigazzjoni jew prosekuzzjoni kriminali mingħajr l-awtorizzazzjoni minn qabel tal-assemblea rispettiva tagħhom</w:t>
      </w:r>
      <w:r>
        <w:rPr>
          <w:iCs/>
          <w:color w:val="000000"/>
        </w:rPr>
        <w:t>’</w:t>
      </w:r>
      <w:r w:rsidRPr="00343151">
        <w:rPr>
          <w:iCs/>
          <w:color w:val="000000"/>
        </w:rPr>
        <w:t>;</w:t>
      </w:r>
    </w:p>
    <w:p w:rsidR="00E13CF3" w:rsidRPr="00AB0F78" w:rsidP="00E13CF3" w14:paraId="2A6E1050" w14:textId="77777777">
      <w:pPr>
        <w:pStyle w:val="NormalHanging12a"/>
        <w:rPr>
          <w:color w:val="000000"/>
        </w:rPr>
      </w:pPr>
      <w:r w:rsidRPr="00AB0F78">
        <w:rPr>
          <w:color w:val="000000"/>
        </w:rPr>
        <w:t>G.</w:t>
      </w:r>
      <w:r w:rsidRPr="00AB0F78">
        <w:rPr>
          <w:color w:val="000000"/>
        </w:rPr>
        <w:tab/>
        <w:t xml:space="preserve">billi l-għan tal-immunità prevista fil-Protokoll Nru 7 dwar il-Privileġġi u l-Immunitajiet tal-Unjoni Ewropea huwa li tipproteġi lill-Parlament u lill-Membri tiegħu minn proċedimenti ġudizzjarji fir-rigward ta’ attivitajiet imwettqa fil-qadi tad-dmirijiet parlamentari u li huma </w:t>
      </w:r>
      <w:r w:rsidRPr="00AB0F78">
        <w:rPr>
          <w:color w:val="000000"/>
        </w:rPr>
        <w:t>inseparabbli</w:t>
      </w:r>
      <w:r w:rsidRPr="00AB0F78">
        <w:rPr>
          <w:color w:val="000000"/>
        </w:rPr>
        <w:t xml:space="preserve"> minn dawk id-dmirijiet;</w:t>
      </w:r>
    </w:p>
    <w:p w:rsidR="00E13CF3" w:rsidRPr="00AB0F78" w:rsidP="00E13CF3" w14:paraId="5B74979D" w14:textId="77777777">
      <w:pPr>
        <w:pStyle w:val="NormalHanging12a"/>
        <w:rPr>
          <w:color w:val="000000"/>
        </w:rPr>
      </w:pPr>
      <w:r w:rsidRPr="00AB0F78">
        <w:rPr>
          <w:color w:val="000000"/>
        </w:rPr>
        <w:t>H.</w:t>
      </w:r>
      <w:r w:rsidRPr="00AB0F78">
        <w:rPr>
          <w:color w:val="000000"/>
        </w:rPr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:rsidR="00E13CF3" w:rsidRPr="00AB0F78" w:rsidP="00E13CF3" w14:paraId="22E957F9" w14:textId="4B8B3F47">
      <w:pPr>
        <w:pStyle w:val="NormalHanging12a"/>
        <w:rPr>
          <w:color w:val="000000"/>
        </w:rPr>
      </w:pPr>
      <w:r w:rsidRPr="00AB0F78">
        <w:rPr>
          <w:color w:val="000000"/>
        </w:rPr>
        <w:t>I.</w:t>
      </w:r>
      <w:r w:rsidRPr="00AB0F78">
        <w:rPr>
          <w:color w:val="000000"/>
        </w:rPr>
        <w:tab/>
        <w:t xml:space="preserve">billi, f’dan il-każ, il-Parlament ma sab l-ebda evidenza ta’ </w:t>
      </w:r>
      <w:r w:rsidRPr="00AB0F78">
        <w:rPr>
          <w:i/>
          <w:color w:val="000000"/>
        </w:rPr>
        <w:t>fumus</w:t>
      </w:r>
      <w:r w:rsidRPr="00AB0F78">
        <w:rPr>
          <w:i/>
          <w:color w:val="000000"/>
        </w:rPr>
        <w:t xml:space="preserve"> </w:t>
      </w:r>
      <w:r w:rsidRPr="00AB0F78">
        <w:rPr>
          <w:i/>
          <w:color w:val="000000"/>
        </w:rPr>
        <w:t>persecutionis</w:t>
      </w:r>
      <w:r w:rsidRPr="00AB0F78">
        <w:rPr>
          <w:color w:val="000000"/>
        </w:rPr>
        <w:t xml:space="preserve">, jiġifieri </w:t>
      </w:r>
      <w:r w:rsidRPr="00EA735B" w:rsidR="00EA735B">
        <w:rPr>
          <w:color w:val="000000"/>
        </w:rPr>
        <w:t>ma jidhirx li</w:t>
      </w:r>
      <w:r w:rsidRPr="00AB0F78">
        <w:rPr>
          <w:color w:val="000000"/>
        </w:rPr>
        <w:t xml:space="preserve"> l-intenzjoni li jimminaw </w:t>
      </w:r>
      <w:r w:rsidRPr="00EA735B" w:rsidR="00EA735B">
        <w:rPr>
          <w:color w:val="000000"/>
        </w:rPr>
        <w:t>l-proċedimenti legali inkwistjoni hija li ssir ħsara lill-attività politika ta' Alvise Pérez bħala Membru tal-Parlament Ewropew u b'hekk lill-indipendenza tal-Parlament</w:t>
      </w:r>
      <w:r w:rsidR="00EA735B">
        <w:rPr>
          <w:color w:val="000000"/>
        </w:rPr>
        <w:t>;</w:t>
      </w:r>
    </w:p>
    <w:p w:rsidR="00E13CF3" w:rsidRPr="00AB0F78" w:rsidP="00E13CF3" w14:paraId="6CE0C18C" w14:textId="77777777">
      <w:pPr>
        <w:pStyle w:val="NormalHanging12a"/>
        <w:rPr>
          <w:color w:val="000000"/>
        </w:rPr>
      </w:pPr>
      <w:r w:rsidRPr="00AB0F78">
        <w:rPr>
          <w:color w:val="000000"/>
        </w:rPr>
        <w:t>J.</w:t>
      </w:r>
      <w:r w:rsidRPr="00AB0F78">
        <w:rPr>
          <w:color w:val="000000"/>
        </w:rPr>
        <w:tab/>
        <w:t>billi, minn naħa, il-Parlament ma jistax jitqies bħala qorti u, min-naħa l-oħra, il-Membru ma jistax, fil-kuntest ta’ proċedura għat-tneħħija tal-immunità, jitqies bħala “akkużat”</w:t>
      </w:r>
      <w:r>
        <w:rPr>
          <w:color w:val="000000"/>
          <w:vertAlign w:val="superscript"/>
        </w:rPr>
        <w:footnoteReference w:id="3"/>
      </w:r>
      <w:r w:rsidRPr="00AB0F78">
        <w:rPr>
          <w:color w:val="000000"/>
        </w:rPr>
        <w:t>;</w:t>
      </w:r>
    </w:p>
    <w:p w:rsidR="00E13CF3" w:rsidRPr="00AB0F78" w:rsidP="00E13CF3" w14:paraId="056E0CC0" w14:textId="77777777">
      <w:pPr>
        <w:pStyle w:val="NormalHanging12a"/>
        <w:rPr>
          <w:color w:val="000000"/>
        </w:rPr>
      </w:pPr>
      <w:r w:rsidRPr="00AB0F78">
        <w:rPr>
          <w:color w:val="000000"/>
        </w:rPr>
        <w:t>1.</w:t>
      </w:r>
      <w:r w:rsidRPr="00AB0F78">
        <w:rPr>
          <w:color w:val="000000"/>
        </w:rPr>
        <w:tab/>
        <w:t>Jiddeċiedi li jneħħi l-immunità ta’ Alvise Pérez;</w:t>
      </w:r>
    </w:p>
    <w:p w:rsidR="00AB0F78" w:rsidRPr="00AB0F78" w:rsidP="00AB0F78" w14:paraId="69EBE303" w14:textId="5E60873C">
      <w:pPr>
        <w:pStyle w:val="NormalHanging12a"/>
      </w:pPr>
      <w:r w:rsidRPr="00AB0F78">
        <w:t>2.</w:t>
      </w:r>
      <w:r w:rsidRPr="00AB0F78">
        <w:tab/>
        <w:t>Jagħti istruzzjonijiet lill-President tiegħu biex tgħaddi minnufih din id-deċiżjoni u r-rapport tal-kumitat responsabbli tiegħu lill-awtoritajiet kompetenti tar-Renju ta’ Spanja u lil Alvise Pérez.</w:t>
      </w:r>
    </w:p>
    <w:p w:rsidR="00E365E1" w:rsidRPr="00AB0F78" w:rsidP="00553A8F" w14:paraId="497EAD7C" w14:textId="51A2A8F5"/>
    <w:sectPr w:rsidSect="00AB0F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F78" w14:paraId="5145EFF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F78" w14:paraId="076EBC0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F78" w14:paraId="5796EF3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53A8F" w:rsidRPr="00AB0F78" w14:paraId="47352824" w14:textId="77777777">
      <w:r w:rsidRPr="00AB0F78">
        <w:separator/>
      </w:r>
    </w:p>
  </w:footnote>
  <w:footnote w:type="continuationSeparator" w:id="1">
    <w:p w:rsidR="00553A8F" w:rsidRPr="00AB0F78" w14:paraId="246E80E0" w14:textId="77777777">
      <w:r w:rsidRPr="00AB0F78">
        <w:continuationSeparator/>
      </w:r>
    </w:p>
  </w:footnote>
  <w:footnote w:id="2">
    <w:p w:rsidR="00E13CF3" w:rsidRPr="00AB0F78" w:rsidP="00AB0F78" w14:paraId="174CE54C" w14:textId="3A7DC486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AB0F78">
        <w:rPr>
          <w:rStyle w:val="FootnoteReference"/>
          <w:sz w:val="24"/>
          <w:lang w:val="mt-MT"/>
        </w:rPr>
        <w:footnoteRef/>
      </w:r>
      <w:r w:rsidRPr="00AB0F78" w:rsidR="00AB0F78">
        <w:rPr>
          <w:sz w:val="24"/>
          <w:lang w:val="mt-MT"/>
        </w:rPr>
        <w:t xml:space="preserve"> </w:t>
      </w:r>
      <w:r w:rsidRPr="00AB0F78" w:rsidR="00AB0F78">
        <w:rPr>
          <w:sz w:val="24"/>
          <w:lang w:val="mt-MT"/>
        </w:rPr>
        <w:tab/>
      </w:r>
      <w:r w:rsidRPr="00AB0F78">
        <w:rPr>
          <w:sz w:val="24"/>
          <w:lang w:val="mt-MT"/>
        </w:rPr>
        <w:t xml:space="preserve">Is-sentenza tal-Qorti tal-Ġustizzja tal-21 ta’ Ottubru 2008, </w:t>
      </w:r>
      <w:r w:rsidRPr="00135B5C">
        <w:rPr>
          <w:i/>
          <w:iCs/>
          <w:sz w:val="24"/>
          <w:lang w:val="mt-MT"/>
        </w:rPr>
        <w:t>Marra</w:t>
      </w:r>
      <w:r w:rsidRPr="00135B5C">
        <w:rPr>
          <w:i/>
          <w:iCs/>
          <w:sz w:val="24"/>
          <w:lang w:val="mt-MT"/>
        </w:rPr>
        <w:t xml:space="preserve"> </w:t>
      </w:r>
      <w:r w:rsidRPr="00135B5C">
        <w:rPr>
          <w:i/>
          <w:iCs/>
          <w:sz w:val="24"/>
          <w:lang w:val="mt-MT"/>
        </w:rPr>
        <w:t>vs</w:t>
      </w:r>
      <w:r w:rsidRPr="00135B5C">
        <w:rPr>
          <w:i/>
          <w:iCs/>
          <w:sz w:val="24"/>
          <w:lang w:val="mt-MT"/>
        </w:rPr>
        <w:t xml:space="preserve"> De </w:t>
      </w:r>
      <w:r w:rsidRPr="00135B5C">
        <w:rPr>
          <w:i/>
          <w:iCs/>
          <w:sz w:val="24"/>
          <w:lang w:val="mt-MT"/>
        </w:rPr>
        <w:t>Gregorio</w:t>
      </w:r>
      <w:r w:rsidRPr="00AB0F78">
        <w:rPr>
          <w:sz w:val="24"/>
          <w:lang w:val="mt-MT"/>
        </w:rPr>
        <w:t xml:space="preserve"> u </w:t>
      </w:r>
      <w:r w:rsidRPr="00135B5C">
        <w:rPr>
          <w:i/>
          <w:iCs/>
          <w:sz w:val="24"/>
          <w:lang w:val="mt-MT"/>
        </w:rPr>
        <w:t>Clemente</w:t>
      </w:r>
      <w:r w:rsidRPr="00AB0F78">
        <w:rPr>
          <w:sz w:val="24"/>
          <w:lang w:val="mt-MT"/>
        </w:rPr>
        <w:t xml:space="preserve">, C-200/07 u C-201/07, ECLI:EU:C:2008:579; is-sentenza tal-Qorti Ġenerali tad-19 ta’ Marzu 2010, </w:t>
      </w:r>
      <w:r w:rsidRPr="00135B5C">
        <w:rPr>
          <w:i/>
          <w:iCs/>
          <w:sz w:val="24"/>
          <w:lang w:val="mt-MT"/>
        </w:rPr>
        <w:t>Gollnisch</w:t>
      </w:r>
      <w:r w:rsidRPr="00135B5C">
        <w:rPr>
          <w:i/>
          <w:iCs/>
          <w:sz w:val="24"/>
          <w:lang w:val="mt-MT"/>
        </w:rPr>
        <w:t xml:space="preserve"> </w:t>
      </w:r>
      <w:r w:rsidRPr="00135B5C">
        <w:rPr>
          <w:i/>
          <w:iCs/>
          <w:sz w:val="24"/>
          <w:lang w:val="mt-MT"/>
        </w:rPr>
        <w:t>vs</w:t>
      </w:r>
      <w:r w:rsidRPr="00135B5C">
        <w:rPr>
          <w:i/>
          <w:iCs/>
          <w:sz w:val="24"/>
          <w:lang w:val="mt-MT"/>
        </w:rPr>
        <w:t xml:space="preserve"> Il-Parlament</w:t>
      </w:r>
      <w:r w:rsidRPr="00AB0F78">
        <w:rPr>
          <w:sz w:val="24"/>
          <w:lang w:val="mt-MT"/>
        </w:rPr>
        <w:t xml:space="preserve">, T-42/06, ECLI:EU:T:2010:102; is-sentenza tal-Qorti tal-Ġustizzja tas-6 ta’ Settembru 2011, </w:t>
      </w:r>
      <w:r w:rsidRPr="00135B5C">
        <w:rPr>
          <w:i/>
          <w:iCs/>
          <w:sz w:val="24"/>
          <w:lang w:val="mt-MT"/>
        </w:rPr>
        <w:t>Patriciello</w:t>
      </w:r>
      <w:r w:rsidRPr="00AB0F78">
        <w:rPr>
          <w:sz w:val="24"/>
          <w:lang w:val="mt-MT"/>
        </w:rPr>
        <w:t xml:space="preserve">, C-163/10, ECLI: EU:C:2011:543; is-sentenza tal-Qorti Ġenerali tas-17 ta’ Jannar 2013, </w:t>
      </w:r>
      <w:r w:rsidRPr="00135B5C">
        <w:rPr>
          <w:i/>
          <w:iCs/>
          <w:sz w:val="24"/>
          <w:lang w:val="mt-MT"/>
        </w:rPr>
        <w:t>Gollnisch</w:t>
      </w:r>
      <w:r w:rsidRPr="00135B5C">
        <w:rPr>
          <w:i/>
          <w:iCs/>
          <w:sz w:val="24"/>
          <w:lang w:val="mt-MT"/>
        </w:rPr>
        <w:t xml:space="preserve"> </w:t>
      </w:r>
      <w:r w:rsidRPr="00135B5C">
        <w:rPr>
          <w:i/>
          <w:iCs/>
          <w:sz w:val="24"/>
          <w:lang w:val="mt-MT"/>
        </w:rPr>
        <w:t>vs</w:t>
      </w:r>
      <w:r w:rsidRPr="00135B5C">
        <w:rPr>
          <w:i/>
          <w:iCs/>
          <w:sz w:val="24"/>
          <w:lang w:val="mt-MT"/>
        </w:rPr>
        <w:t xml:space="preserve"> Il-Parlament</w:t>
      </w:r>
      <w:r w:rsidRPr="00AB0F78">
        <w:rPr>
          <w:sz w:val="24"/>
          <w:lang w:val="mt-MT"/>
        </w:rPr>
        <w:t xml:space="preserve">, T-346/11 u T-347/11, ECLI:EU:T:2013:23; is-sentenza tal-Qorti tal-Ġustizzja tad-19 ta’ Diċembru 2019, </w:t>
      </w:r>
      <w:r w:rsidRPr="00135B5C">
        <w:rPr>
          <w:i/>
          <w:iCs/>
          <w:sz w:val="24"/>
          <w:lang w:val="mt-MT"/>
        </w:rPr>
        <w:t>Junqueras</w:t>
      </w:r>
      <w:r w:rsidRPr="00135B5C">
        <w:rPr>
          <w:i/>
          <w:iCs/>
          <w:sz w:val="24"/>
          <w:lang w:val="mt-MT"/>
        </w:rPr>
        <w:t xml:space="preserve"> </w:t>
      </w:r>
      <w:r w:rsidRPr="00135B5C">
        <w:rPr>
          <w:i/>
          <w:iCs/>
          <w:sz w:val="24"/>
          <w:lang w:val="mt-MT"/>
        </w:rPr>
        <w:t>Vies</w:t>
      </w:r>
      <w:r w:rsidRPr="00AB0F78">
        <w:rPr>
          <w:sz w:val="24"/>
          <w:lang w:val="mt-MT"/>
        </w:rPr>
        <w:t>, C-502/19, ECLI:EU:C:2019:1115.</w:t>
      </w:r>
    </w:p>
    <w:p w:rsidR="00E13CF3" w:rsidRPr="00AB0F78" w:rsidP="00AB0F78" w14:paraId="7C055B0A" w14:textId="4B6BF654">
      <w:pPr>
        <w:pStyle w:val="FootnoteText"/>
        <w:ind w:left="567" w:hanging="567"/>
        <w:rPr>
          <w:sz w:val="24"/>
          <w:lang w:val="mt-MT"/>
        </w:rPr>
      </w:pPr>
    </w:p>
  </w:footnote>
  <w:footnote w:id="3">
    <w:p w:rsidR="00E13CF3" w:rsidRPr="00AB0F78" w:rsidP="00AB0F78" w14:paraId="748284F1" w14:textId="11DFE513">
      <w:pPr>
        <w:pStyle w:val="FootnoteText"/>
        <w:ind w:left="567" w:hanging="567"/>
        <w:rPr>
          <w:sz w:val="24"/>
          <w:lang w:val="mt-MT"/>
        </w:rPr>
      </w:pPr>
      <w:r w:rsidRPr="00AB0F78">
        <w:rPr>
          <w:rStyle w:val="FootnoteReference"/>
          <w:sz w:val="24"/>
          <w:lang w:val="mt-MT"/>
        </w:rPr>
        <w:footnoteRef/>
      </w:r>
      <w:r w:rsidRPr="00AB0F78" w:rsidR="00AB0F78">
        <w:rPr>
          <w:sz w:val="24"/>
          <w:lang w:val="mt-MT"/>
        </w:rPr>
        <w:t xml:space="preserve"> </w:t>
      </w:r>
      <w:r w:rsidRPr="00AB0F78" w:rsidR="00AB0F78">
        <w:rPr>
          <w:sz w:val="24"/>
          <w:lang w:val="mt-MT"/>
        </w:rPr>
        <w:tab/>
      </w:r>
      <w:r w:rsidRPr="00AB0F78">
        <w:rPr>
          <w:sz w:val="24"/>
          <w:lang w:val="mt-MT"/>
        </w:rPr>
        <w:t xml:space="preserve">Is-sentenza tal-Qorti Ġenerali tat-30 ta’ April 2019, </w:t>
      </w:r>
      <w:r w:rsidRPr="00AB0F78">
        <w:rPr>
          <w:sz w:val="24"/>
          <w:lang w:val="mt-MT"/>
        </w:rPr>
        <w:t>Briois</w:t>
      </w:r>
      <w:r w:rsidRPr="00AB0F78">
        <w:rPr>
          <w:sz w:val="24"/>
          <w:lang w:val="mt-MT"/>
        </w:rPr>
        <w:t xml:space="preserve"> </w:t>
      </w:r>
      <w:r w:rsidRPr="00AB0F78">
        <w:rPr>
          <w:sz w:val="24"/>
          <w:lang w:val="mt-MT"/>
        </w:rPr>
        <w:t>vs</w:t>
      </w:r>
      <w:r w:rsidRPr="00AB0F78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F78" w14:paraId="0DE0AD8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F78" w14:paraId="3740494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0F78" w14:paraId="41EB580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5810111">
    <w:abstractNumId w:val="9"/>
  </w:num>
  <w:num w:numId="2" w16cid:durableId="255288900">
    <w:abstractNumId w:val="9"/>
  </w:num>
  <w:num w:numId="3" w16cid:durableId="1131165817">
    <w:abstractNumId w:val="7"/>
  </w:num>
  <w:num w:numId="4" w16cid:durableId="363023171">
    <w:abstractNumId w:val="7"/>
  </w:num>
  <w:num w:numId="5" w16cid:durableId="1037774519">
    <w:abstractNumId w:val="6"/>
  </w:num>
  <w:num w:numId="6" w16cid:durableId="741096634">
    <w:abstractNumId w:val="6"/>
  </w:num>
  <w:num w:numId="7" w16cid:durableId="2136294077">
    <w:abstractNumId w:val="5"/>
  </w:num>
  <w:num w:numId="8" w16cid:durableId="248316531">
    <w:abstractNumId w:val="5"/>
  </w:num>
  <w:num w:numId="9" w16cid:durableId="919753385">
    <w:abstractNumId w:val="4"/>
  </w:num>
  <w:num w:numId="10" w16cid:durableId="1314676929">
    <w:abstractNumId w:val="4"/>
  </w:num>
  <w:num w:numId="11" w16cid:durableId="1003167023">
    <w:abstractNumId w:val="8"/>
  </w:num>
  <w:num w:numId="12" w16cid:durableId="855852341">
    <w:abstractNumId w:val="8"/>
  </w:num>
  <w:num w:numId="13" w16cid:durableId="1331444985">
    <w:abstractNumId w:val="3"/>
  </w:num>
  <w:num w:numId="14" w16cid:durableId="1246768968">
    <w:abstractNumId w:val="3"/>
  </w:num>
  <w:num w:numId="15" w16cid:durableId="215363931">
    <w:abstractNumId w:val="2"/>
  </w:num>
  <w:num w:numId="16" w16cid:durableId="1699427163">
    <w:abstractNumId w:val="2"/>
  </w:num>
  <w:num w:numId="17" w16cid:durableId="512649941">
    <w:abstractNumId w:val="1"/>
  </w:num>
  <w:num w:numId="18" w16cid:durableId="695623357">
    <w:abstractNumId w:val="1"/>
  </w:num>
  <w:num w:numId="19" w16cid:durableId="935285727">
    <w:abstractNumId w:val="0"/>
  </w:num>
  <w:num w:numId="20" w16cid:durableId="593317363">
    <w:abstractNumId w:val="0"/>
  </w:num>
  <w:num w:numId="21" w16cid:durableId="278535929">
    <w:abstractNumId w:val="9"/>
  </w:num>
  <w:num w:numId="22" w16cid:durableId="721517661">
    <w:abstractNumId w:val="7"/>
  </w:num>
  <w:num w:numId="23" w16cid:durableId="166553518">
    <w:abstractNumId w:val="6"/>
  </w:num>
  <w:num w:numId="24" w16cid:durableId="1367562077">
    <w:abstractNumId w:val="5"/>
  </w:num>
  <w:num w:numId="25" w16cid:durableId="1623421048">
    <w:abstractNumId w:val="4"/>
  </w:num>
  <w:num w:numId="26" w16cid:durableId="576598329">
    <w:abstractNumId w:val="8"/>
  </w:num>
  <w:num w:numId="27" w16cid:durableId="1447850761">
    <w:abstractNumId w:val="3"/>
  </w:num>
  <w:num w:numId="28" w16cid:durableId="852915948">
    <w:abstractNumId w:val="2"/>
  </w:num>
  <w:num w:numId="29" w16cid:durableId="2005620781">
    <w:abstractNumId w:val="1"/>
  </w:num>
  <w:num w:numId="30" w16cid:durableId="635531384">
    <w:abstractNumId w:val="0"/>
  </w:num>
  <w:num w:numId="31" w16cid:durableId="543564833">
    <w:abstractNumId w:val="9"/>
  </w:num>
  <w:num w:numId="32" w16cid:durableId="135072346">
    <w:abstractNumId w:val="7"/>
  </w:num>
  <w:num w:numId="33" w16cid:durableId="845292590">
    <w:abstractNumId w:val="6"/>
  </w:num>
  <w:num w:numId="34" w16cid:durableId="834998763">
    <w:abstractNumId w:val="5"/>
  </w:num>
  <w:num w:numId="35" w16cid:durableId="1670906170">
    <w:abstractNumId w:val="4"/>
  </w:num>
  <w:num w:numId="36" w16cid:durableId="1119300749">
    <w:abstractNumId w:val="8"/>
  </w:num>
  <w:num w:numId="37" w16cid:durableId="479462462">
    <w:abstractNumId w:val="3"/>
  </w:num>
  <w:num w:numId="38" w16cid:durableId="1085762691">
    <w:abstractNumId w:val="2"/>
  </w:num>
  <w:num w:numId="39" w16cid:durableId="1449667252">
    <w:abstractNumId w:val="1"/>
  </w:num>
  <w:num w:numId="40" w16cid:durableId="591858835">
    <w:abstractNumId w:val="0"/>
  </w:num>
  <w:num w:numId="41" w16cid:durableId="2048984935">
    <w:abstractNumId w:val="10"/>
  </w:num>
  <w:num w:numId="42" w16cid:durableId="539324937">
    <w:abstractNumId w:val="10"/>
  </w:num>
  <w:num w:numId="43" w16cid:durableId="1392118348">
    <w:abstractNumId w:val="10"/>
  </w:num>
  <w:num w:numId="44" w16cid:durableId="8165292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8F"/>
    <w:rsid w:val="00002272"/>
    <w:rsid w:val="00064002"/>
    <w:rsid w:val="000677B9"/>
    <w:rsid w:val="000831BA"/>
    <w:rsid w:val="000A42CC"/>
    <w:rsid w:val="000E7DD9"/>
    <w:rsid w:val="0010095E"/>
    <w:rsid w:val="00105BBE"/>
    <w:rsid w:val="00125B37"/>
    <w:rsid w:val="00135B5C"/>
    <w:rsid w:val="00187494"/>
    <w:rsid w:val="001F32AE"/>
    <w:rsid w:val="00251E16"/>
    <w:rsid w:val="002767FF"/>
    <w:rsid w:val="002B18FE"/>
    <w:rsid w:val="002B5493"/>
    <w:rsid w:val="0034315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A8F"/>
    <w:rsid w:val="00560270"/>
    <w:rsid w:val="005C2568"/>
    <w:rsid w:val="005F1B17"/>
    <w:rsid w:val="006037C0"/>
    <w:rsid w:val="006631B6"/>
    <w:rsid w:val="00680577"/>
    <w:rsid w:val="006968C8"/>
    <w:rsid w:val="006C68B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82C"/>
    <w:rsid w:val="009509D8"/>
    <w:rsid w:val="00950B64"/>
    <w:rsid w:val="00981893"/>
    <w:rsid w:val="00A1687D"/>
    <w:rsid w:val="00A43E52"/>
    <w:rsid w:val="00A4678D"/>
    <w:rsid w:val="00A778C7"/>
    <w:rsid w:val="00AB0F78"/>
    <w:rsid w:val="00AB441E"/>
    <w:rsid w:val="00AB6293"/>
    <w:rsid w:val="00AE0928"/>
    <w:rsid w:val="00AF3B82"/>
    <w:rsid w:val="00B12E95"/>
    <w:rsid w:val="00B22876"/>
    <w:rsid w:val="00B558F0"/>
    <w:rsid w:val="00B9537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CF3"/>
    <w:rsid w:val="00E365E1"/>
    <w:rsid w:val="00E820A4"/>
    <w:rsid w:val="00EA735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9/2026"/>
    <w:docVar w:name="dvlangue" w:val="MT"/>
    <w:docVar w:name="dvnumam" w:val="0"/>
    <w:docVar w:name="dvpe" w:val="784.496"/>
    <w:docVar w:name="dvrapporteur" w:val="Rapporteur: "/>
    <w:docVar w:name="dvtitre" w:val="Riżoluzzjoni tal-Parlament Ewropew xx xx xxxx 2026 dwar it-talba għat-tneħħija tal-immunità ta’ Alvise Pérez(2025/222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5A7769"/>
  <w15:chartTrackingRefBased/>
  <w15:docId w15:val="{DB0EBA1C-6537-4669-90FC-F0E1C732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13CF3"/>
    <w:pPr>
      <w:spacing w:after="240"/>
    </w:pPr>
  </w:style>
  <w:style w:type="paragraph" w:customStyle="1" w:styleId="NormalHanging12a">
    <w:name w:val="NormalHanging12a"/>
    <w:basedOn w:val="Normal"/>
    <w:rsid w:val="00E13CF3"/>
    <w:pPr>
      <w:spacing w:after="240"/>
      <w:ind w:left="567" w:hanging="567"/>
    </w:pPr>
  </w:style>
  <w:style w:type="paragraph" w:customStyle="1" w:styleId="EPComma">
    <w:name w:val="EPComma"/>
    <w:basedOn w:val="Normal"/>
    <w:rsid w:val="00E13CF3"/>
    <w:pPr>
      <w:spacing w:before="480" w:after="240"/>
    </w:pPr>
  </w:style>
  <w:style w:type="paragraph" w:customStyle="1" w:styleId="Normal12Hanging">
    <w:name w:val="Normal12Hanging"/>
    <w:basedOn w:val="Normal"/>
    <w:rsid w:val="00E13CF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A735B"/>
    <w:rPr>
      <w:sz w:val="24"/>
      <w:lang w:val="mt-MT"/>
    </w:rPr>
  </w:style>
  <w:style w:type="paragraph" w:styleId="HTMLPreformatted">
    <w:name w:val="HTML Preformatted"/>
    <w:basedOn w:val="Normal"/>
    <w:link w:val="HTMLPreformattedChar"/>
    <w:rsid w:val="00EA735B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EA735B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654</Words>
  <Characters>4649</Characters>
  <Application>Microsoft Office Word</Application>
  <DocSecurity>0</DocSecurity>
  <Lines>166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2026-06-03T14:41:00Z</dcterms:created>
  <dcterms:modified xsi:type="dcterms:W3CDTF">2026-06-03T14:41:00Z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A10-0119/2026</vt:lpwstr>
  </property>
  <property fmtid="{D5CDD505-2E9C-101B-9397-08002B2CF9AE}" pid="4" name="&lt;Type&gt;">
    <vt:lpwstr>RR</vt:lpwstr>
  </property>
</Properties>
</file>