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9293BA" w14:textId="77777777" w:rsidTr="0010095E">
        <w:tblPrEx>
          <w:tblW w:w="9072" w:type="dxa"/>
          <w:tblLook w:val="01E0"/>
        </w:tblPrEx>
        <w:trPr>
          <w:trHeight w:hRule="exact" w:val="1418"/>
        </w:trPr>
        <w:tc>
          <w:tcPr>
            <w:tcW w:w="6804" w:type="dxa"/>
            <w:shd w:val="clear" w:color="auto" w:fill="auto"/>
            <w:vAlign w:val="center"/>
          </w:tcPr>
          <w:p w:rsidR="00751A4A" w:rsidRPr="00FD655F" w:rsidP="0010095E" w14:paraId="0E37D907" w14:textId="77777777">
            <w:pPr>
              <w:pStyle w:val="EPName"/>
            </w:pPr>
            <w:r w:rsidRPr="00FD655F">
              <w:t xml:space="preserve">Parlamento </w:t>
            </w:r>
            <w:r w:rsidRPr="00FD655F">
              <w:t>Europeu</w:t>
            </w:r>
          </w:p>
          <w:p w:rsidR="00751A4A" w:rsidRPr="00FD655F" w:rsidP="005F1B17" w14:paraId="0F8D9B3E" w14:textId="77777777">
            <w:pPr>
              <w:pStyle w:val="EPTerm"/>
              <w:rPr>
                <w:rStyle w:val="HideTWBExt"/>
                <w:noProof w:val="0"/>
                <w:vanish w:val="0"/>
                <w:color w:val="auto"/>
              </w:rPr>
            </w:pPr>
            <w:r w:rsidRPr="00FD655F">
              <w:t>2024</w:t>
            </w:r>
            <w:r w:rsidRPr="00FD655F" w:rsidR="00817416">
              <w:t>-202</w:t>
            </w:r>
            <w:r w:rsidRPr="00FD655F">
              <w:t>9</w:t>
            </w:r>
          </w:p>
        </w:tc>
        <w:tc>
          <w:tcPr>
            <w:tcW w:w="2268" w:type="dxa"/>
            <w:shd w:val="clear" w:color="auto" w:fill="auto"/>
          </w:tcPr>
          <w:p w:rsidR="00751A4A" w:rsidRPr="00FD655F" w:rsidP="0010095E" w14:paraId="468947C1" w14:textId="77777777">
            <w:pPr>
              <w:pStyle w:val="EPLogo"/>
            </w:pPr>
            <w:r w:rsidRPr="00FD655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D655F" w:rsidP="004C5D52" w14:paraId="613A0D87" w14:textId="77777777">
      <w:pPr>
        <w:pStyle w:val="LineTop"/>
      </w:pPr>
    </w:p>
    <w:p w:rsidR="00680577" w:rsidRPr="00FD655F" w:rsidP="00680577" w14:paraId="0B25CE69" w14:textId="77777777">
      <w:pPr>
        <w:pStyle w:val="EPBodyTA1"/>
      </w:pPr>
      <w:r w:rsidRPr="00FD655F">
        <w:t>TEXTOS APROVADOS</w:t>
      </w:r>
    </w:p>
    <w:p w:rsidR="00D058B8" w:rsidRPr="00FD655F" w:rsidP="00D058B8" w14:paraId="446C47DE" w14:textId="77777777">
      <w:pPr>
        <w:pStyle w:val="LineBottom"/>
      </w:pPr>
    </w:p>
    <w:p w:rsidR="003F4767" w:rsidRPr="00FD655F" w:rsidP="003F4767" w14:paraId="090DF28F" w14:textId="0F57731D">
      <w:pPr>
        <w:pStyle w:val="ATHeading1"/>
      </w:pPr>
      <w:bookmarkStart w:id="0" w:name="TANumber"/>
      <w:r w:rsidRPr="00FD655F">
        <w:t>P10_TA(2026)0</w:t>
      </w:r>
      <w:r w:rsidRPr="00FD655F" w:rsidR="00FD655F">
        <w:t>110</w:t>
      </w:r>
      <w:bookmarkEnd w:id="0"/>
    </w:p>
    <w:p w:rsidR="003F4767" w:rsidRPr="00FD655F" w:rsidP="003F4767" w14:paraId="771F026E" w14:textId="77777777">
      <w:pPr>
        <w:pStyle w:val="ATHeading2"/>
      </w:pPr>
      <w:bookmarkStart w:id="1" w:name="title"/>
      <w:r w:rsidRPr="00FD655F">
        <w:t xml:space="preserve">Pedido de levantamento da imunidade de </w:t>
      </w:r>
      <w:r w:rsidRPr="00FD655F">
        <w:t>Alvise</w:t>
      </w:r>
      <w:r w:rsidRPr="00FD655F">
        <w:t xml:space="preserve"> Pérez</w:t>
      </w:r>
      <w:bookmarkEnd w:id="1"/>
    </w:p>
    <w:p w:rsidR="003F4767" w:rsidRPr="00FD655F" w:rsidP="003F4767" w14:paraId="7BAD35C9" w14:textId="77777777">
      <w:pPr>
        <w:rPr>
          <w:i/>
          <w:vanish/>
        </w:rPr>
      </w:pPr>
      <w:r>
        <w:rPr>
          <w:i/>
        </w:rPr>
        <w:fldChar w:fldCharType="begin"/>
      </w:r>
      <w:r w:rsidRPr="00FD655F">
        <w:rPr>
          <w:i/>
        </w:rPr>
        <w:instrText xml:space="preserve"> TC"(</w:instrText>
      </w:r>
      <w:bookmarkStart w:id="2" w:name="DocNumber"/>
      <w:r w:rsidRPr="00FD655F">
        <w:rPr>
          <w:i/>
        </w:rPr>
        <w:instrText>A10-0119/2026</w:instrText>
      </w:r>
      <w:bookmarkEnd w:id="2"/>
      <w:r w:rsidRPr="00FD655F">
        <w:rPr>
          <w:i/>
        </w:rPr>
        <w:instrText xml:space="preserve"> - Relator: </w:instrText>
      </w:r>
      <w:r w:rsidRPr="00FD655F">
        <w:rPr>
          <w:i/>
        </w:rPr>
        <w:instrText>Mario</w:instrText>
      </w:r>
      <w:r w:rsidRPr="00FD655F">
        <w:rPr>
          <w:i/>
        </w:rPr>
        <w:instrText xml:space="preserve"> </w:instrText>
      </w:r>
      <w:r w:rsidRPr="00FD655F">
        <w:rPr>
          <w:i/>
        </w:rPr>
        <w:instrText>Furore</w:instrText>
      </w:r>
      <w:r w:rsidRPr="00FD655F">
        <w:rPr>
          <w:i/>
        </w:rPr>
        <w:instrText xml:space="preserve">)"\l3 \n&gt; \* MERGEFORMAT </w:instrText>
      </w:r>
      <w:r>
        <w:rPr>
          <w:i/>
        </w:rPr>
        <w:fldChar w:fldCharType="end"/>
      </w:r>
    </w:p>
    <w:p w:rsidR="003F4767" w:rsidRPr="00FD655F" w:rsidP="003F4767" w14:paraId="3EF55BBA" w14:textId="77777777">
      <w:pPr>
        <w:rPr>
          <w:vanish/>
        </w:rPr>
      </w:pPr>
      <w:bookmarkStart w:id="3" w:name="Commission"/>
      <w:r w:rsidRPr="00FD655F">
        <w:rPr>
          <w:vanish/>
        </w:rPr>
        <w:t>Comissão dos Assuntos Jurídicos</w:t>
      </w:r>
      <w:bookmarkEnd w:id="3"/>
    </w:p>
    <w:p w:rsidR="003F4767" w:rsidRPr="00FD655F" w:rsidP="003F4767" w14:paraId="65CCC436" w14:textId="77777777">
      <w:pPr>
        <w:rPr>
          <w:vanish/>
        </w:rPr>
      </w:pPr>
      <w:bookmarkStart w:id="4" w:name="PE"/>
      <w:r w:rsidRPr="00FD655F">
        <w:rPr>
          <w:vanish/>
        </w:rPr>
        <w:t>PE784.496</w:t>
      </w:r>
      <w:bookmarkEnd w:id="4"/>
    </w:p>
    <w:p w:rsidR="003F4767" w:rsidRPr="00FD655F" w:rsidP="003F4767" w14:paraId="67834270" w14:textId="061C2785">
      <w:pPr>
        <w:pStyle w:val="ATHeading3"/>
      </w:pPr>
      <w:bookmarkStart w:id="5" w:name="Sujet"/>
      <w:r w:rsidRPr="00FD655F">
        <w:t xml:space="preserve">Decisão do Parlamento Europeu, de </w:t>
      </w:r>
      <w:r w:rsidRPr="00FD655F" w:rsidR="004F38B3">
        <w:t>28</w:t>
      </w:r>
      <w:r w:rsidRPr="00FD655F">
        <w:t xml:space="preserve"> de </w:t>
      </w:r>
      <w:r w:rsidRPr="00FD655F" w:rsidR="00345EED">
        <w:t>abril</w:t>
      </w:r>
      <w:r w:rsidRPr="00FD655F" w:rsidR="004F38B3">
        <w:t xml:space="preserve"> </w:t>
      </w:r>
      <w:r w:rsidRPr="00FD655F">
        <w:t xml:space="preserve">de 2026, sobre o pedido de levantamento da imunidade de </w:t>
      </w:r>
      <w:r w:rsidRPr="00FD655F">
        <w:t>Alvise</w:t>
      </w:r>
      <w:r w:rsidRPr="00FD655F">
        <w:t xml:space="preserve"> Pérez</w:t>
      </w:r>
      <w:bookmarkEnd w:id="5"/>
      <w:r w:rsidRPr="00FD655F">
        <w:t xml:space="preserve"> </w:t>
      </w:r>
      <w:bookmarkStart w:id="6" w:name="References"/>
      <w:r w:rsidRPr="00FD655F">
        <w:t>(2025/2222(IMM))</w:t>
      </w:r>
      <w:bookmarkEnd w:id="6"/>
    </w:p>
    <w:p w:rsidR="0087320E" w:rsidRPr="00FD655F" w:rsidP="0087320E" w14:paraId="76D32D43" w14:textId="77777777">
      <w:pPr>
        <w:pStyle w:val="EPComma"/>
      </w:pPr>
      <w:bookmarkStart w:id="7" w:name="TextBodyBegin"/>
      <w:bookmarkEnd w:id="7"/>
      <w:r w:rsidRPr="00FD655F">
        <w:rPr>
          <w:i/>
        </w:rPr>
        <w:t>O Parlamento Europeu</w:t>
      </w:r>
      <w:r w:rsidRPr="00FD655F">
        <w:t>,</w:t>
      </w:r>
    </w:p>
    <w:p w:rsidR="0087320E" w:rsidRPr="00FD655F" w:rsidP="0087320E" w14:paraId="1E7C5ADA" w14:textId="67338853">
      <w:pPr>
        <w:pStyle w:val="NormalHanging12a"/>
      </w:pPr>
      <w:r w:rsidRPr="00FD655F">
        <w:t>–</w:t>
      </w:r>
      <w:r w:rsidRPr="00FD655F">
        <w:tab/>
        <w:t xml:space="preserve">Tendo recebido um pedido de levantamento da imunidade de </w:t>
      </w:r>
      <w:r w:rsidRPr="00FD655F">
        <w:t>Alvise</w:t>
      </w:r>
      <w:r w:rsidRPr="00FD655F">
        <w:t xml:space="preserve"> Pérez (</w:t>
      </w:r>
      <w:r w:rsidRPr="00FD655F">
        <w:t>Luis</w:t>
      </w:r>
      <w:r w:rsidRPr="00FD655F">
        <w:t xml:space="preserve"> Pérez Fernández), transmitido pelo Supremo Tribunal de Espanha, por carta de 7 de outubro de 2025, no âmbito de uma ação penal a intentar contra </w:t>
      </w:r>
      <w:r w:rsidRPr="00FD655F" w:rsidR="009B0F48">
        <w:t>Alvise</w:t>
      </w:r>
      <w:r w:rsidRPr="00FD655F" w:rsidR="009B0F48">
        <w:t xml:space="preserve"> Pérez</w:t>
      </w:r>
      <w:r w:rsidRPr="00FD655F">
        <w:t xml:space="preserve">, </w:t>
      </w:r>
      <w:r w:rsidRPr="00FD655F" w:rsidR="00C008B7">
        <w:t xml:space="preserve">e tendo o pedido sido </w:t>
      </w:r>
      <w:r w:rsidRPr="00FD655F" w:rsidR="009B0F48">
        <w:t>anunciado a</w:t>
      </w:r>
      <w:r w:rsidRPr="00FD655F">
        <w:t>o Parlamento em 22 de outubro de 2025,</w:t>
      </w:r>
    </w:p>
    <w:p w:rsidR="0087320E" w:rsidRPr="00FD655F" w:rsidP="0087320E" w14:paraId="23B62C3F" w14:textId="77777777">
      <w:pPr>
        <w:pStyle w:val="NormalHanging12a"/>
      </w:pPr>
      <w:r w:rsidRPr="00FD655F">
        <w:t>–</w:t>
      </w:r>
      <w:r w:rsidRPr="00FD655F">
        <w:tab/>
        <w:t xml:space="preserve">Tendo ouvido </w:t>
      </w:r>
      <w:r w:rsidRPr="00FD655F">
        <w:t>Alvise</w:t>
      </w:r>
      <w:r w:rsidRPr="00FD655F">
        <w:t xml:space="preserve"> Pérez, em 24 de março de 2026, nos termos do artigo 9.º, n.º 6, do seu Regimento,</w:t>
      </w:r>
    </w:p>
    <w:p w:rsidR="0087320E" w:rsidRPr="00FD655F" w:rsidP="0087320E" w14:paraId="1ECC3891" w14:textId="77777777">
      <w:pPr>
        <w:pStyle w:val="NormalHanging12a"/>
      </w:pPr>
      <w:r w:rsidRPr="00FD655F">
        <w:t>–</w:t>
      </w:r>
      <w:r w:rsidRPr="00FD655F">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rsidR="0087320E" w:rsidRPr="00FD655F" w:rsidP="0087320E" w14:paraId="1BA2D7B0" w14:textId="77777777">
      <w:pPr>
        <w:pStyle w:val="NormalHanging12a"/>
      </w:pPr>
      <w:r w:rsidRPr="00FD655F">
        <w:t>–</w:t>
      </w:r>
      <w:r w:rsidRPr="00FD655F">
        <w:tab/>
        <w:t>Tendo em conta os Acórdãos proferidos pelo Tribunal de Justiça da União Europeia em 21 de outubro de 2008, 19 de março de 2010, 6 de setembro de 2011, 17 de janeiro de 2013 e 19 de dezembro de 2019</w:t>
      </w:r>
      <w:r>
        <w:rPr>
          <w:rStyle w:val="FootnoteReference"/>
          <w:color w:val="000000"/>
        </w:rPr>
        <w:footnoteReference w:id="2"/>
      </w:r>
      <w:r w:rsidRPr="00FD655F">
        <w:t>,</w:t>
      </w:r>
    </w:p>
    <w:p w:rsidR="0087320E" w:rsidRPr="00FD655F" w:rsidP="0087320E" w14:paraId="51393994" w14:textId="77777777">
      <w:pPr>
        <w:pStyle w:val="NormalHanging12a"/>
      </w:pPr>
      <w:r w:rsidRPr="00FD655F">
        <w:t>–</w:t>
      </w:r>
      <w:r w:rsidRPr="00FD655F">
        <w:tab/>
        <w:t>Tendo em conta o artigo 71.º, n.</w:t>
      </w:r>
      <w:r w:rsidRPr="00FD655F">
        <w:rPr>
          <w:vertAlign w:val="superscript"/>
        </w:rPr>
        <w:t>os</w:t>
      </w:r>
      <w:r w:rsidRPr="00FD655F">
        <w:t xml:space="preserve"> 1 e 2, da Constituição espanhola,</w:t>
      </w:r>
    </w:p>
    <w:p w:rsidR="0087320E" w:rsidRPr="00FD655F" w:rsidP="0087320E" w14:paraId="1B62B6EA" w14:textId="77777777">
      <w:pPr>
        <w:pStyle w:val="NormalHanging12a"/>
      </w:pPr>
      <w:r w:rsidRPr="00FD655F">
        <w:t>–</w:t>
      </w:r>
      <w:r w:rsidRPr="00FD655F">
        <w:tab/>
        <w:t>Tendo em conta o artigo 5.º, n.º 2, o artigo 6.º, n.º 1, e o artigo 9.º do seu Regimento,</w:t>
      </w:r>
    </w:p>
    <w:p w:rsidR="0087320E" w:rsidRPr="00FD655F" w:rsidP="0087320E" w14:paraId="350FE1CF" w14:textId="77777777">
      <w:pPr>
        <w:pStyle w:val="NormalHanging12a"/>
      </w:pPr>
      <w:r w:rsidRPr="00FD655F">
        <w:t>–</w:t>
      </w:r>
      <w:r w:rsidRPr="00FD655F">
        <w:tab/>
        <w:t>Tendo em conta o relatório da Comissão dos Assuntos Jurídicos (A10</w:t>
      </w:r>
      <w:r w:rsidRPr="00FD655F">
        <w:noBreakHyphen/>
        <w:t>0119/2026),</w:t>
      </w:r>
    </w:p>
    <w:p w:rsidR="0087320E" w:rsidRPr="00FD655F" w:rsidP="0087320E" w14:paraId="3D56A1E2" w14:textId="77777777">
      <w:pPr>
        <w:pStyle w:val="NormalHanging12a"/>
      </w:pPr>
      <w:r w:rsidRPr="00FD655F">
        <w:t>A.</w:t>
      </w:r>
      <w:r w:rsidRPr="00FD655F">
        <w:tab/>
        <w:t xml:space="preserve">Considerando que, por carta de 7 de outubro de 2025, o presidente do Supremo Tribunal de Espanha transmitiu um pedido de levantamento da imunidade de </w:t>
      </w:r>
      <w:r w:rsidRPr="00FD655F">
        <w:t>Alvise</w:t>
      </w:r>
      <w:r w:rsidRPr="00FD655F">
        <w:t xml:space="preserve"> Pérez, deputado ao Parlamento Europeu eleito em Espanha, relativo a crimes alegadamente praticados em 2024;</w:t>
      </w:r>
    </w:p>
    <w:p w:rsidR="0087320E" w:rsidRPr="00FD655F" w:rsidP="00FD655F" w14:paraId="3F8D3338" w14:textId="14905488">
      <w:pPr>
        <w:pStyle w:val="Normal12a"/>
        <w:ind w:left="567" w:hanging="567"/>
      </w:pPr>
      <w:r w:rsidRPr="00FD655F">
        <w:rPr>
          <w:shd w:val="clear" w:color="auto" w:fill="FFFFFF"/>
        </w:rPr>
        <w:t>B.</w:t>
      </w:r>
      <w:r w:rsidRPr="00FD655F">
        <w:rPr>
          <w:shd w:val="clear" w:color="auto" w:fill="FFFFFF"/>
        </w:rPr>
        <w:tab/>
      </w:r>
      <w:r w:rsidRPr="00FD655F">
        <w:t xml:space="preserve">Considerando que o pedido indica que, em janeiro e fevereiro de 2024, o administrador de um canal do </w:t>
      </w:r>
      <w:r w:rsidRPr="00FD655F">
        <w:t>Telegram</w:t>
      </w:r>
      <w:r w:rsidRPr="00FD655F">
        <w:t xml:space="preserve"> denominado «</w:t>
      </w:r>
      <w:r w:rsidRPr="00FD655F">
        <w:t>Alvise</w:t>
      </w:r>
      <w:r w:rsidRPr="00FD655F">
        <w:t xml:space="preserve"> Pérez Chat» terá publicado declarações que mencionavam os nomes dos «responsáveis pela perseguição ideológica conhecida como crimes de ódio», visando, em particular, o procurador delegado </w:t>
      </w:r>
      <w:r w:rsidRPr="00FD655F" w:rsidR="00C008B7">
        <w:t xml:space="preserve">do Ministério Público </w:t>
      </w:r>
      <w:r w:rsidRPr="00FD655F">
        <w:t xml:space="preserve">para os crimes de ódio em Valência; </w:t>
      </w:r>
      <w:r w:rsidRPr="00FD655F" w:rsidR="0013691E">
        <w:t xml:space="preserve">considerando </w:t>
      </w:r>
      <w:r w:rsidRPr="00FD655F">
        <w:t xml:space="preserve">que as declarações publicadas nesse canal geraram uma reação imediata de inúmeros inscritos no canal, que enviaram mais de 1 500 comentários </w:t>
      </w:r>
      <w:r w:rsidRPr="00FD655F" w:rsidR="00C008B7">
        <w:t>àquele</w:t>
      </w:r>
      <w:r w:rsidRPr="00FD655F">
        <w:t xml:space="preserve"> procurador delegado, na sua maioria de natureza insultuosa; que o alegado comportamento pode</w:t>
      </w:r>
      <w:r w:rsidRPr="00FD655F" w:rsidR="00C008B7">
        <w:t>rá</w:t>
      </w:r>
      <w:r w:rsidRPr="00FD655F">
        <w:t xml:space="preserve"> </w:t>
      </w:r>
      <w:r w:rsidRPr="00FD655F" w:rsidR="00C008B7">
        <w:t xml:space="preserve">configurar a prática de </w:t>
      </w:r>
      <w:r w:rsidRPr="00FD655F">
        <w:t xml:space="preserve"> crimes de assédio ou perseguição, incitamento à prática de agressão contra uma autoridade ou um funcionário público, coação e/ou propagação do ódio através das redes sociais, nos termos do artigo 172.º</w:t>
      </w:r>
      <w:r w:rsidRPr="00FD655F">
        <w:noBreakHyphen/>
        <w:t>ter e do artigo 18.º, n.º 1, do Código Penal espanhol, em conjugação com o artigo 553.º do Código Penal espanhol.</w:t>
      </w:r>
    </w:p>
    <w:p w:rsidR="0087320E" w:rsidRPr="00FD655F" w:rsidP="0087320E" w14:paraId="26F2B633" w14:textId="77777777">
      <w:pPr>
        <w:pStyle w:val="NormalHanging12a"/>
        <w:rPr>
          <w:szCs w:val="24"/>
          <w:shd w:val="clear" w:color="auto" w:fill="FFFFFF"/>
        </w:rPr>
      </w:pPr>
      <w:r w:rsidRPr="00FD655F">
        <w:t>C.</w:t>
      </w:r>
      <w:r w:rsidRPr="00FD655F">
        <w:tab/>
      </w:r>
      <w:r w:rsidRPr="00FD655F">
        <w:rPr>
          <w:shd w:val="clear" w:color="auto" w:fill="FFFFFF"/>
        </w:rPr>
        <w:t xml:space="preserve">Considerando que </w:t>
      </w:r>
      <w:r w:rsidRPr="00FD655F">
        <w:t>Alvise</w:t>
      </w:r>
      <w:r w:rsidRPr="00FD655F">
        <w:t xml:space="preserve"> Pérez</w:t>
      </w:r>
      <w:r w:rsidRPr="00FD655F">
        <w:rPr>
          <w:shd w:val="clear" w:color="auto" w:fill="FFFFFF"/>
        </w:rPr>
        <w:t xml:space="preserve"> foi eleito para o Parlamento Europeu nas eleições europeias de junho de 2024 e que, por conseguinte, não era deputado ao Parlamento Europeu no momento da prática dos alegados crimes; </w:t>
      </w:r>
    </w:p>
    <w:p w:rsidR="0087320E" w:rsidRPr="00FD655F" w:rsidP="0087320E" w14:paraId="4844879C" w14:textId="5EC71341">
      <w:pPr>
        <w:pStyle w:val="NormalHanging12a"/>
      </w:pPr>
      <w:r w:rsidRPr="00FD655F">
        <w:t>D.</w:t>
      </w:r>
      <w:r w:rsidRPr="00FD655F">
        <w:tab/>
        <w:t xml:space="preserve">Considerando que os alegados crimes não </w:t>
      </w:r>
      <w:r w:rsidRPr="00FD655F" w:rsidR="00EB39D2">
        <w:t>constituem</w:t>
      </w:r>
      <w:r w:rsidRPr="00FD655F">
        <w:t xml:space="preserve"> uma opinião ou um voto emitido por </w:t>
      </w:r>
      <w:r w:rsidRPr="00FD655F">
        <w:t>Alvise</w:t>
      </w:r>
      <w:r w:rsidRPr="00FD655F">
        <w:t xml:space="preserve"> Pérez no exercício das suas funções, na aceção do artigo 8.º do Protocolo n.º 7 relativo aos Privilégios e Imunidades da União Europeia, nem o pedido subsequente de levantamento da imunidade de </w:t>
      </w:r>
      <w:r w:rsidRPr="00FD655F">
        <w:t>Alvise</w:t>
      </w:r>
      <w:r w:rsidRPr="00FD655F">
        <w:t xml:space="preserve"> Pérez está relacionado com tal opinião ou voto;</w:t>
      </w:r>
    </w:p>
    <w:p w:rsidR="0087320E" w:rsidRPr="00FD655F" w:rsidP="0087320E" w14:paraId="081357A6" w14:textId="77777777">
      <w:pPr>
        <w:pStyle w:val="NormalHanging12a"/>
      </w:pPr>
      <w:r w:rsidRPr="00FD655F">
        <w:t>E.</w:t>
      </w:r>
      <w:r w:rsidRPr="00FD655F">
        <w:tab/>
        <w:t>Considerando que o artigo 9.º, primeiro parágrafo, alínea a), do Protocolo n.º 7 relativo aos Privilégios e Imunidades da União Europeia prevê que, enquanto durarem as sessões do Parlamento Europeu, os seus membros beneficiam, no seu território nacional, das imunidades reconhecidas aos membros do Parlamento do seu Estado</w:t>
      </w:r>
      <w:r w:rsidRPr="00FD655F">
        <w:noBreakHyphen/>
        <w:t>Membro;</w:t>
      </w:r>
    </w:p>
    <w:p w:rsidR="0087320E" w:rsidRPr="00FD655F" w:rsidP="0087320E" w14:paraId="691624F6" w14:textId="77777777">
      <w:pPr>
        <w:pStyle w:val="Normal12Hanging"/>
      </w:pPr>
      <w:r w:rsidRPr="00FD655F">
        <w:t>F.</w:t>
      </w:r>
      <w:r w:rsidRPr="00FD655F">
        <w:tab/>
        <w:t>Considerando que o artigo 71.º, n.</w:t>
      </w:r>
      <w:r w:rsidRPr="00FD655F">
        <w:rPr>
          <w:vertAlign w:val="superscript"/>
        </w:rPr>
        <w:t>os</w:t>
      </w:r>
      <w:r w:rsidRPr="00FD655F">
        <w:t> 1 e 2, da Constituição espanhola prevê que:</w:t>
      </w:r>
    </w:p>
    <w:p w:rsidR="0087320E" w:rsidRPr="00FD655F" w:rsidP="00FD655F" w14:paraId="1194F146" w14:textId="39F706CB">
      <w:pPr>
        <w:pStyle w:val="Normal12Hanging"/>
        <w:ind w:left="1134"/>
        <w:rPr>
          <w:iCs/>
        </w:rPr>
      </w:pPr>
      <w:r w:rsidRPr="00FD655F">
        <w:t>«</w:t>
      </w:r>
      <w:r w:rsidRPr="00FD655F">
        <w:t>1)</w:t>
      </w:r>
      <w:r w:rsidRPr="00FD655F">
        <w:tab/>
      </w:r>
      <w:r w:rsidRPr="00FD655F">
        <w:t xml:space="preserve">Os deputados e os senadores gozam de </w:t>
      </w:r>
      <w:r w:rsidRPr="00FD655F" w:rsidR="004A3F05">
        <w:t xml:space="preserve">imunidade </w:t>
      </w:r>
      <w:r w:rsidRPr="00FD655F">
        <w:t>pelas opiniões emit</w:t>
      </w:r>
      <w:r w:rsidRPr="00FD655F">
        <w:t>idas</w:t>
      </w:r>
      <w:r w:rsidRPr="00FD655F">
        <w:t xml:space="preserve"> no exercício das suas funções;</w:t>
      </w:r>
    </w:p>
    <w:p w:rsidR="0087320E" w:rsidRPr="00FD655F" w:rsidP="00FD655F" w14:paraId="19F8C03B" w14:textId="0C634D25">
      <w:pPr>
        <w:pStyle w:val="NormalHanging12a"/>
        <w:ind w:left="1134"/>
        <w:rPr>
          <w:iCs/>
          <w:color w:val="000000"/>
        </w:rPr>
      </w:pPr>
      <w:r w:rsidRPr="00FD655F">
        <w:t>2)</w:t>
      </w:r>
      <w:r w:rsidRPr="00FD655F" w:rsidR="00EB39D2">
        <w:tab/>
      </w:r>
      <w:r w:rsidRPr="00FD655F">
        <w:t xml:space="preserve">Durante o </w:t>
      </w:r>
      <w:r w:rsidRPr="00FD655F" w:rsidR="00EB39D2">
        <w:t xml:space="preserve">respetivo </w:t>
      </w:r>
      <w:r w:rsidRPr="00FD655F">
        <w:t xml:space="preserve">mandato, os deputados e os senadores </w:t>
      </w:r>
      <w:r w:rsidRPr="00FD655F" w:rsidR="00EB39D2">
        <w:t xml:space="preserve">gozam </w:t>
      </w:r>
      <w:r w:rsidRPr="00FD655F">
        <w:t xml:space="preserve">igualmente de imunidade </w:t>
      </w:r>
      <w:r w:rsidRPr="00FD655F" w:rsidR="00EB39D2">
        <w:t>e só podem ser detidos ou presos</w:t>
      </w:r>
      <w:r w:rsidRPr="00FD655F">
        <w:t xml:space="preserve"> em caso de flagrante delito. Não podem ser </w:t>
      </w:r>
      <w:r w:rsidRPr="00FD655F" w:rsidR="00F43A3D">
        <w:t xml:space="preserve"> constituídos arguidos nem sujeitos à ação penal</w:t>
      </w:r>
      <w:r w:rsidRPr="00FD655F">
        <w:t xml:space="preserve"> </w:t>
      </w:r>
      <w:r w:rsidRPr="00FD655F" w:rsidR="004A3F05">
        <w:t xml:space="preserve"> </w:t>
      </w:r>
      <w:r w:rsidRPr="00FD655F">
        <w:t>sem autorização prévia da Câmara</w:t>
      </w:r>
      <w:r w:rsidRPr="00FD655F" w:rsidR="00F43A3D">
        <w:t xml:space="preserve"> a que pertencem.</w:t>
      </w:r>
      <w:r w:rsidRPr="00FD655F" w:rsidR="00EB39D2">
        <w:t>»</w:t>
      </w:r>
      <w:r w:rsidRPr="00FD655F">
        <w:t>;</w:t>
      </w:r>
    </w:p>
    <w:p w:rsidR="0087320E" w:rsidRPr="00FD655F" w:rsidP="0087320E" w14:paraId="76F35AF1" w14:textId="5893434E">
      <w:pPr>
        <w:pStyle w:val="NormalHanging12a"/>
        <w:rPr>
          <w:color w:val="000000"/>
        </w:rPr>
      </w:pPr>
      <w:r w:rsidRPr="00FD655F">
        <w:rPr>
          <w:color w:val="000000"/>
        </w:rPr>
        <w:t>G.</w:t>
      </w:r>
      <w:r w:rsidRPr="00FD655F">
        <w:rPr>
          <w:color w:val="000000"/>
        </w:rPr>
        <w:tab/>
        <w:t xml:space="preserve">Considerando que o objetivo da imunidade prevista no Protocolo n.º 7 relativo aos Privilégios e Imunidades da União Europeia </w:t>
      </w:r>
      <w:r w:rsidRPr="00FD655F" w:rsidR="00FB2D88">
        <w:rPr>
          <w:color w:val="000000"/>
        </w:rPr>
        <w:t xml:space="preserve">consiste em </w:t>
      </w:r>
      <w:r w:rsidRPr="00FD655F">
        <w:rPr>
          <w:color w:val="000000"/>
        </w:rPr>
        <w:t>proteger o Parlamento e os seus deputados contra processos judiciais relacionados com atividades exercidas no desempenho das suas funções parlamentares e que não podem ser separadas dessas funções;</w:t>
      </w:r>
    </w:p>
    <w:p w:rsidR="0087320E" w:rsidRPr="00FD655F" w:rsidP="0087320E" w14:paraId="70F4C2A3" w14:textId="5AD7D2C4">
      <w:pPr>
        <w:pStyle w:val="NormalHanging12a"/>
        <w:rPr>
          <w:color w:val="000000"/>
        </w:rPr>
      </w:pPr>
      <w:r w:rsidRPr="00FD655F">
        <w:rPr>
          <w:color w:val="000000"/>
        </w:rPr>
        <w:t>H.</w:t>
      </w:r>
      <w:r w:rsidRPr="00FD655F">
        <w:rPr>
          <w:color w:val="000000"/>
        </w:rPr>
        <w:tab/>
        <w:t>Considerando que, nos termos do artigo 5.º, n.º 2, do seu Regimento, a imunidade parlamentar não é um privilégio pessoal dos deputados, mas sim uma garantia da independência do Parlamento como um todo, e dos seus membros;</w:t>
      </w:r>
    </w:p>
    <w:p w:rsidR="0087320E" w:rsidRPr="00FD655F" w:rsidP="0087320E" w14:paraId="78DBE76A" w14:textId="24290758">
      <w:pPr>
        <w:pStyle w:val="NormalHanging12a"/>
        <w:rPr>
          <w:color w:val="000000"/>
        </w:rPr>
      </w:pPr>
      <w:r w:rsidRPr="00FD655F">
        <w:rPr>
          <w:color w:val="000000"/>
        </w:rPr>
        <w:t>I.</w:t>
      </w:r>
      <w:r w:rsidRPr="00FD655F">
        <w:rPr>
          <w:color w:val="000000"/>
        </w:rPr>
        <w:tab/>
        <w:t xml:space="preserve">Considerando que, no caso em apreço, o Parlamento não conseguiu </w:t>
      </w:r>
      <w:r w:rsidRPr="00FD655F" w:rsidR="00F43A3D">
        <w:rPr>
          <w:color w:val="000000"/>
        </w:rPr>
        <w:t>encontrou indícios</w:t>
      </w:r>
      <w:r w:rsidRPr="00FD655F">
        <w:rPr>
          <w:color w:val="000000"/>
        </w:rPr>
        <w:t xml:space="preserve"> de </w:t>
      </w:r>
      <w:r w:rsidRPr="00FD655F">
        <w:rPr>
          <w:i/>
          <w:iCs/>
          <w:color w:val="000000"/>
        </w:rPr>
        <w:t>fumus</w:t>
      </w:r>
      <w:r w:rsidRPr="00FD655F">
        <w:rPr>
          <w:i/>
          <w:iCs/>
          <w:color w:val="000000"/>
        </w:rPr>
        <w:t xml:space="preserve"> </w:t>
      </w:r>
      <w:r w:rsidRPr="00FD655F">
        <w:rPr>
          <w:i/>
          <w:iCs/>
          <w:color w:val="000000"/>
        </w:rPr>
        <w:t>persecutionis</w:t>
      </w:r>
      <w:r w:rsidRPr="00FD655F">
        <w:rPr>
          <w:color w:val="000000"/>
        </w:rPr>
        <w:t xml:space="preserve">, ou seja, </w:t>
      </w:r>
      <w:r w:rsidRPr="00FD655F" w:rsidR="00F43A3D">
        <w:rPr>
          <w:color w:val="000000"/>
        </w:rPr>
        <w:t>não parece que a intenção subjacente ao</w:t>
      </w:r>
      <w:r w:rsidRPr="00FD655F">
        <w:rPr>
          <w:color w:val="000000"/>
        </w:rPr>
        <w:t xml:space="preserve"> processo judicial em causa </w:t>
      </w:r>
      <w:r w:rsidRPr="00FD655F" w:rsidR="00F43A3D">
        <w:rPr>
          <w:color w:val="000000"/>
        </w:rPr>
        <w:t>tenha sido a</w:t>
      </w:r>
      <w:r w:rsidRPr="00FD655F">
        <w:rPr>
          <w:color w:val="000000"/>
        </w:rPr>
        <w:t xml:space="preserve"> de prejudicar a atividade política de </w:t>
      </w:r>
      <w:r w:rsidRPr="00FD655F">
        <w:rPr>
          <w:color w:val="000000"/>
        </w:rPr>
        <w:t>Alvise</w:t>
      </w:r>
      <w:r w:rsidRPr="00FD655F">
        <w:rPr>
          <w:color w:val="000000"/>
        </w:rPr>
        <w:t xml:space="preserve"> Pérez enquanto deputado ao Parlamento Europeu</w:t>
      </w:r>
      <w:r w:rsidRPr="00FD655F" w:rsidR="00F43A3D">
        <w:rPr>
          <w:color w:val="000000"/>
        </w:rPr>
        <w:t xml:space="preserve"> e, por conseguinte, a independência do Parlamento</w:t>
      </w:r>
      <w:r w:rsidRPr="00FD655F">
        <w:rPr>
          <w:color w:val="000000"/>
        </w:rPr>
        <w:t>;</w:t>
      </w:r>
    </w:p>
    <w:p w:rsidR="0087320E" w:rsidRPr="00FD655F" w:rsidP="0087320E" w14:paraId="2749C59F" w14:textId="77777777">
      <w:pPr>
        <w:pStyle w:val="NormalHanging12a"/>
        <w:rPr>
          <w:color w:val="000000"/>
        </w:rPr>
      </w:pPr>
      <w:r w:rsidRPr="00FD655F">
        <w:rPr>
          <w:color w:val="000000"/>
        </w:rPr>
        <w:t>J.</w:t>
      </w:r>
      <w:r w:rsidRPr="00FD655F">
        <w:rPr>
          <w:color w:val="000000"/>
        </w:rPr>
        <w:tab/>
        <w:t>Considerando, por um lado, que o Parlamento não pode ser equiparado a um tribunal e que, por outro, o deputado, no contexto de um processo de levantamento da imunidade, não pode ser considerado «arguido»</w:t>
      </w:r>
      <w:r>
        <w:rPr>
          <w:color w:val="000000"/>
          <w:vertAlign w:val="superscript"/>
        </w:rPr>
        <w:footnoteReference w:id="3"/>
      </w:r>
      <w:r w:rsidRPr="00FD655F">
        <w:rPr>
          <w:color w:val="000000"/>
        </w:rPr>
        <w:t>;</w:t>
      </w:r>
    </w:p>
    <w:p w:rsidR="0087320E" w:rsidRPr="00FD655F" w:rsidP="0087320E" w14:paraId="542F1ED5" w14:textId="77777777">
      <w:pPr>
        <w:pStyle w:val="NormalHanging12a"/>
        <w:rPr>
          <w:color w:val="000000"/>
        </w:rPr>
      </w:pPr>
      <w:r w:rsidRPr="00FD655F">
        <w:rPr>
          <w:color w:val="000000"/>
        </w:rPr>
        <w:t>1.</w:t>
      </w:r>
      <w:r w:rsidRPr="00FD655F">
        <w:rPr>
          <w:color w:val="000000"/>
        </w:rPr>
        <w:tab/>
        <w:t xml:space="preserve">Decide levantar a imunidade de </w:t>
      </w:r>
      <w:r w:rsidRPr="00FD655F">
        <w:rPr>
          <w:color w:val="000000"/>
        </w:rPr>
        <w:t>Alvise</w:t>
      </w:r>
      <w:r w:rsidRPr="00FD655F">
        <w:rPr>
          <w:color w:val="000000"/>
        </w:rPr>
        <w:t xml:space="preserve"> Pérez;</w:t>
      </w:r>
    </w:p>
    <w:p w:rsidR="00603702" w:rsidRPr="00FD655F" w:rsidP="00603702" w14:paraId="2EBEA274" w14:textId="550B85AC">
      <w:pPr>
        <w:pStyle w:val="NormalHanging12a"/>
      </w:pPr>
      <w:r w:rsidRPr="00FD655F">
        <w:t>2.</w:t>
      </w:r>
      <w:r w:rsidRPr="00FD655F">
        <w:tab/>
        <w:t xml:space="preserve">Encarrega a sua Presidente de transmitir de imediato a presente decisão, bem como o relatório da sua comissão </w:t>
      </w:r>
      <w:r w:rsidRPr="00FD655F" w:rsidR="004F38B3">
        <w:t>competente</w:t>
      </w:r>
      <w:r w:rsidRPr="00FD655F">
        <w:t xml:space="preserve">, às autoridades competentes do Reino de Espanha e a </w:t>
      </w:r>
      <w:r w:rsidRPr="00FD655F">
        <w:t>Alvise</w:t>
      </w:r>
      <w:r w:rsidRPr="00FD655F">
        <w:t xml:space="preserve"> Pérez.</w:t>
      </w:r>
    </w:p>
    <w:p w:rsidR="00E365E1" w:rsidRPr="00FD655F" w:rsidP="003F4767" w14:paraId="77646157" w14:textId="4AC2A278"/>
    <w:sectPr w:rsidSect="0060370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3702" w14:paraId="03CD1A4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3702" w14:paraId="3B57A3F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3702" w14:paraId="4E6EB0D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4767" w:rsidRPr="00603702" w14:paraId="14F51652" w14:textId="77777777">
      <w:r w:rsidRPr="00603702">
        <w:separator/>
      </w:r>
    </w:p>
  </w:footnote>
  <w:footnote w:type="continuationSeparator" w:id="1">
    <w:p w:rsidR="003F4767" w:rsidRPr="00603702" w14:paraId="7C928143" w14:textId="77777777">
      <w:r w:rsidRPr="00603702">
        <w:continuationSeparator/>
      </w:r>
    </w:p>
  </w:footnote>
  <w:footnote w:id="2">
    <w:p w:rsidR="0087320E" w:rsidRPr="00603702" w:rsidP="00603702" w14:paraId="72F1ABF8" w14:textId="36AAA87D">
      <w:pPr>
        <w:pStyle w:val="FootnoteText"/>
        <w:ind w:left="567" w:hanging="567"/>
        <w:rPr>
          <w:sz w:val="24"/>
          <w:lang w:val="pt-PT"/>
        </w:rPr>
      </w:pPr>
      <w:r w:rsidRPr="00603702">
        <w:rPr>
          <w:rStyle w:val="FootnoteReference"/>
          <w:sz w:val="24"/>
          <w:lang w:val="pt-PT"/>
        </w:rPr>
        <w:footnoteRef/>
      </w:r>
      <w:r w:rsidRPr="00603702" w:rsidR="00603702">
        <w:rPr>
          <w:sz w:val="24"/>
          <w:lang w:val="pt-PT"/>
        </w:rPr>
        <w:t xml:space="preserve"> </w:t>
      </w:r>
      <w:r w:rsidRPr="00603702" w:rsidR="00603702">
        <w:rPr>
          <w:sz w:val="24"/>
          <w:lang w:val="pt-PT"/>
        </w:rPr>
        <w:tab/>
      </w:r>
      <w:r w:rsidRPr="00603702">
        <w:rPr>
          <w:sz w:val="24"/>
          <w:lang w:val="pt-PT"/>
        </w:rPr>
        <w:t xml:space="preserve">Acórdão do Tribunal de Justiça de 21 de outubro de 2008, Marra/De </w:t>
      </w:r>
      <w:r w:rsidRPr="00603702">
        <w:rPr>
          <w:sz w:val="24"/>
          <w:lang w:val="pt-PT"/>
        </w:rPr>
        <w:t>Gregorio</w:t>
      </w:r>
      <w:r w:rsidRPr="00603702">
        <w:rPr>
          <w:sz w:val="24"/>
          <w:lang w:val="pt-PT"/>
        </w:rPr>
        <w:t xml:space="preserve"> e Clemente, C</w:t>
      </w:r>
      <w:r w:rsidRPr="00603702">
        <w:rPr>
          <w:sz w:val="24"/>
          <w:lang w:val="pt-PT"/>
        </w:rPr>
        <w:noBreakHyphen/>
        <w:t>200/07 e C</w:t>
      </w:r>
      <w:r w:rsidRPr="00603702">
        <w:rPr>
          <w:sz w:val="24"/>
          <w:lang w:val="pt-PT"/>
        </w:rPr>
        <w:noBreakHyphen/>
        <w:t xml:space="preserve">201/07, ECLI:EU:C:2008:579; Acórdão do Tribunal Geral de 19 de março de 2010, </w:t>
      </w:r>
      <w:r w:rsidRPr="00603702">
        <w:rPr>
          <w:sz w:val="24"/>
          <w:lang w:val="pt-PT"/>
        </w:rPr>
        <w:t>Gollnisch</w:t>
      </w:r>
      <w:r w:rsidRPr="00603702">
        <w:rPr>
          <w:sz w:val="24"/>
          <w:lang w:val="pt-PT"/>
        </w:rPr>
        <w:t>/Parlamento Europeu, T</w:t>
      </w:r>
      <w:r w:rsidRPr="00603702">
        <w:rPr>
          <w:sz w:val="24"/>
          <w:lang w:val="pt-PT"/>
        </w:rPr>
        <w:noBreakHyphen/>
        <w:t xml:space="preserve">42/06, ECLI:EU:T:2010:102; Acórdão do Tribunal de Justiça de 6 de setembro de 2011, </w:t>
      </w:r>
      <w:r w:rsidRPr="00603702">
        <w:rPr>
          <w:sz w:val="24"/>
          <w:lang w:val="pt-PT"/>
        </w:rPr>
        <w:t>Patriciello</w:t>
      </w:r>
      <w:r w:rsidRPr="00603702">
        <w:rPr>
          <w:sz w:val="24"/>
          <w:lang w:val="pt-PT"/>
        </w:rPr>
        <w:t>, C</w:t>
      </w:r>
      <w:r w:rsidRPr="00603702">
        <w:rPr>
          <w:sz w:val="24"/>
          <w:lang w:val="pt-PT"/>
        </w:rPr>
        <w:noBreakHyphen/>
        <w:t xml:space="preserve">163/10, ECLI: EU:C:2011:543; Acórdão do Tribunal Geral de 17 de janeiro de 2013, </w:t>
      </w:r>
      <w:r w:rsidRPr="00603702">
        <w:rPr>
          <w:sz w:val="24"/>
          <w:lang w:val="pt-PT"/>
        </w:rPr>
        <w:t>Gollnisch</w:t>
      </w:r>
      <w:r w:rsidRPr="00603702">
        <w:rPr>
          <w:sz w:val="24"/>
          <w:lang w:val="pt-PT"/>
        </w:rPr>
        <w:t>/Parlamento Europeu, T</w:t>
      </w:r>
      <w:r w:rsidRPr="00603702">
        <w:rPr>
          <w:sz w:val="24"/>
          <w:lang w:val="pt-PT"/>
        </w:rPr>
        <w:noBreakHyphen/>
        <w:t>346/11 e T</w:t>
      </w:r>
      <w:r w:rsidRPr="00603702">
        <w:rPr>
          <w:sz w:val="24"/>
          <w:lang w:val="pt-PT"/>
        </w:rPr>
        <w:noBreakHyphen/>
        <w:t xml:space="preserve">347/11, ECLI:EU:T:2013:23; Acórdão do Tribunal de Justiça de 19 de dezembro de 2019, </w:t>
      </w:r>
      <w:r w:rsidRPr="00603702">
        <w:rPr>
          <w:sz w:val="24"/>
          <w:lang w:val="pt-PT"/>
        </w:rPr>
        <w:t>Junqueras</w:t>
      </w:r>
      <w:r w:rsidRPr="00603702">
        <w:rPr>
          <w:sz w:val="24"/>
          <w:lang w:val="pt-PT"/>
        </w:rPr>
        <w:t xml:space="preserve"> </w:t>
      </w:r>
      <w:r w:rsidRPr="00603702">
        <w:rPr>
          <w:sz w:val="24"/>
          <w:lang w:val="pt-PT"/>
        </w:rPr>
        <w:t>Vies</w:t>
      </w:r>
      <w:r w:rsidRPr="00603702">
        <w:rPr>
          <w:sz w:val="24"/>
          <w:lang w:val="pt-PT"/>
        </w:rPr>
        <w:t>, C</w:t>
      </w:r>
      <w:r w:rsidRPr="00603702">
        <w:rPr>
          <w:sz w:val="24"/>
          <w:lang w:val="pt-PT"/>
        </w:rPr>
        <w:noBreakHyphen/>
        <w:t>502/19, ECLI:EU:C:2019:1115.</w:t>
      </w:r>
    </w:p>
  </w:footnote>
  <w:footnote w:id="3">
    <w:p w:rsidR="0087320E" w:rsidRPr="00603702" w:rsidP="00603702" w14:paraId="3C5F313F" w14:textId="4D5EA57F">
      <w:pPr>
        <w:pStyle w:val="FootnoteText"/>
        <w:ind w:left="567" w:hanging="567"/>
        <w:rPr>
          <w:sz w:val="24"/>
          <w:lang w:val="pt-PT"/>
        </w:rPr>
      </w:pPr>
      <w:r w:rsidRPr="00603702">
        <w:rPr>
          <w:rStyle w:val="FootnoteReference"/>
          <w:sz w:val="24"/>
          <w:lang w:val="pt-PT"/>
        </w:rPr>
        <w:footnoteRef/>
      </w:r>
      <w:r w:rsidRPr="00603702" w:rsidR="00603702">
        <w:rPr>
          <w:sz w:val="24"/>
          <w:lang w:val="pt-PT"/>
        </w:rPr>
        <w:t xml:space="preserve"> </w:t>
      </w:r>
      <w:r w:rsidRPr="00603702" w:rsidR="00603702">
        <w:rPr>
          <w:sz w:val="24"/>
          <w:lang w:val="pt-PT"/>
        </w:rPr>
        <w:tab/>
      </w:r>
      <w:r w:rsidRPr="00603702">
        <w:rPr>
          <w:sz w:val="24"/>
          <w:lang w:val="pt-PT"/>
        </w:rPr>
        <w:t xml:space="preserve">Acórdão do Tribunal Geral de 30 de abril de 2019, </w:t>
      </w:r>
      <w:r w:rsidRPr="00603702">
        <w:rPr>
          <w:sz w:val="24"/>
          <w:lang w:val="pt-PT"/>
        </w:rPr>
        <w:t>Briois</w:t>
      </w:r>
      <w:r w:rsidRPr="00603702">
        <w:rPr>
          <w:sz w:val="24"/>
          <w:lang w:val="pt-PT"/>
        </w:rPr>
        <w:t>/Parlamento Europeu, T</w:t>
      </w:r>
      <w:r w:rsidRPr="00603702">
        <w:rPr>
          <w:sz w:val="24"/>
          <w:lang w:val="pt-PT"/>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3702" w14:paraId="0742C4B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3702" w14:paraId="0D12FFF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3702" w14:paraId="4CE3235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7613460">
    <w:abstractNumId w:val="9"/>
  </w:num>
  <w:num w:numId="2" w16cid:durableId="220137115">
    <w:abstractNumId w:val="9"/>
  </w:num>
  <w:num w:numId="3" w16cid:durableId="669991121">
    <w:abstractNumId w:val="7"/>
  </w:num>
  <w:num w:numId="4" w16cid:durableId="1266813902">
    <w:abstractNumId w:val="7"/>
  </w:num>
  <w:num w:numId="5" w16cid:durableId="519508225">
    <w:abstractNumId w:val="6"/>
  </w:num>
  <w:num w:numId="6" w16cid:durableId="1861310357">
    <w:abstractNumId w:val="6"/>
  </w:num>
  <w:num w:numId="7" w16cid:durableId="505558523">
    <w:abstractNumId w:val="5"/>
  </w:num>
  <w:num w:numId="8" w16cid:durableId="1004622896">
    <w:abstractNumId w:val="5"/>
  </w:num>
  <w:num w:numId="9" w16cid:durableId="1323776313">
    <w:abstractNumId w:val="4"/>
  </w:num>
  <w:num w:numId="10" w16cid:durableId="650406729">
    <w:abstractNumId w:val="4"/>
  </w:num>
  <w:num w:numId="11" w16cid:durableId="894240597">
    <w:abstractNumId w:val="8"/>
  </w:num>
  <w:num w:numId="12" w16cid:durableId="1380590513">
    <w:abstractNumId w:val="8"/>
  </w:num>
  <w:num w:numId="13" w16cid:durableId="1034691592">
    <w:abstractNumId w:val="3"/>
  </w:num>
  <w:num w:numId="14" w16cid:durableId="267856326">
    <w:abstractNumId w:val="3"/>
  </w:num>
  <w:num w:numId="15" w16cid:durableId="1532256265">
    <w:abstractNumId w:val="2"/>
  </w:num>
  <w:num w:numId="16" w16cid:durableId="1959485225">
    <w:abstractNumId w:val="2"/>
  </w:num>
  <w:num w:numId="17" w16cid:durableId="957370175">
    <w:abstractNumId w:val="1"/>
  </w:num>
  <w:num w:numId="18" w16cid:durableId="1215312176">
    <w:abstractNumId w:val="1"/>
  </w:num>
  <w:num w:numId="19" w16cid:durableId="1395467785">
    <w:abstractNumId w:val="0"/>
  </w:num>
  <w:num w:numId="20" w16cid:durableId="1462384637">
    <w:abstractNumId w:val="0"/>
  </w:num>
  <w:num w:numId="21" w16cid:durableId="2008359727">
    <w:abstractNumId w:val="9"/>
  </w:num>
  <w:num w:numId="22" w16cid:durableId="879589725">
    <w:abstractNumId w:val="7"/>
  </w:num>
  <w:num w:numId="23" w16cid:durableId="1378238218">
    <w:abstractNumId w:val="6"/>
  </w:num>
  <w:num w:numId="24" w16cid:durableId="663976301">
    <w:abstractNumId w:val="5"/>
  </w:num>
  <w:num w:numId="25" w16cid:durableId="1572538526">
    <w:abstractNumId w:val="4"/>
  </w:num>
  <w:num w:numId="26" w16cid:durableId="1323042437">
    <w:abstractNumId w:val="8"/>
  </w:num>
  <w:num w:numId="27" w16cid:durableId="662273762">
    <w:abstractNumId w:val="3"/>
  </w:num>
  <w:num w:numId="28" w16cid:durableId="1176070756">
    <w:abstractNumId w:val="2"/>
  </w:num>
  <w:num w:numId="29" w16cid:durableId="599945938">
    <w:abstractNumId w:val="1"/>
  </w:num>
  <w:num w:numId="30" w16cid:durableId="277614701">
    <w:abstractNumId w:val="0"/>
  </w:num>
  <w:num w:numId="31" w16cid:durableId="282346413">
    <w:abstractNumId w:val="9"/>
  </w:num>
  <w:num w:numId="32" w16cid:durableId="1385520283">
    <w:abstractNumId w:val="7"/>
  </w:num>
  <w:num w:numId="33" w16cid:durableId="1407923511">
    <w:abstractNumId w:val="6"/>
  </w:num>
  <w:num w:numId="34" w16cid:durableId="1531996122">
    <w:abstractNumId w:val="5"/>
  </w:num>
  <w:num w:numId="35" w16cid:durableId="1072312689">
    <w:abstractNumId w:val="4"/>
  </w:num>
  <w:num w:numId="36" w16cid:durableId="882671294">
    <w:abstractNumId w:val="8"/>
  </w:num>
  <w:num w:numId="37" w16cid:durableId="841822210">
    <w:abstractNumId w:val="3"/>
  </w:num>
  <w:num w:numId="38" w16cid:durableId="1551191302">
    <w:abstractNumId w:val="2"/>
  </w:num>
  <w:num w:numId="39" w16cid:durableId="305016078">
    <w:abstractNumId w:val="1"/>
  </w:num>
  <w:num w:numId="40" w16cid:durableId="478808219">
    <w:abstractNumId w:val="0"/>
  </w:num>
  <w:num w:numId="41" w16cid:durableId="592250578">
    <w:abstractNumId w:val="10"/>
  </w:num>
  <w:num w:numId="42" w16cid:durableId="1913809729">
    <w:abstractNumId w:val="10"/>
  </w:num>
  <w:num w:numId="43" w16cid:durableId="683437785">
    <w:abstractNumId w:val="10"/>
  </w:num>
  <w:num w:numId="44" w16cid:durableId="1439983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67"/>
    <w:rsid w:val="00002272"/>
    <w:rsid w:val="00064002"/>
    <w:rsid w:val="000677B9"/>
    <w:rsid w:val="000831BA"/>
    <w:rsid w:val="000A42CC"/>
    <w:rsid w:val="000E7DD9"/>
    <w:rsid w:val="0010095E"/>
    <w:rsid w:val="00125B37"/>
    <w:rsid w:val="0013691E"/>
    <w:rsid w:val="00187494"/>
    <w:rsid w:val="001F32AE"/>
    <w:rsid w:val="002767FF"/>
    <w:rsid w:val="002B18FE"/>
    <w:rsid w:val="002B5493"/>
    <w:rsid w:val="00343214"/>
    <w:rsid w:val="00345EED"/>
    <w:rsid w:val="00361C00"/>
    <w:rsid w:val="00395FA1"/>
    <w:rsid w:val="003E15D4"/>
    <w:rsid w:val="003F4767"/>
    <w:rsid w:val="00411CCE"/>
    <w:rsid w:val="0041666E"/>
    <w:rsid w:val="00421060"/>
    <w:rsid w:val="00471C19"/>
    <w:rsid w:val="004867E3"/>
    <w:rsid w:val="00494A28"/>
    <w:rsid w:val="004A3F05"/>
    <w:rsid w:val="004C0004"/>
    <w:rsid w:val="004C5D52"/>
    <w:rsid w:val="004F38B3"/>
    <w:rsid w:val="0050519A"/>
    <w:rsid w:val="005072A1"/>
    <w:rsid w:val="00514517"/>
    <w:rsid w:val="00545827"/>
    <w:rsid w:val="00560270"/>
    <w:rsid w:val="005C2568"/>
    <w:rsid w:val="005F1B17"/>
    <w:rsid w:val="00603702"/>
    <w:rsid w:val="006037C0"/>
    <w:rsid w:val="006631B6"/>
    <w:rsid w:val="00680577"/>
    <w:rsid w:val="006F74FA"/>
    <w:rsid w:val="00731ADD"/>
    <w:rsid w:val="00734777"/>
    <w:rsid w:val="00747932"/>
    <w:rsid w:val="00751A4A"/>
    <w:rsid w:val="00756632"/>
    <w:rsid w:val="00756FA7"/>
    <w:rsid w:val="00762C74"/>
    <w:rsid w:val="00786EC0"/>
    <w:rsid w:val="007D1690"/>
    <w:rsid w:val="007E22AD"/>
    <w:rsid w:val="00817416"/>
    <w:rsid w:val="00842779"/>
    <w:rsid w:val="00865F67"/>
    <w:rsid w:val="0087320E"/>
    <w:rsid w:val="00881A7B"/>
    <w:rsid w:val="008840E5"/>
    <w:rsid w:val="00887B3E"/>
    <w:rsid w:val="008C2AC6"/>
    <w:rsid w:val="00930C23"/>
    <w:rsid w:val="0093193B"/>
    <w:rsid w:val="009509D8"/>
    <w:rsid w:val="00950B64"/>
    <w:rsid w:val="00981893"/>
    <w:rsid w:val="009B0F48"/>
    <w:rsid w:val="00A1687D"/>
    <w:rsid w:val="00A43E52"/>
    <w:rsid w:val="00A4678D"/>
    <w:rsid w:val="00A778C7"/>
    <w:rsid w:val="00AB441E"/>
    <w:rsid w:val="00AB6293"/>
    <w:rsid w:val="00AD2CDD"/>
    <w:rsid w:val="00AE0928"/>
    <w:rsid w:val="00AF3B82"/>
    <w:rsid w:val="00B04926"/>
    <w:rsid w:val="00B12E95"/>
    <w:rsid w:val="00B22876"/>
    <w:rsid w:val="00B558F0"/>
    <w:rsid w:val="00BD48FE"/>
    <w:rsid w:val="00BD7BD8"/>
    <w:rsid w:val="00BE6ADC"/>
    <w:rsid w:val="00C008B7"/>
    <w:rsid w:val="00C05BFE"/>
    <w:rsid w:val="00C23CD4"/>
    <w:rsid w:val="00C61C0C"/>
    <w:rsid w:val="00C941CB"/>
    <w:rsid w:val="00CC2357"/>
    <w:rsid w:val="00CF071A"/>
    <w:rsid w:val="00D058B8"/>
    <w:rsid w:val="00D5487D"/>
    <w:rsid w:val="00D56C11"/>
    <w:rsid w:val="00D834A0"/>
    <w:rsid w:val="00D872DF"/>
    <w:rsid w:val="00D91E21"/>
    <w:rsid w:val="00DA7FCD"/>
    <w:rsid w:val="00E365E1"/>
    <w:rsid w:val="00E820A4"/>
    <w:rsid w:val="00EB006A"/>
    <w:rsid w:val="00EB39D2"/>
    <w:rsid w:val="00EB4772"/>
    <w:rsid w:val="00ED169E"/>
    <w:rsid w:val="00ED4235"/>
    <w:rsid w:val="00F04346"/>
    <w:rsid w:val="00F075DC"/>
    <w:rsid w:val="00F149E9"/>
    <w:rsid w:val="00F43A3D"/>
    <w:rsid w:val="00F5134D"/>
    <w:rsid w:val="00F74202"/>
    <w:rsid w:val="00F87713"/>
    <w:rsid w:val="00FB2D88"/>
    <w:rsid w:val="00FB4360"/>
    <w:rsid w:val="00FD0C70"/>
    <w:rsid w:val="00FD655F"/>
  </w:rsids>
  <w:docVars>
    <w:docVar w:name="dvdocse" w:val="A10-0119/2026"/>
    <w:docVar w:name="dvlangue" w:val="PT"/>
    <w:docVar w:name="dvnumam" w:val="0"/>
    <w:docVar w:name="dvpe" w:val="784.496"/>
    <w:docVar w:name="dvrapporteur" w:val="Relator: "/>
    <w:docVar w:name="dvtitre" w:val="Decisão do Parlamento Europeu, de ... de ... de 2026,&#13;_x000a_ sobre o pedido de levantamento da imunidade de Alvise Pérez(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2069CA"/>
  <w15:chartTrackingRefBased/>
  <w15:docId w15:val="{9E358EEC-D5C4-48CB-8ABF-E4136D48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7320E"/>
    <w:pPr>
      <w:spacing w:after="240"/>
    </w:pPr>
  </w:style>
  <w:style w:type="paragraph" w:customStyle="1" w:styleId="NormalHanging12a">
    <w:name w:val="NormalHanging12a"/>
    <w:basedOn w:val="Normal"/>
    <w:rsid w:val="0087320E"/>
    <w:pPr>
      <w:spacing w:after="240"/>
      <w:ind w:left="567" w:hanging="567"/>
    </w:pPr>
  </w:style>
  <w:style w:type="paragraph" w:customStyle="1" w:styleId="EPComma">
    <w:name w:val="EPComma"/>
    <w:basedOn w:val="Normal"/>
    <w:rsid w:val="0087320E"/>
    <w:pPr>
      <w:spacing w:before="480" w:after="240"/>
    </w:pPr>
  </w:style>
  <w:style w:type="paragraph" w:customStyle="1" w:styleId="Normal12Hanging">
    <w:name w:val="Normal12Hanging"/>
    <w:basedOn w:val="Normal"/>
    <w:rsid w:val="0087320E"/>
    <w:pPr>
      <w:spacing w:after="240"/>
      <w:ind w:left="567" w:hanging="567"/>
    </w:pPr>
  </w:style>
  <w:style w:type="paragraph" w:styleId="Revision">
    <w:name w:val="Revision"/>
    <w:hidden/>
    <w:uiPriority w:val="99"/>
    <w:semiHidden/>
    <w:rsid w:val="004F38B3"/>
    <w:rPr>
      <w:sz w:val="24"/>
      <w:lang w:val="pt-PT"/>
    </w:rPr>
  </w:style>
  <w:style w:type="character" w:styleId="CommentReference">
    <w:name w:val="annotation reference"/>
    <w:basedOn w:val="DefaultParagraphFont"/>
    <w:rsid w:val="009B0F48"/>
    <w:rPr>
      <w:sz w:val="16"/>
      <w:szCs w:val="16"/>
    </w:rPr>
  </w:style>
  <w:style w:type="paragraph" w:styleId="CommentText">
    <w:name w:val="annotation text"/>
    <w:basedOn w:val="Normal"/>
    <w:link w:val="CommentTextChar"/>
    <w:rsid w:val="009B0F48"/>
    <w:rPr>
      <w:sz w:val="20"/>
    </w:rPr>
  </w:style>
  <w:style w:type="character" w:customStyle="1" w:styleId="CommentTextChar">
    <w:name w:val="Comment Text Char"/>
    <w:basedOn w:val="DefaultParagraphFont"/>
    <w:link w:val="CommentText"/>
    <w:rsid w:val="009B0F48"/>
    <w:rPr>
      <w:lang w:val="pt-PT"/>
    </w:rPr>
  </w:style>
  <w:style w:type="paragraph" w:styleId="CommentSubject">
    <w:name w:val="annotation subject"/>
    <w:basedOn w:val="CommentText"/>
    <w:next w:val="CommentText"/>
    <w:link w:val="CommentSubjectChar"/>
    <w:rsid w:val="009B0F48"/>
    <w:rPr>
      <w:b/>
      <w:bCs/>
    </w:rPr>
  </w:style>
  <w:style w:type="character" w:customStyle="1" w:styleId="CommentSubjectChar">
    <w:name w:val="Comment Subject Char"/>
    <w:basedOn w:val="CommentTextChar"/>
    <w:link w:val="CommentSubject"/>
    <w:rsid w:val="009B0F48"/>
    <w:rPr>
      <w:b/>
      <w:bCs/>
      <w:lang w:val="pt-PT"/>
    </w:rPr>
  </w:style>
  <w:style w:type="character" w:styleId="Hyperlink">
    <w:name w:val="Hyperlink"/>
    <w:basedOn w:val="DefaultParagraphFont"/>
    <w:rsid w:val="009B0F48"/>
    <w:rPr>
      <w:color w:val="0563C1" w:themeColor="hyperlink"/>
      <w:u w:val="single"/>
    </w:rPr>
  </w:style>
  <w:style w:type="character" w:styleId="UnresolvedMention">
    <w:name w:val="Unresolved Mention"/>
    <w:basedOn w:val="DefaultParagraphFont"/>
    <w:uiPriority w:val="99"/>
    <w:semiHidden/>
    <w:unhideWhenUsed/>
    <w:rsid w:val="009B0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866</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2026-04-28T10:04:00Z</dcterms:created>
  <dcterms:modified xsi:type="dcterms:W3CDTF">2026-04-28T10:04:00Z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A10-0119/2026</vt:lpwstr>
  </property>
  <property fmtid="{D5CDD505-2E9C-101B-9397-08002B2CF9AE}" pid="4" name="&lt;Type&gt;">
    <vt:lpwstr>RR</vt:lpwstr>
  </property>
</Properties>
</file>