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31C8C3E" w14:textId="77777777" w:rsidTr="0010095E">
        <w:tblPrEx>
          <w:tblW w:w="9072" w:type="dxa"/>
          <w:tblLook w:val="01E0"/>
        </w:tblPrEx>
        <w:trPr>
          <w:trHeight w:hRule="exact" w:val="1418"/>
        </w:trPr>
        <w:tc>
          <w:tcPr>
            <w:tcW w:w="6804" w:type="dxa"/>
            <w:shd w:val="clear" w:color="auto" w:fill="auto"/>
            <w:vAlign w:val="center"/>
          </w:tcPr>
          <w:p w:rsidR="00751A4A" w:rsidRPr="00052C67" w:rsidP="0010095E" w14:paraId="25D27688" w14:textId="77777777">
            <w:pPr>
              <w:pStyle w:val="EPName"/>
            </w:pPr>
            <w:r w:rsidRPr="00052C67">
              <w:t>Parlamentul European</w:t>
            </w:r>
          </w:p>
          <w:p w:rsidR="00751A4A" w:rsidRPr="00052C67" w:rsidP="005F1B17" w14:paraId="161A1534" w14:textId="77777777">
            <w:pPr>
              <w:pStyle w:val="EPTerm"/>
              <w:rPr>
                <w:rStyle w:val="HideTWBExt"/>
                <w:noProof w:val="0"/>
                <w:vanish w:val="0"/>
                <w:color w:val="auto"/>
              </w:rPr>
            </w:pPr>
            <w:r w:rsidRPr="00052C67">
              <w:t>2024</w:t>
            </w:r>
            <w:r w:rsidRPr="00052C67" w:rsidR="00817416">
              <w:t>-202</w:t>
            </w:r>
            <w:r w:rsidRPr="00052C67">
              <w:t>9</w:t>
            </w:r>
          </w:p>
        </w:tc>
        <w:tc>
          <w:tcPr>
            <w:tcW w:w="2268" w:type="dxa"/>
            <w:shd w:val="clear" w:color="auto" w:fill="auto"/>
          </w:tcPr>
          <w:p w:rsidR="00751A4A" w:rsidRPr="00052C67" w:rsidP="0010095E" w14:paraId="01AC1E8C" w14:textId="77777777">
            <w:pPr>
              <w:pStyle w:val="EPLogo"/>
            </w:pPr>
            <w:r w:rsidRPr="00052C6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52C67" w:rsidP="004C5D52" w14:paraId="393D06E2" w14:textId="77777777">
      <w:pPr>
        <w:pStyle w:val="LineTop"/>
      </w:pPr>
    </w:p>
    <w:p w:rsidR="00680577" w:rsidRPr="00052C67" w:rsidP="00680577" w14:paraId="753DED35" w14:textId="77777777">
      <w:pPr>
        <w:pStyle w:val="EPBodyTA1"/>
      </w:pPr>
      <w:r w:rsidRPr="00052C67">
        <w:t>TEXTE ADOPTATE</w:t>
      </w:r>
    </w:p>
    <w:p w:rsidR="00D058B8" w:rsidRPr="00052C67" w:rsidP="00D058B8" w14:paraId="63C1F3AD" w14:textId="77777777">
      <w:pPr>
        <w:pStyle w:val="LineBottom"/>
      </w:pPr>
    </w:p>
    <w:p w:rsidR="00626F20" w:rsidRPr="00052C67" w:rsidP="00626F20" w14:paraId="22AE2391" w14:textId="3B96812C">
      <w:pPr>
        <w:pStyle w:val="ATHeading1"/>
      </w:pPr>
      <w:bookmarkStart w:id="0" w:name="TANumber"/>
      <w:r w:rsidRPr="00052C67">
        <w:t>P10_TA(2026)0</w:t>
      </w:r>
      <w:bookmarkEnd w:id="0"/>
      <w:r w:rsidRPr="00052C67" w:rsidR="00052C67">
        <w:t>110</w:t>
      </w:r>
    </w:p>
    <w:p w:rsidR="00626F20" w:rsidRPr="00052C67" w:rsidP="00626F20" w14:paraId="0D9744D9" w14:textId="77777777">
      <w:pPr>
        <w:pStyle w:val="ATHeading2"/>
      </w:pPr>
      <w:bookmarkStart w:id="1" w:name="title"/>
      <w:r w:rsidRPr="00052C67">
        <w:t xml:space="preserve">Cererea de ridicare a imunității deputatului </w:t>
      </w:r>
      <w:r w:rsidRPr="00052C67">
        <w:t>Alvise</w:t>
      </w:r>
      <w:r w:rsidRPr="00052C67">
        <w:t xml:space="preserve"> </w:t>
      </w:r>
      <w:r w:rsidRPr="00052C67">
        <w:t>Pérez</w:t>
      </w:r>
      <w:bookmarkEnd w:id="1"/>
    </w:p>
    <w:p w:rsidR="00626F20" w:rsidRPr="00052C67" w:rsidP="00626F20" w14:paraId="7F390422" w14:textId="77777777">
      <w:pPr>
        <w:rPr>
          <w:i/>
          <w:vanish/>
        </w:rPr>
      </w:pPr>
      <w:r>
        <w:rPr>
          <w:i/>
        </w:rPr>
        <w:fldChar w:fldCharType="begin"/>
      </w:r>
      <w:r w:rsidRPr="00052C67">
        <w:rPr>
          <w:i/>
        </w:rPr>
        <w:instrText xml:space="preserve"> TC"(</w:instrText>
      </w:r>
      <w:bookmarkStart w:id="2" w:name="DocNumber"/>
      <w:r w:rsidRPr="00052C67">
        <w:rPr>
          <w:i/>
        </w:rPr>
        <w:instrText>A10-0119/2026</w:instrText>
      </w:r>
      <w:bookmarkEnd w:id="2"/>
      <w:r w:rsidRPr="00052C67">
        <w:rPr>
          <w:i/>
        </w:rPr>
        <w:instrText xml:space="preserve"> - Raportor: Mario </w:instrText>
      </w:r>
      <w:r w:rsidRPr="00052C67">
        <w:rPr>
          <w:i/>
        </w:rPr>
        <w:instrText>Furore</w:instrText>
      </w:r>
      <w:r w:rsidRPr="00052C67">
        <w:rPr>
          <w:i/>
        </w:rPr>
        <w:instrText xml:space="preserve">)"\l3 \n&gt; \* MERGEFORMAT </w:instrText>
      </w:r>
      <w:r>
        <w:rPr>
          <w:i/>
        </w:rPr>
        <w:fldChar w:fldCharType="end"/>
      </w:r>
    </w:p>
    <w:p w:rsidR="00626F20" w:rsidRPr="00052C67" w:rsidP="00626F20" w14:paraId="49607B3F" w14:textId="77777777">
      <w:pPr>
        <w:rPr>
          <w:vanish/>
        </w:rPr>
      </w:pPr>
      <w:bookmarkStart w:id="3" w:name="Commission"/>
      <w:r w:rsidRPr="00052C67">
        <w:rPr>
          <w:vanish/>
        </w:rPr>
        <w:t>Comisia pentru afaceri juridice</w:t>
      </w:r>
      <w:bookmarkEnd w:id="3"/>
    </w:p>
    <w:p w:rsidR="00626F20" w:rsidRPr="00052C67" w:rsidP="00626F20" w14:paraId="1564F323" w14:textId="77777777">
      <w:pPr>
        <w:rPr>
          <w:vanish/>
        </w:rPr>
      </w:pPr>
      <w:bookmarkStart w:id="4" w:name="PE"/>
      <w:r w:rsidRPr="00052C67">
        <w:rPr>
          <w:vanish/>
        </w:rPr>
        <w:t>PE784.496</w:t>
      </w:r>
      <w:bookmarkEnd w:id="4"/>
    </w:p>
    <w:p w:rsidR="00626F20" w:rsidRPr="00052C67" w:rsidP="00626F20" w14:paraId="5CD0319F" w14:textId="77777777">
      <w:pPr>
        <w:pStyle w:val="ATHeading3"/>
      </w:pPr>
      <w:bookmarkStart w:id="5" w:name="Sujet"/>
      <w:r w:rsidRPr="00052C67">
        <w:t xml:space="preserve">Decizia Parlamentului European din 28 aprilie 2026 privind cererea de ridicare a imunității deputatului </w:t>
      </w:r>
      <w:r w:rsidRPr="00052C67">
        <w:t>Alvise</w:t>
      </w:r>
      <w:r w:rsidRPr="00052C67">
        <w:t xml:space="preserve"> </w:t>
      </w:r>
      <w:r w:rsidRPr="00052C67">
        <w:t>Pérez</w:t>
      </w:r>
      <w:bookmarkEnd w:id="5"/>
      <w:r w:rsidRPr="00052C67">
        <w:t xml:space="preserve"> </w:t>
      </w:r>
      <w:bookmarkStart w:id="6" w:name="References"/>
      <w:r w:rsidRPr="00052C67">
        <w:t>(2025/2222(IMM))</w:t>
      </w:r>
      <w:bookmarkEnd w:id="6"/>
    </w:p>
    <w:p w:rsidR="00CA4341" w:rsidRPr="00052C67" w:rsidP="00CA4341" w14:paraId="4DD57322" w14:textId="77777777">
      <w:pPr>
        <w:pStyle w:val="EPComma"/>
      </w:pPr>
      <w:bookmarkStart w:id="7" w:name="TextBodyBegin"/>
      <w:bookmarkEnd w:id="7"/>
      <w:r w:rsidRPr="00052C67">
        <w:rPr>
          <w:i/>
          <w:iCs/>
        </w:rPr>
        <w:t>Parlamentul European</w:t>
      </w:r>
      <w:r w:rsidRPr="00052C67">
        <w:t>,</w:t>
      </w:r>
    </w:p>
    <w:p w:rsidR="00CA4341" w:rsidRPr="00052C67" w:rsidP="00CA4341" w14:paraId="10AEC076" w14:textId="4B38CE62">
      <w:pPr>
        <w:pStyle w:val="NormalHanging12a"/>
      </w:pPr>
      <w:r w:rsidRPr="00052C67">
        <w:t>–</w:t>
      </w:r>
      <w:r w:rsidRPr="00052C67">
        <w:tab/>
        <w:t xml:space="preserve">având în vedere cererea de ridicare a imunității deputatului </w:t>
      </w:r>
      <w:r w:rsidRPr="00052C67">
        <w:t>Alvise</w:t>
      </w:r>
      <w:r w:rsidRPr="00052C67">
        <w:t xml:space="preserve"> </w:t>
      </w:r>
      <w:r w:rsidRPr="00052C67">
        <w:t>Pérez</w:t>
      </w:r>
      <w:r w:rsidRPr="00052C67">
        <w:t xml:space="preserve"> (Luis </w:t>
      </w:r>
      <w:r w:rsidRPr="00052C67">
        <w:t>Pérez</w:t>
      </w:r>
      <w:r w:rsidRPr="00052C67">
        <w:t xml:space="preserve"> </w:t>
      </w:r>
      <w:r w:rsidRPr="00052C67">
        <w:t>Fernández</w:t>
      </w:r>
      <w:r w:rsidRPr="00052C67">
        <w:t xml:space="preserve">), </w:t>
      </w:r>
      <w:r w:rsidRPr="00052C67" w:rsidR="00C1229F">
        <w:t xml:space="preserve">depusă </w:t>
      </w:r>
      <w:r w:rsidRPr="00052C67">
        <w:t>de Curtea Supremă a Spaniei prin scrisoarea din 7 octombrie 2025</w:t>
      </w:r>
      <w:r w:rsidRPr="00052C67" w:rsidR="00B52B1C">
        <w:t>,</w:t>
      </w:r>
      <w:r w:rsidRPr="00052C67">
        <w:t xml:space="preserve"> în legătură cu </w:t>
      </w:r>
      <w:r w:rsidRPr="00052C67" w:rsidR="00C1229F">
        <w:t xml:space="preserve">o </w:t>
      </w:r>
      <w:r w:rsidRPr="00052C67">
        <w:t>procedur</w:t>
      </w:r>
      <w:r w:rsidRPr="00052C67" w:rsidR="00C1229F">
        <w:t>ă</w:t>
      </w:r>
      <w:r w:rsidRPr="00052C67">
        <w:t xml:space="preserve"> penal</w:t>
      </w:r>
      <w:r w:rsidRPr="00052C67" w:rsidR="00C1229F">
        <w:t>ă</w:t>
      </w:r>
      <w:r w:rsidRPr="00052C67">
        <w:t xml:space="preserve"> inițiat</w:t>
      </w:r>
      <w:r w:rsidRPr="00052C67" w:rsidR="00C1229F">
        <w:t>ă</w:t>
      </w:r>
      <w:r w:rsidRPr="00052C67">
        <w:t xml:space="preserve"> împotriva sa și anunțată în Parlament </w:t>
      </w:r>
      <w:r w:rsidRPr="00052C67" w:rsidR="00B52B1C">
        <w:t>la</w:t>
      </w:r>
      <w:r w:rsidRPr="00052C67">
        <w:t xml:space="preserve"> 22 octombrie 2025,</w:t>
      </w:r>
    </w:p>
    <w:p w:rsidR="00CA4341" w:rsidRPr="00052C67" w:rsidP="00CA4341" w14:paraId="1B1A31EE" w14:textId="77777777">
      <w:pPr>
        <w:pStyle w:val="NormalHanging12a"/>
      </w:pPr>
      <w:r w:rsidRPr="00052C67">
        <w:t>–</w:t>
      </w:r>
      <w:r w:rsidRPr="00052C67">
        <w:tab/>
        <w:t xml:space="preserve">în urma audierii deputatului </w:t>
      </w:r>
      <w:r w:rsidRPr="00052C67">
        <w:t>Alvise</w:t>
      </w:r>
      <w:r w:rsidRPr="00052C67">
        <w:t xml:space="preserve"> </w:t>
      </w:r>
      <w:r w:rsidRPr="00052C67">
        <w:t>Pérez</w:t>
      </w:r>
      <w:r w:rsidRPr="00052C67">
        <w:t xml:space="preserve"> la 24 martie 2026, în conformitate cu articolul 9 alineatul (6) din Regulamentul său de procedură,</w:t>
      </w:r>
    </w:p>
    <w:p w:rsidR="00CA4341" w:rsidRPr="00052C67" w:rsidP="00CA4341" w14:paraId="56FA40BD" w14:textId="77777777">
      <w:pPr>
        <w:pStyle w:val="NormalHanging12a"/>
      </w:pPr>
      <w:r w:rsidRPr="00052C67">
        <w:t>–</w:t>
      </w:r>
      <w:r w:rsidRPr="00052C67">
        <w:tab/>
        <w:t>având în vedere articolele 8 și 9 din Protocolul nr. 7 privind privilegiile și imunitățile Uniunii Europene, precum și articolul 6 alineatul (2) din Actul din 20 septembrie 1976 privind alegerea membrilor Parlamentului European prin vot universal direct,</w:t>
      </w:r>
    </w:p>
    <w:p w:rsidR="00CA4341" w:rsidRPr="00052C67" w:rsidP="00CA4341" w14:paraId="59928539" w14:textId="77777777">
      <w:pPr>
        <w:pStyle w:val="NormalHanging12a"/>
      </w:pPr>
      <w:r w:rsidRPr="00052C67">
        <w:t>–</w:t>
      </w:r>
      <w:r w:rsidRPr="00052C67">
        <w:tab/>
        <w:t>având în vedere hotărârile Curții de Justiție a Uniunii Europene din 21 octombrie 2008, 19 martie 2010, 6 septembrie 2011, 17 ianuarie 2013 și 19 decembrie 2019</w:t>
      </w:r>
      <w:r>
        <w:rPr>
          <w:rStyle w:val="FootnoteReference"/>
          <w:color w:val="000000"/>
        </w:rPr>
        <w:footnoteReference w:id="2"/>
      </w:r>
      <w:r w:rsidRPr="00052C67">
        <w:t>,</w:t>
      </w:r>
    </w:p>
    <w:p w:rsidR="00CA4341" w:rsidRPr="00052C67" w:rsidP="00CA4341" w14:paraId="650DD17E" w14:textId="77777777">
      <w:pPr>
        <w:pStyle w:val="NormalHanging12a"/>
      </w:pPr>
      <w:r w:rsidRPr="00052C67">
        <w:t>–</w:t>
      </w:r>
      <w:r w:rsidRPr="00052C67">
        <w:tab/>
        <w:t>având în vedere articolul 71 alineatele (1) și (2) din Constituția Spaniei,</w:t>
      </w:r>
    </w:p>
    <w:p w:rsidR="00CA4341" w:rsidRPr="00052C67" w:rsidP="00CA4341" w14:paraId="5E2ABD4B" w14:textId="77777777">
      <w:pPr>
        <w:pStyle w:val="NormalHanging12a"/>
      </w:pPr>
      <w:r w:rsidRPr="00052C67">
        <w:t>–</w:t>
      </w:r>
      <w:r w:rsidRPr="00052C67">
        <w:tab/>
        <w:t>având în vedere articolul 5 alineatul (2), articolul 6 alineatul (1) și articolul 9 din Regulamentul său de procedură,</w:t>
      </w:r>
    </w:p>
    <w:p w:rsidR="00CA4341" w:rsidRPr="00052C67" w:rsidP="00CA4341" w14:paraId="28ACBD04" w14:textId="77777777">
      <w:pPr>
        <w:pStyle w:val="NormalHanging12a"/>
      </w:pPr>
      <w:r w:rsidRPr="00052C67">
        <w:t>–</w:t>
      </w:r>
      <w:r w:rsidRPr="00052C67">
        <w:tab/>
        <w:t>având în vedere raportul Comisiei pentru afaceri juridice (A10-0119/2026),</w:t>
      </w:r>
    </w:p>
    <w:p w:rsidR="00CA4341" w:rsidRPr="00052C67" w:rsidP="00CA4341" w14:paraId="05DC02F8" w14:textId="77777777">
      <w:pPr>
        <w:pStyle w:val="NormalHanging12a"/>
      </w:pPr>
      <w:r w:rsidRPr="00052C67">
        <w:t>A.</w:t>
      </w:r>
      <w:r w:rsidRPr="00052C67">
        <w:tab/>
        <w:t xml:space="preserve">întrucât, prin scrisoarea din 7 octombrie 2025, președinta Curții Supreme a Spaniei a cerut ridicarea imunității dlui </w:t>
      </w:r>
      <w:r w:rsidRPr="00052C67">
        <w:t>Alvise</w:t>
      </w:r>
      <w:r w:rsidRPr="00052C67">
        <w:t xml:space="preserve"> </w:t>
      </w:r>
      <w:r w:rsidRPr="00052C67">
        <w:t>Pérez</w:t>
      </w:r>
      <w:r w:rsidRPr="00052C67">
        <w:t>, deputat în Parlamentul European ales în Spania, în legătură cu presupuse infracțiuni care au avut loc în 2024;</w:t>
      </w:r>
    </w:p>
    <w:p w:rsidR="00CA4341" w:rsidRPr="00052C67" w:rsidP="00CA4341" w14:paraId="646AA6A1" w14:textId="5D526FB3">
      <w:pPr>
        <w:pStyle w:val="Normal12a"/>
        <w:ind w:left="567" w:hanging="567"/>
        <w:jc w:val="both"/>
      </w:pPr>
      <w:r w:rsidRPr="00052C67">
        <w:rPr>
          <w:shd w:val="clear" w:color="auto" w:fill="FFFFFF"/>
        </w:rPr>
        <w:t>B.</w:t>
      </w:r>
      <w:r w:rsidRPr="00052C67">
        <w:rPr>
          <w:shd w:val="clear" w:color="auto" w:fill="FFFFFF"/>
        </w:rPr>
        <w:tab/>
      </w:r>
      <w:r w:rsidRPr="00052C67">
        <w:t>întrucât cererea arată că, în ianuarie și februarie 2024, administratorul unui canal Telegram denumit „</w:t>
      </w:r>
      <w:r w:rsidRPr="00052C67">
        <w:rPr>
          <w:i/>
        </w:rPr>
        <w:t>Alvise</w:t>
      </w:r>
      <w:r w:rsidRPr="00052C67">
        <w:rPr>
          <w:i/>
        </w:rPr>
        <w:t xml:space="preserve"> </w:t>
      </w:r>
      <w:r w:rsidRPr="00052C67">
        <w:rPr>
          <w:i/>
        </w:rPr>
        <w:t>Pérez</w:t>
      </w:r>
      <w:r w:rsidRPr="00052C67">
        <w:rPr>
          <w:i/>
        </w:rPr>
        <w:t xml:space="preserve"> Chat</w:t>
      </w:r>
      <w:r w:rsidRPr="00052C67">
        <w:t xml:space="preserve">” ar fi publicat declarații care indică numele „celor responsabili de persecuția ideologică cunoscută sub denumirea de infracțiuni motivate de ură”, făcând referire în special la procurorul delegat pentru combaterea infracțiunilor motivate de ură din Valencia; întrucât declarațiile publicate pe acest canal au generat o reacție imediată din partea a numeroși adepți ai canalului, care au trimis peste 1 500 de comentarii procurorului delegat respectiv, majoritatea fiind insulte; întrucât presupusul comportament </w:t>
      </w:r>
      <w:r w:rsidRPr="00052C67" w:rsidR="00B52B1C">
        <w:t>ar putea</w:t>
      </w:r>
      <w:r w:rsidRPr="00052C67">
        <w:t xml:space="preserve"> constitui infracțiuni de hărțuire sau urmărire în scopul hărțuirii, instigare la comiterea unui atentat împotriva unei autorități sau a unui funcționar public, constrângere și/sau incitare la ură prin platforme de comunicare socială, în temeiul articolului 172-ter și al articolului 18 alineatul (1) din Codul penal spaniol coroborat cu articolul 553 din Codul penal spaniol;</w:t>
      </w:r>
    </w:p>
    <w:p w:rsidR="00CA4341" w:rsidRPr="00052C67" w:rsidP="00CA4341" w14:paraId="6A8753B7" w14:textId="3E9407A9">
      <w:pPr>
        <w:pStyle w:val="NormalHanging12a"/>
        <w:rPr>
          <w:szCs w:val="24"/>
          <w:shd w:val="clear" w:color="auto" w:fill="FFFFFF"/>
        </w:rPr>
      </w:pPr>
      <w:r w:rsidRPr="00052C67">
        <w:t>C.</w:t>
      </w:r>
      <w:r w:rsidRPr="00052C67">
        <w:tab/>
      </w:r>
      <w:r w:rsidRPr="00052C67">
        <w:rPr>
          <w:shd w:val="clear" w:color="auto" w:fill="FFFFFF"/>
        </w:rPr>
        <w:t xml:space="preserve">întrucât </w:t>
      </w:r>
      <w:r w:rsidRPr="00052C67">
        <w:t>Alvise</w:t>
      </w:r>
      <w:r w:rsidRPr="00052C67">
        <w:t xml:space="preserve"> </w:t>
      </w:r>
      <w:r w:rsidRPr="00052C67">
        <w:t>Pérez</w:t>
      </w:r>
      <w:r w:rsidRPr="00052C67">
        <w:rPr>
          <w:shd w:val="clear" w:color="auto" w:fill="FFFFFF"/>
        </w:rPr>
        <w:t xml:space="preserve"> a fost ales în Parlamentul European la alegerile europene din iunie 2024 și</w:t>
      </w:r>
      <w:r w:rsidRPr="00052C67" w:rsidR="006A0E3E">
        <w:rPr>
          <w:shd w:val="clear" w:color="auto" w:fill="FFFFFF"/>
        </w:rPr>
        <w:t xml:space="preserve"> nu era</w:t>
      </w:r>
      <w:r w:rsidRPr="00052C67">
        <w:rPr>
          <w:shd w:val="clear" w:color="auto" w:fill="FFFFFF"/>
        </w:rPr>
        <w:t xml:space="preserve">, prin urmare, deputat în Parlamentul European la momentul presupuselor infracțiuni; </w:t>
      </w:r>
    </w:p>
    <w:p w:rsidR="00CA4341" w:rsidRPr="00052C67" w:rsidP="00CA4341" w14:paraId="64A37C87" w14:textId="452C5CCF">
      <w:pPr>
        <w:pStyle w:val="NormalHanging12a"/>
      </w:pPr>
      <w:r w:rsidRPr="00052C67">
        <w:t>D.</w:t>
      </w:r>
      <w:r w:rsidRPr="00052C67">
        <w:tab/>
        <w:t xml:space="preserve">întrucât presupusele infracțiuni nu constituie o opinie sau un vot exprimat de </w:t>
      </w:r>
      <w:r w:rsidRPr="00052C67">
        <w:t>Alvise</w:t>
      </w:r>
      <w:r w:rsidRPr="00052C67">
        <w:t xml:space="preserve"> </w:t>
      </w:r>
      <w:r w:rsidRPr="00052C67">
        <w:t>Pérez</w:t>
      </w:r>
      <w:r w:rsidRPr="00052C67">
        <w:t xml:space="preserve"> în exercitarea funcțiilor sale în sensul articolului 8 din Protocolul nr. 7 privind privilegiile și imunitățile Uniunii Europene, iar cererea subsecventă de ridicare a imunității sale nu are legătură cu </w:t>
      </w:r>
      <w:r w:rsidRPr="00052C67" w:rsidR="002F751A">
        <w:t>o opinie sau un vot exprimat de acesta</w:t>
      </w:r>
      <w:r w:rsidRPr="00052C67">
        <w:t>;</w:t>
      </w:r>
    </w:p>
    <w:p w:rsidR="00CA4341" w:rsidRPr="00052C67" w:rsidP="00CA4341" w14:paraId="6EED3A35" w14:textId="5EEF74FD">
      <w:pPr>
        <w:pStyle w:val="NormalHanging12a"/>
      </w:pPr>
      <w:r w:rsidRPr="00052C67">
        <w:t>E.</w:t>
      </w:r>
      <w:r w:rsidRPr="00052C67">
        <w:tab/>
        <w:t xml:space="preserve">întrucât articolul 9 primul paragraf litera (a) din Protocolul nr. 7 privind privilegiile și imunitățile Uniunii Europene stipulează că, pe durata sesiunilor Parlamentului European, deputații în Parlamentul European beneficiază, pe teritoriul </w:t>
      </w:r>
      <w:r w:rsidRPr="00052C67" w:rsidR="00C1229F">
        <w:t>național</w:t>
      </w:r>
      <w:r w:rsidRPr="00052C67">
        <w:t xml:space="preserve">, de imunitățile </w:t>
      </w:r>
      <w:r w:rsidRPr="00052C67" w:rsidR="00C1229F">
        <w:t>recunoscute</w:t>
      </w:r>
      <w:r w:rsidRPr="00052C67">
        <w:t xml:space="preserve"> </w:t>
      </w:r>
      <w:r w:rsidRPr="00052C67" w:rsidR="00E00959">
        <w:t xml:space="preserve">membrilor </w:t>
      </w:r>
      <w:r w:rsidRPr="00052C67">
        <w:t>Parlamentului propriului stat membru;</w:t>
      </w:r>
    </w:p>
    <w:p w:rsidR="00CA4341" w:rsidRPr="00052C67" w:rsidP="00CA4341" w14:paraId="1DDEE410" w14:textId="5D3D716F">
      <w:pPr>
        <w:pStyle w:val="Normal12Hanging"/>
      </w:pPr>
      <w:r w:rsidRPr="00052C67">
        <w:t>F.</w:t>
      </w:r>
      <w:r w:rsidRPr="00052C67">
        <w:tab/>
        <w:t xml:space="preserve">întrucât articolul 71 alineatele (1) și (2) din Constituția </w:t>
      </w:r>
      <w:r w:rsidRPr="00052C67" w:rsidR="008C7543">
        <w:t>spaniolă</w:t>
      </w:r>
      <w:r w:rsidRPr="00052C67">
        <w:t xml:space="preserve"> prev</w:t>
      </w:r>
      <w:r w:rsidRPr="00052C67" w:rsidR="005A73E5">
        <w:t>ede</w:t>
      </w:r>
      <w:r w:rsidRPr="00052C67">
        <w:t xml:space="preserve"> următoarele:</w:t>
      </w:r>
    </w:p>
    <w:p w:rsidR="00CA4341" w:rsidRPr="00052C67" w:rsidP="00CA4341" w14:paraId="0AE0075E" w14:textId="19358A2D">
      <w:pPr>
        <w:pStyle w:val="Normal12Hanging"/>
        <w:ind w:firstLine="0"/>
        <w:rPr>
          <w:iCs/>
        </w:rPr>
      </w:pPr>
      <w:r w:rsidRPr="00052C67">
        <w:t xml:space="preserve">„(1) Deputații și senatorii beneficiază de inviolabilitate în ceea ce privește opiniile exprimate în </w:t>
      </w:r>
      <w:r w:rsidRPr="00052C67" w:rsidR="005A73E5">
        <w:t xml:space="preserve">cadrul exercitării </w:t>
      </w:r>
      <w:r w:rsidRPr="00052C67">
        <w:t>funcțiilor</w:t>
      </w:r>
      <w:r w:rsidRPr="00052C67" w:rsidR="005A73E5">
        <w:t xml:space="preserve"> lor</w:t>
      </w:r>
      <w:r w:rsidRPr="00052C67">
        <w:t>.</w:t>
      </w:r>
    </w:p>
    <w:p w:rsidR="005A73E5" w:rsidRPr="00052C67" w:rsidP="00CA4341" w14:paraId="308B459D" w14:textId="24F46BE9">
      <w:pPr>
        <w:pStyle w:val="NormalHanging12a"/>
        <w:ind w:firstLine="0"/>
        <w:rPr>
          <w:iCs/>
          <w:color w:val="000000"/>
        </w:rPr>
      </w:pPr>
      <w:r w:rsidRPr="00052C67">
        <w:t>(2) Pe durata mandatelor lor, deputații și senatorii beneficiază de asemenea de imunitate și nu pot fi arestați decât în caz de flagrant delict. Aceștia nu pot fi inculpați sau puși sub urmărire penală fără autorizarea prealabilă a camerei</w:t>
      </w:r>
      <w:r w:rsidRPr="00052C67" w:rsidR="00EF34EF">
        <w:t xml:space="preserve"> legislative</w:t>
      </w:r>
      <w:r w:rsidRPr="00052C67">
        <w:t xml:space="preserve"> aferente.”;</w:t>
      </w:r>
    </w:p>
    <w:p w:rsidR="00CA4341" w:rsidRPr="00052C67" w:rsidP="00CA4341" w14:paraId="15C36FEE" w14:textId="77777777">
      <w:pPr>
        <w:pStyle w:val="NormalHanging12a"/>
        <w:rPr>
          <w:color w:val="000000"/>
        </w:rPr>
      </w:pPr>
      <w:r w:rsidRPr="00052C67">
        <w:rPr>
          <w:color w:val="000000"/>
        </w:rPr>
        <w:t>G.</w:t>
      </w:r>
      <w:r w:rsidRPr="00052C67">
        <w:rPr>
          <w:color w:val="000000"/>
        </w:rPr>
        <w:tab/>
        <w:t>întrucât scopul imunității prevăzute de Protocolul nr. 7 privind privilegiile și imunitățile Uniunii Europene este de a proteja Parlamentul și pe deputații săi de proceduri judiciare în legătură cu activitățile desfășurate în exercitarea funcțiilor parlamentare și care nu pot fi disociate de aceste funcții;</w:t>
      </w:r>
    </w:p>
    <w:p w:rsidR="00CA4341" w:rsidRPr="00052C67" w:rsidP="00CA4341" w14:paraId="05A9B49D" w14:textId="049AB393">
      <w:pPr>
        <w:pStyle w:val="NormalHanging12a"/>
        <w:rPr>
          <w:color w:val="000000"/>
        </w:rPr>
      </w:pPr>
      <w:r w:rsidRPr="00052C67">
        <w:rPr>
          <w:color w:val="000000"/>
        </w:rPr>
        <w:t>H.</w:t>
      </w:r>
      <w:r w:rsidRPr="00052C67">
        <w:rPr>
          <w:color w:val="000000"/>
        </w:rPr>
        <w:tab/>
        <w:t xml:space="preserve">întrucât, în conformitate cu articolul 5 alineatul (2) din Regulamentul său de procedură, imunitatea parlamentară nu este un privilegiu personal al </w:t>
      </w:r>
      <w:r w:rsidRPr="00052C67" w:rsidR="001879D7">
        <w:rPr>
          <w:color w:val="000000"/>
        </w:rPr>
        <w:t xml:space="preserve"> deputaților</w:t>
      </w:r>
      <w:r w:rsidRPr="00052C67">
        <w:rPr>
          <w:color w:val="000000"/>
        </w:rPr>
        <w:t xml:space="preserve">, ci o garanție  </w:t>
      </w:r>
      <w:r w:rsidRPr="00052C67" w:rsidR="001879D7">
        <w:rPr>
          <w:color w:val="000000"/>
        </w:rPr>
        <w:t>pentru</w:t>
      </w:r>
      <w:r w:rsidRPr="00052C67" w:rsidR="00FE233C">
        <w:rPr>
          <w:color w:val="000000"/>
        </w:rPr>
        <w:t xml:space="preserve"> </w:t>
      </w:r>
      <w:r w:rsidRPr="00052C67">
        <w:rPr>
          <w:color w:val="000000"/>
        </w:rPr>
        <w:t>independenț</w:t>
      </w:r>
      <w:r w:rsidRPr="00052C67" w:rsidR="00FE233C">
        <w:rPr>
          <w:color w:val="000000"/>
        </w:rPr>
        <w:t>a</w:t>
      </w:r>
      <w:r w:rsidRPr="00052C67">
        <w:rPr>
          <w:color w:val="000000"/>
        </w:rPr>
        <w:t xml:space="preserve"> Parlamentului în ansamblu și a </w:t>
      </w:r>
      <w:r w:rsidRPr="00052C67" w:rsidR="00FE233C">
        <w:rPr>
          <w:color w:val="000000"/>
        </w:rPr>
        <w:t>membrilor</w:t>
      </w:r>
      <w:r w:rsidRPr="00052C67">
        <w:rPr>
          <w:color w:val="000000"/>
        </w:rPr>
        <w:t xml:space="preserve"> săi;</w:t>
      </w:r>
    </w:p>
    <w:p w:rsidR="00CA4341" w:rsidRPr="00052C67" w:rsidP="00CA4341" w14:paraId="5A829285" w14:textId="68796C92">
      <w:pPr>
        <w:pStyle w:val="NormalHanging12a"/>
        <w:rPr>
          <w:color w:val="000000"/>
        </w:rPr>
      </w:pPr>
      <w:r w:rsidRPr="00052C67">
        <w:rPr>
          <w:color w:val="000000"/>
        </w:rPr>
        <w:t>I.</w:t>
      </w:r>
      <w:r w:rsidRPr="00052C67">
        <w:rPr>
          <w:color w:val="000000"/>
        </w:rPr>
        <w:tab/>
        <w:t xml:space="preserve">întrucât, în speță, Parlamentul nu a </w:t>
      </w:r>
      <w:r w:rsidRPr="00052C67" w:rsidR="008C7543">
        <w:rPr>
          <w:color w:val="000000"/>
        </w:rPr>
        <w:t xml:space="preserve">putut stabili </w:t>
      </w:r>
      <w:r w:rsidRPr="00052C67">
        <w:rPr>
          <w:color w:val="000000"/>
        </w:rPr>
        <w:t xml:space="preserve">existența </w:t>
      </w:r>
      <w:r w:rsidRPr="00052C67">
        <w:rPr>
          <w:i/>
          <w:color w:val="000000"/>
        </w:rPr>
        <w:t>fumus</w:t>
      </w:r>
      <w:r w:rsidRPr="00052C67">
        <w:rPr>
          <w:i/>
          <w:color w:val="000000"/>
        </w:rPr>
        <w:t xml:space="preserve"> </w:t>
      </w:r>
      <w:r w:rsidRPr="00052C67">
        <w:rPr>
          <w:i/>
          <w:color w:val="000000"/>
        </w:rPr>
        <w:t>persecutionis</w:t>
      </w:r>
      <w:r w:rsidRPr="00052C67">
        <w:rPr>
          <w:color w:val="000000"/>
        </w:rPr>
        <w:t>, și</w:t>
      </w:r>
      <w:r w:rsidRPr="00052C67" w:rsidR="00FE233C">
        <w:rPr>
          <w:color w:val="000000"/>
        </w:rPr>
        <w:t xml:space="preserve">, cu alte </w:t>
      </w:r>
      <w:r w:rsidRPr="00052C67" w:rsidR="00FE233C">
        <w:rPr>
          <w:color w:val="000000"/>
        </w:rPr>
        <w:t xml:space="preserve">cuvinte, </w:t>
      </w:r>
      <w:r w:rsidRPr="00052C67" w:rsidR="00FE233C">
        <w:t xml:space="preserve">nu rezultă că intenția care stă la baza procedurii judiciare în cauză este de a </w:t>
      </w:r>
      <w:r w:rsidRPr="00052C67" w:rsidR="00FE233C">
        <w:rPr>
          <w:color w:val="000000"/>
        </w:rPr>
        <w:t>prejudicia</w:t>
      </w:r>
      <w:r w:rsidRPr="00052C67">
        <w:rPr>
          <w:color w:val="000000"/>
        </w:rPr>
        <w:t xml:space="preserve"> activitatea politică a lui </w:t>
      </w:r>
      <w:r w:rsidRPr="00052C67">
        <w:rPr>
          <w:color w:val="000000"/>
        </w:rPr>
        <w:t>Alvise</w:t>
      </w:r>
      <w:r w:rsidRPr="00052C67">
        <w:rPr>
          <w:color w:val="000000"/>
        </w:rPr>
        <w:t xml:space="preserve"> </w:t>
      </w:r>
      <w:r w:rsidRPr="00052C67">
        <w:rPr>
          <w:color w:val="000000"/>
        </w:rPr>
        <w:t>Pérez</w:t>
      </w:r>
      <w:r w:rsidRPr="00052C67">
        <w:rPr>
          <w:color w:val="000000"/>
        </w:rPr>
        <w:t xml:space="preserve"> în calitatea sa de deputat în Parlamentul European</w:t>
      </w:r>
      <w:r w:rsidRPr="00052C67" w:rsidR="00FE233C">
        <w:rPr>
          <w:color w:val="000000"/>
        </w:rPr>
        <w:t xml:space="preserve"> și, prin urmare, independența Parlamentului</w:t>
      </w:r>
      <w:r w:rsidRPr="00052C67">
        <w:rPr>
          <w:color w:val="000000"/>
        </w:rPr>
        <w:t>;</w:t>
      </w:r>
    </w:p>
    <w:p w:rsidR="00CA4341" w:rsidRPr="00052C67" w:rsidP="00CA4341" w14:paraId="5E3BEDF4" w14:textId="77777777">
      <w:pPr>
        <w:pStyle w:val="NormalHanging12a"/>
        <w:rPr>
          <w:color w:val="000000"/>
        </w:rPr>
      </w:pPr>
      <w:r w:rsidRPr="00052C67">
        <w:rPr>
          <w:color w:val="000000"/>
        </w:rPr>
        <w:t>J.</w:t>
      </w:r>
      <w:r w:rsidRPr="00052C67">
        <w:rPr>
          <w:color w:val="000000"/>
        </w:rPr>
        <w:tab/>
        <w:t>întrucât, pe de o parte, Parlamentul nu poate fi asimilat unei instanțe judecătorești și, pe de altă parte, în contextul unei proceduri de ridicare a imunității, deputatul în cauză nu poate fi considerat „persoană acuzată”</w:t>
      </w:r>
      <w:r>
        <w:rPr>
          <w:color w:val="000000"/>
          <w:vertAlign w:val="superscript"/>
        </w:rPr>
        <w:footnoteReference w:id="3"/>
      </w:r>
      <w:r w:rsidRPr="00052C67">
        <w:rPr>
          <w:color w:val="000000"/>
        </w:rPr>
        <w:t>,</w:t>
      </w:r>
    </w:p>
    <w:p w:rsidR="00CA4341" w:rsidRPr="00052C67" w:rsidP="00CA4341" w14:paraId="3C248A39" w14:textId="77777777">
      <w:pPr>
        <w:pStyle w:val="NormalHanging12a"/>
        <w:rPr>
          <w:color w:val="000000"/>
        </w:rPr>
      </w:pPr>
      <w:r w:rsidRPr="00052C67">
        <w:rPr>
          <w:color w:val="000000"/>
        </w:rPr>
        <w:t>1.</w:t>
      </w:r>
      <w:r w:rsidRPr="00052C67">
        <w:rPr>
          <w:color w:val="000000"/>
        </w:rPr>
        <w:tab/>
        <w:t xml:space="preserve">hotărăște să ridice imunitatea deputatului </w:t>
      </w:r>
      <w:r w:rsidRPr="00052C67">
        <w:rPr>
          <w:color w:val="000000"/>
        </w:rPr>
        <w:t>Alvise</w:t>
      </w:r>
      <w:r w:rsidRPr="00052C67">
        <w:rPr>
          <w:color w:val="000000"/>
        </w:rPr>
        <w:t xml:space="preserve"> </w:t>
      </w:r>
      <w:r w:rsidRPr="00052C67">
        <w:rPr>
          <w:color w:val="000000"/>
        </w:rPr>
        <w:t>Pérez</w:t>
      </w:r>
      <w:r w:rsidRPr="00052C67">
        <w:rPr>
          <w:color w:val="000000"/>
        </w:rPr>
        <w:t>;</w:t>
      </w:r>
    </w:p>
    <w:p w:rsidR="00E365E1" w:rsidRPr="00052C67" w:rsidP="00052C67" w14:paraId="7533FD13" w14:textId="76C86A2E">
      <w:pPr>
        <w:ind w:left="567" w:hanging="567"/>
      </w:pPr>
      <w:r w:rsidRPr="00052C67">
        <w:t>2.</w:t>
      </w:r>
      <w:r w:rsidRPr="00052C67">
        <w:tab/>
        <w:t xml:space="preserve">încredințează Președintei sarcina de a transmite imediat prezenta decizie și raportul comisiei competente autorităților competente ale Regatului Spaniei și deputatului </w:t>
      </w:r>
      <w:r w:rsidRPr="00052C67">
        <w:t>Alvise</w:t>
      </w:r>
      <w:r w:rsidRPr="00052C67">
        <w:t xml:space="preserve"> </w:t>
      </w:r>
      <w:r w:rsidRPr="00052C67">
        <w:t>Pérez</w:t>
      </w:r>
      <w:r w:rsidRPr="00052C67">
        <w:t>.</w:t>
      </w:r>
    </w:p>
    <w:sectPr w:rsidSect="000F659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F659E" w14:paraId="4269ECE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F659E" w14:paraId="5CB5E84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F659E" w14:paraId="6BFB7AF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26F20" w:rsidRPr="000F659E" w14:paraId="05C3D57B" w14:textId="77777777">
      <w:r w:rsidRPr="000F659E">
        <w:separator/>
      </w:r>
    </w:p>
  </w:footnote>
  <w:footnote w:type="continuationSeparator" w:id="1">
    <w:p w:rsidR="00626F20" w:rsidRPr="000F659E" w14:paraId="19663999" w14:textId="77777777">
      <w:r w:rsidRPr="000F659E">
        <w:continuationSeparator/>
      </w:r>
    </w:p>
  </w:footnote>
  <w:footnote w:id="2">
    <w:p w:rsidR="00CA4341" w:rsidRPr="000F659E" w:rsidP="000F659E" w14:paraId="54D11740" w14:textId="5EDE82E2">
      <w:pPr>
        <w:pStyle w:val="FootnoteText"/>
        <w:ind w:left="567" w:hanging="567"/>
        <w:rPr>
          <w:sz w:val="24"/>
          <w:lang w:val="ro-RO"/>
        </w:rPr>
      </w:pPr>
      <w:r w:rsidRPr="000F659E">
        <w:rPr>
          <w:rStyle w:val="FootnoteReference"/>
          <w:sz w:val="24"/>
          <w:lang w:val="ro-RO"/>
        </w:rPr>
        <w:footnoteRef/>
      </w:r>
      <w:r w:rsidRPr="000F659E" w:rsidR="000F659E">
        <w:rPr>
          <w:sz w:val="24"/>
          <w:lang w:val="ro-RO"/>
        </w:rPr>
        <w:t xml:space="preserve"> </w:t>
      </w:r>
      <w:r w:rsidRPr="000F659E" w:rsidR="000F659E">
        <w:rPr>
          <w:sz w:val="24"/>
          <w:lang w:val="ro-RO"/>
        </w:rPr>
        <w:tab/>
      </w:r>
      <w:r w:rsidRPr="000F659E">
        <w:rPr>
          <w:sz w:val="24"/>
          <w:lang w:val="ro-RO"/>
        </w:rPr>
        <w:t xml:space="preserve">Hotărârea Curții de Justiție din 21 octombrie 2008, </w:t>
      </w:r>
      <w:r w:rsidRPr="000F659E">
        <w:rPr>
          <w:sz w:val="24"/>
          <w:lang w:val="ro-RO"/>
        </w:rPr>
        <w:t>Marra</w:t>
      </w:r>
      <w:r w:rsidRPr="000F659E">
        <w:rPr>
          <w:sz w:val="24"/>
          <w:lang w:val="ro-RO"/>
        </w:rPr>
        <w:t xml:space="preserve">/De Gregorio și Clemente, C-200/07 și C-201/07, ECLI:EU:C:2008:579, Hotărârea Tribunalului din 19 martie 2010, </w:t>
      </w:r>
      <w:r w:rsidRPr="000F659E">
        <w:rPr>
          <w:sz w:val="24"/>
          <w:lang w:val="ro-RO"/>
        </w:rPr>
        <w:t>Gollnisch</w:t>
      </w:r>
      <w:r w:rsidRPr="000F659E">
        <w:rPr>
          <w:sz w:val="24"/>
          <w:lang w:val="ro-RO"/>
        </w:rPr>
        <w:t xml:space="preserve">/Parlamentul, T-42/06, ECLI:EU:T:2010:102, Hotărârea Curții de Justiție din 6 septembrie 2011, </w:t>
      </w:r>
      <w:r w:rsidRPr="000F659E">
        <w:rPr>
          <w:sz w:val="24"/>
          <w:lang w:val="ro-RO"/>
        </w:rPr>
        <w:t>Patriciello</w:t>
      </w:r>
      <w:r w:rsidRPr="000F659E">
        <w:rPr>
          <w:sz w:val="24"/>
          <w:lang w:val="ro-RO"/>
        </w:rPr>
        <w:t xml:space="preserve">, C-163/10, ECLI: EU:C:2011:543, Hotărârea Tribunalului din 17 ianuarie 2013, </w:t>
      </w:r>
      <w:r w:rsidRPr="000F659E">
        <w:rPr>
          <w:sz w:val="24"/>
          <w:lang w:val="ro-RO"/>
        </w:rPr>
        <w:t>Gollnisch</w:t>
      </w:r>
      <w:r w:rsidRPr="000F659E">
        <w:rPr>
          <w:sz w:val="24"/>
          <w:lang w:val="ro-RO"/>
        </w:rPr>
        <w:t xml:space="preserve">/Parlamentul, T-346/11 și T-347/11, ECLI:EU:T:2013:23, Hotărârea Curții de Justiție din 19 decembrie 2019, </w:t>
      </w:r>
      <w:r w:rsidRPr="000F659E">
        <w:rPr>
          <w:sz w:val="24"/>
          <w:lang w:val="ro-RO"/>
        </w:rPr>
        <w:t>Junqueras</w:t>
      </w:r>
      <w:r w:rsidRPr="000F659E">
        <w:rPr>
          <w:sz w:val="24"/>
          <w:lang w:val="ro-RO"/>
        </w:rPr>
        <w:t xml:space="preserve"> </w:t>
      </w:r>
      <w:r w:rsidRPr="000F659E">
        <w:rPr>
          <w:sz w:val="24"/>
          <w:lang w:val="ro-RO"/>
        </w:rPr>
        <w:t>Vies</w:t>
      </w:r>
      <w:r w:rsidRPr="000F659E">
        <w:rPr>
          <w:sz w:val="24"/>
          <w:lang w:val="ro-RO"/>
        </w:rPr>
        <w:t>, C-502/19, ECLI:EU:C:2019:1115.</w:t>
      </w:r>
    </w:p>
  </w:footnote>
  <w:footnote w:id="3">
    <w:p w:rsidR="00CA4341" w:rsidRPr="000F659E" w:rsidP="000F659E" w14:paraId="7475DA53" w14:textId="4A18EBE0">
      <w:pPr>
        <w:pStyle w:val="FootnoteText"/>
        <w:ind w:left="567" w:hanging="567"/>
        <w:rPr>
          <w:sz w:val="24"/>
          <w:lang w:val="ro-RO"/>
        </w:rPr>
      </w:pPr>
      <w:r w:rsidRPr="000F659E">
        <w:rPr>
          <w:rStyle w:val="FootnoteReference"/>
          <w:sz w:val="24"/>
          <w:lang w:val="ro-RO"/>
        </w:rPr>
        <w:footnoteRef/>
      </w:r>
      <w:r w:rsidRPr="000F659E" w:rsidR="000F659E">
        <w:rPr>
          <w:sz w:val="24"/>
          <w:lang w:val="ro-RO"/>
        </w:rPr>
        <w:t xml:space="preserve"> </w:t>
      </w:r>
      <w:r w:rsidRPr="000F659E" w:rsidR="000F659E">
        <w:rPr>
          <w:sz w:val="24"/>
          <w:lang w:val="ro-RO"/>
        </w:rPr>
        <w:tab/>
      </w:r>
      <w:r w:rsidRPr="000F659E">
        <w:rPr>
          <w:sz w:val="24"/>
          <w:lang w:val="ro-RO"/>
        </w:rPr>
        <w:t xml:space="preserve">Hotărârea Tribunalului din 30 aprilie 2019, </w:t>
      </w:r>
      <w:r w:rsidRPr="000F659E">
        <w:rPr>
          <w:sz w:val="24"/>
          <w:lang w:val="ro-RO"/>
        </w:rPr>
        <w:t>Briois</w:t>
      </w:r>
      <w:r w:rsidRPr="000F659E">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F659E" w14:paraId="3728CCD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F659E" w14:paraId="60DC66B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F659E" w14:paraId="38357F8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5067355">
    <w:abstractNumId w:val="9"/>
  </w:num>
  <w:num w:numId="2" w16cid:durableId="622807657">
    <w:abstractNumId w:val="9"/>
  </w:num>
  <w:num w:numId="3" w16cid:durableId="274335234">
    <w:abstractNumId w:val="7"/>
  </w:num>
  <w:num w:numId="4" w16cid:durableId="1916236691">
    <w:abstractNumId w:val="7"/>
  </w:num>
  <w:num w:numId="5" w16cid:durableId="587538191">
    <w:abstractNumId w:val="6"/>
  </w:num>
  <w:num w:numId="6" w16cid:durableId="427042774">
    <w:abstractNumId w:val="6"/>
  </w:num>
  <w:num w:numId="7" w16cid:durableId="1381200885">
    <w:abstractNumId w:val="5"/>
  </w:num>
  <w:num w:numId="8" w16cid:durableId="19480490">
    <w:abstractNumId w:val="5"/>
  </w:num>
  <w:num w:numId="9" w16cid:durableId="368989256">
    <w:abstractNumId w:val="4"/>
  </w:num>
  <w:num w:numId="10" w16cid:durableId="1347559812">
    <w:abstractNumId w:val="4"/>
  </w:num>
  <w:num w:numId="11" w16cid:durableId="653025269">
    <w:abstractNumId w:val="8"/>
  </w:num>
  <w:num w:numId="12" w16cid:durableId="1999190045">
    <w:abstractNumId w:val="8"/>
  </w:num>
  <w:num w:numId="13" w16cid:durableId="446972012">
    <w:abstractNumId w:val="3"/>
  </w:num>
  <w:num w:numId="14" w16cid:durableId="999310298">
    <w:abstractNumId w:val="3"/>
  </w:num>
  <w:num w:numId="15" w16cid:durableId="1976638463">
    <w:abstractNumId w:val="2"/>
  </w:num>
  <w:num w:numId="16" w16cid:durableId="1984189944">
    <w:abstractNumId w:val="2"/>
  </w:num>
  <w:num w:numId="17" w16cid:durableId="990405833">
    <w:abstractNumId w:val="1"/>
  </w:num>
  <w:num w:numId="18" w16cid:durableId="2020496477">
    <w:abstractNumId w:val="1"/>
  </w:num>
  <w:num w:numId="19" w16cid:durableId="74061491">
    <w:abstractNumId w:val="0"/>
  </w:num>
  <w:num w:numId="20" w16cid:durableId="751588312">
    <w:abstractNumId w:val="0"/>
  </w:num>
  <w:num w:numId="21" w16cid:durableId="891116273">
    <w:abstractNumId w:val="9"/>
  </w:num>
  <w:num w:numId="22" w16cid:durableId="1349870456">
    <w:abstractNumId w:val="7"/>
  </w:num>
  <w:num w:numId="23" w16cid:durableId="409812894">
    <w:abstractNumId w:val="6"/>
  </w:num>
  <w:num w:numId="24" w16cid:durableId="523907433">
    <w:abstractNumId w:val="5"/>
  </w:num>
  <w:num w:numId="25" w16cid:durableId="1759710678">
    <w:abstractNumId w:val="4"/>
  </w:num>
  <w:num w:numId="26" w16cid:durableId="1652632081">
    <w:abstractNumId w:val="8"/>
  </w:num>
  <w:num w:numId="27" w16cid:durableId="1846745471">
    <w:abstractNumId w:val="3"/>
  </w:num>
  <w:num w:numId="28" w16cid:durableId="647130348">
    <w:abstractNumId w:val="2"/>
  </w:num>
  <w:num w:numId="29" w16cid:durableId="13770756">
    <w:abstractNumId w:val="1"/>
  </w:num>
  <w:num w:numId="30" w16cid:durableId="140465474">
    <w:abstractNumId w:val="0"/>
  </w:num>
  <w:num w:numId="31" w16cid:durableId="196747520">
    <w:abstractNumId w:val="9"/>
  </w:num>
  <w:num w:numId="32" w16cid:durableId="835727994">
    <w:abstractNumId w:val="7"/>
  </w:num>
  <w:num w:numId="33" w16cid:durableId="1836065807">
    <w:abstractNumId w:val="6"/>
  </w:num>
  <w:num w:numId="34" w16cid:durableId="1626503553">
    <w:abstractNumId w:val="5"/>
  </w:num>
  <w:num w:numId="35" w16cid:durableId="1624339764">
    <w:abstractNumId w:val="4"/>
  </w:num>
  <w:num w:numId="36" w16cid:durableId="12608813">
    <w:abstractNumId w:val="8"/>
  </w:num>
  <w:num w:numId="37" w16cid:durableId="995383179">
    <w:abstractNumId w:val="3"/>
  </w:num>
  <w:num w:numId="38" w16cid:durableId="2020426035">
    <w:abstractNumId w:val="2"/>
  </w:num>
  <w:num w:numId="39" w16cid:durableId="1707175503">
    <w:abstractNumId w:val="1"/>
  </w:num>
  <w:num w:numId="40" w16cid:durableId="1407413006">
    <w:abstractNumId w:val="0"/>
  </w:num>
  <w:num w:numId="41" w16cid:durableId="218325866">
    <w:abstractNumId w:val="10"/>
  </w:num>
  <w:num w:numId="42" w16cid:durableId="436366719">
    <w:abstractNumId w:val="10"/>
  </w:num>
  <w:num w:numId="43" w16cid:durableId="1707559581">
    <w:abstractNumId w:val="10"/>
  </w:num>
  <w:num w:numId="44" w16cid:durableId="13627027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F20"/>
    <w:rsid w:val="00002272"/>
    <w:rsid w:val="00052C67"/>
    <w:rsid w:val="00064002"/>
    <w:rsid w:val="000677B9"/>
    <w:rsid w:val="000831BA"/>
    <w:rsid w:val="000A42CC"/>
    <w:rsid w:val="000E7DD9"/>
    <w:rsid w:val="000F659E"/>
    <w:rsid w:val="0010095E"/>
    <w:rsid w:val="00125B37"/>
    <w:rsid w:val="00187494"/>
    <w:rsid w:val="001879D7"/>
    <w:rsid w:val="001F32AE"/>
    <w:rsid w:val="002767FF"/>
    <w:rsid w:val="002B18FE"/>
    <w:rsid w:val="002B5493"/>
    <w:rsid w:val="002F751A"/>
    <w:rsid w:val="00343214"/>
    <w:rsid w:val="00361C00"/>
    <w:rsid w:val="00367CD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73E5"/>
    <w:rsid w:val="005C2568"/>
    <w:rsid w:val="005F1B17"/>
    <w:rsid w:val="006037C0"/>
    <w:rsid w:val="00626F20"/>
    <w:rsid w:val="006631B6"/>
    <w:rsid w:val="00680577"/>
    <w:rsid w:val="006A0E3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543"/>
    <w:rsid w:val="00930C23"/>
    <w:rsid w:val="0093193B"/>
    <w:rsid w:val="009509D8"/>
    <w:rsid w:val="00950B64"/>
    <w:rsid w:val="009769E6"/>
    <w:rsid w:val="00981893"/>
    <w:rsid w:val="00A1687D"/>
    <w:rsid w:val="00A43E52"/>
    <w:rsid w:val="00A4678D"/>
    <w:rsid w:val="00A778C7"/>
    <w:rsid w:val="00A93FF7"/>
    <w:rsid w:val="00AB441E"/>
    <w:rsid w:val="00AB6293"/>
    <w:rsid w:val="00AE0928"/>
    <w:rsid w:val="00AF3B82"/>
    <w:rsid w:val="00B12E95"/>
    <w:rsid w:val="00B22876"/>
    <w:rsid w:val="00B52B1C"/>
    <w:rsid w:val="00B558F0"/>
    <w:rsid w:val="00BD48FE"/>
    <w:rsid w:val="00BD7BD8"/>
    <w:rsid w:val="00BE6ADC"/>
    <w:rsid w:val="00C05BFE"/>
    <w:rsid w:val="00C1229F"/>
    <w:rsid w:val="00C23CD4"/>
    <w:rsid w:val="00C61C0C"/>
    <w:rsid w:val="00C941CB"/>
    <w:rsid w:val="00CA4341"/>
    <w:rsid w:val="00CC2357"/>
    <w:rsid w:val="00CF071A"/>
    <w:rsid w:val="00D058B8"/>
    <w:rsid w:val="00D56C11"/>
    <w:rsid w:val="00D834A0"/>
    <w:rsid w:val="00D872DF"/>
    <w:rsid w:val="00D91E21"/>
    <w:rsid w:val="00DA7FCD"/>
    <w:rsid w:val="00E00959"/>
    <w:rsid w:val="00E365E1"/>
    <w:rsid w:val="00E820A4"/>
    <w:rsid w:val="00E96D44"/>
    <w:rsid w:val="00EB006A"/>
    <w:rsid w:val="00EB4772"/>
    <w:rsid w:val="00ED169E"/>
    <w:rsid w:val="00ED4235"/>
    <w:rsid w:val="00EF34EF"/>
    <w:rsid w:val="00F04346"/>
    <w:rsid w:val="00F075DC"/>
    <w:rsid w:val="00F149E9"/>
    <w:rsid w:val="00F35BC1"/>
    <w:rsid w:val="00F5134D"/>
    <w:rsid w:val="00F74202"/>
    <w:rsid w:val="00F87713"/>
    <w:rsid w:val="00FB4360"/>
    <w:rsid w:val="00FD0C70"/>
    <w:rsid w:val="00FE233C"/>
  </w:rsids>
  <w:docVars>
    <w:docVar w:name="dvdocse" w:val="A10-0119/2026"/>
    <w:docVar w:name="dvlangue" w:val="RO"/>
    <w:docVar w:name="dvnumam" w:val="0"/>
    <w:docVar w:name="dvpe" w:val="784.496"/>
    <w:docVar w:name="dvrapporteur" w:val="Raportor: "/>
    <w:docVar w:name="dvtitre" w:val="Decizia Parlamentului European din 28 aprilie 2026 privind cererea de ridicare a imunității deputatului Alvise Pérez(2025/222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B163DB6"/>
  <w15:chartTrackingRefBased/>
  <w15:docId w15:val="{76ADB893-78B1-4249-A190-42DBF75DC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A4341"/>
    <w:pPr>
      <w:spacing w:after="240"/>
    </w:pPr>
  </w:style>
  <w:style w:type="paragraph" w:customStyle="1" w:styleId="NormalHanging12a">
    <w:name w:val="NormalHanging12a"/>
    <w:basedOn w:val="Normal"/>
    <w:rsid w:val="00CA4341"/>
    <w:pPr>
      <w:spacing w:after="240"/>
      <w:ind w:left="567" w:hanging="567"/>
    </w:pPr>
  </w:style>
  <w:style w:type="paragraph" w:customStyle="1" w:styleId="EPComma">
    <w:name w:val="EPComma"/>
    <w:basedOn w:val="Normal"/>
    <w:rsid w:val="00CA4341"/>
    <w:pPr>
      <w:spacing w:before="480" w:after="240"/>
    </w:pPr>
  </w:style>
  <w:style w:type="paragraph" w:customStyle="1" w:styleId="Normal12Hanging">
    <w:name w:val="Normal12Hanging"/>
    <w:basedOn w:val="Normal"/>
    <w:rsid w:val="00CA4341"/>
    <w:pPr>
      <w:spacing w:after="240"/>
      <w:ind w:left="567" w:hanging="567"/>
    </w:pPr>
  </w:style>
  <w:style w:type="character" w:styleId="CommentReference">
    <w:name w:val="annotation reference"/>
    <w:basedOn w:val="DefaultParagraphFont"/>
    <w:rsid w:val="00B52B1C"/>
    <w:rPr>
      <w:sz w:val="16"/>
      <w:szCs w:val="16"/>
    </w:rPr>
  </w:style>
  <w:style w:type="paragraph" w:styleId="CommentText">
    <w:name w:val="annotation text"/>
    <w:basedOn w:val="Normal"/>
    <w:link w:val="CommentTextChar"/>
    <w:rsid w:val="00B52B1C"/>
    <w:rPr>
      <w:sz w:val="20"/>
    </w:rPr>
  </w:style>
  <w:style w:type="character" w:customStyle="1" w:styleId="CommentTextChar">
    <w:name w:val="Comment Text Char"/>
    <w:basedOn w:val="DefaultParagraphFont"/>
    <w:link w:val="CommentText"/>
    <w:rsid w:val="00B52B1C"/>
    <w:rPr>
      <w:lang w:val="ro-RO"/>
    </w:rPr>
  </w:style>
  <w:style w:type="paragraph" w:styleId="CommentSubject">
    <w:name w:val="annotation subject"/>
    <w:basedOn w:val="CommentText"/>
    <w:next w:val="CommentText"/>
    <w:link w:val="CommentSubjectChar"/>
    <w:rsid w:val="00B52B1C"/>
    <w:rPr>
      <w:b/>
      <w:bCs/>
    </w:rPr>
  </w:style>
  <w:style w:type="character" w:customStyle="1" w:styleId="CommentSubjectChar">
    <w:name w:val="Comment Subject Char"/>
    <w:basedOn w:val="CommentTextChar"/>
    <w:link w:val="CommentSubject"/>
    <w:rsid w:val="00B52B1C"/>
    <w:rPr>
      <w:b/>
      <w:bCs/>
      <w:lang w:val="ro-RO"/>
    </w:rPr>
  </w:style>
  <w:style w:type="paragraph" w:styleId="Revision">
    <w:name w:val="Revision"/>
    <w:hidden/>
    <w:uiPriority w:val="99"/>
    <w:semiHidden/>
    <w:rsid w:val="00B52B1C"/>
    <w:rPr>
      <w:sz w:val="24"/>
      <w:lang w:val="ro-RO"/>
    </w:rPr>
  </w:style>
  <w:style w:type="character" w:styleId="Hyperlink">
    <w:name w:val="Hyperlink"/>
    <w:basedOn w:val="DefaultParagraphFont"/>
    <w:rsid w:val="005A73E5"/>
    <w:rPr>
      <w:color w:val="0563C1" w:themeColor="hyperlink"/>
      <w:u w:val="single"/>
    </w:rPr>
  </w:style>
  <w:style w:type="character" w:styleId="UnresolvedMention">
    <w:name w:val="Unresolved Mention"/>
    <w:basedOn w:val="DefaultParagraphFont"/>
    <w:uiPriority w:val="99"/>
    <w:semiHidden/>
    <w:unhideWhenUsed/>
    <w:rsid w:val="005A7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Pages>
  <Words>780</Words>
  <Characters>4719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9</cp:revision>
  <cp:lastPrinted>2004-11-19T15:42:00Z</cp:lastPrinted>
  <dcterms:created xsi:type="dcterms:W3CDTF">2026-04-27T12:02:00Z</dcterms:created>
  <dcterms:modified xsi:type="dcterms:W3CDTF">2026-04-28T11:21:00Z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A10-0119/2026</vt:lpwstr>
  </property>
  <property fmtid="{D5CDD505-2E9C-101B-9397-08002B2CF9AE}" pid="4" name="&lt;Type&gt;">
    <vt:lpwstr>RR</vt:lpwstr>
  </property>
</Properties>
</file>