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EDEF2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12AF" w:rsidP="0010095E" w14:paraId="73E391A7" w14:textId="77777777">
            <w:pPr>
              <w:pStyle w:val="EPName"/>
            </w:pPr>
            <w:r w:rsidRPr="001D12AF">
              <w:t>Európsky parlament</w:t>
            </w:r>
          </w:p>
          <w:p w:rsidR="00751A4A" w:rsidRPr="001D12AF" w:rsidP="005F1B17" w14:paraId="7C57B88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12AF">
              <w:t>2024</w:t>
            </w:r>
            <w:r w:rsidRPr="001D12AF" w:rsidR="00817416">
              <w:t>-202</w:t>
            </w:r>
            <w:r w:rsidRPr="001D12A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D12AF" w:rsidP="0010095E" w14:paraId="4C4E7BBD" w14:textId="77777777">
            <w:pPr>
              <w:pStyle w:val="EPLogo"/>
            </w:pPr>
            <w:r w:rsidRPr="001D12A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12AF" w:rsidP="004C5D52" w14:paraId="37FBAD4A" w14:textId="77777777">
      <w:pPr>
        <w:pStyle w:val="LineTop"/>
      </w:pPr>
    </w:p>
    <w:p w:rsidR="00680577" w:rsidRPr="001D12AF" w:rsidP="00680577" w14:paraId="4D33C3BA" w14:textId="77777777">
      <w:pPr>
        <w:pStyle w:val="EPBodyTA1"/>
      </w:pPr>
      <w:r w:rsidRPr="001D12AF">
        <w:t>PRIJATÉ TEXTY</w:t>
      </w:r>
    </w:p>
    <w:p w:rsidR="00D058B8" w:rsidRPr="001D12AF" w:rsidP="00D058B8" w14:paraId="55E89A39" w14:textId="77777777">
      <w:pPr>
        <w:pStyle w:val="LineBottom"/>
      </w:pPr>
    </w:p>
    <w:p w:rsidR="003B6BB4" w:rsidRPr="001D12AF" w:rsidP="003B6BB4" w14:paraId="57716CE0" w14:textId="4D7166A2">
      <w:pPr>
        <w:pStyle w:val="ATHeading1"/>
      </w:pPr>
      <w:bookmarkStart w:id="0" w:name="TANumber"/>
      <w:r w:rsidRPr="001D12AF">
        <w:t>P10_TA(2026)0</w:t>
      </w:r>
      <w:r w:rsidRPr="001D12AF" w:rsidR="001D12AF">
        <w:t>110</w:t>
      </w:r>
      <w:bookmarkEnd w:id="0"/>
    </w:p>
    <w:p w:rsidR="003B6BB4" w:rsidRPr="001D12AF" w:rsidP="003B6BB4" w14:paraId="356AA3FE" w14:textId="77777777">
      <w:pPr>
        <w:pStyle w:val="ATHeading2"/>
      </w:pPr>
      <w:bookmarkStart w:id="1" w:name="title"/>
      <w:r w:rsidRPr="001D12AF">
        <w:t xml:space="preserve">Žiadosť o zbavenie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 xml:space="preserve"> imunity</w:t>
      </w:r>
      <w:bookmarkEnd w:id="1"/>
    </w:p>
    <w:p w:rsidR="003B6BB4" w:rsidRPr="001D12AF" w:rsidP="003B6BB4" w14:paraId="57222036" w14:textId="77777777">
      <w:pPr>
        <w:rPr>
          <w:i/>
          <w:vanish/>
        </w:rPr>
      </w:pPr>
      <w:r>
        <w:rPr>
          <w:i/>
        </w:rPr>
        <w:fldChar w:fldCharType="begin"/>
      </w:r>
      <w:r w:rsidRPr="001D12AF">
        <w:rPr>
          <w:i/>
        </w:rPr>
        <w:instrText xml:space="preserve"> TC"(</w:instrText>
      </w:r>
      <w:bookmarkStart w:id="2" w:name="DocNumber"/>
      <w:r w:rsidRPr="001D12AF">
        <w:rPr>
          <w:i/>
        </w:rPr>
        <w:instrText>A10-0119/2026</w:instrText>
      </w:r>
      <w:bookmarkEnd w:id="2"/>
      <w:r w:rsidRPr="001D12AF">
        <w:rPr>
          <w:i/>
        </w:rPr>
        <w:instrText xml:space="preserve"> - Spravodajca: </w:instrText>
      </w:r>
      <w:r w:rsidRPr="001D12AF">
        <w:rPr>
          <w:i/>
        </w:rPr>
        <w:instrText>Mario</w:instrText>
      </w:r>
      <w:r w:rsidRPr="001D12AF">
        <w:rPr>
          <w:i/>
        </w:rPr>
        <w:instrText xml:space="preserve"> </w:instrText>
      </w:r>
      <w:r w:rsidRPr="001D12AF">
        <w:rPr>
          <w:i/>
        </w:rPr>
        <w:instrText>Furore</w:instrText>
      </w:r>
      <w:r w:rsidRPr="001D12A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B6BB4" w:rsidRPr="001D12AF" w:rsidP="003B6BB4" w14:paraId="533AA8C2" w14:textId="77777777">
      <w:pPr>
        <w:rPr>
          <w:vanish/>
        </w:rPr>
      </w:pPr>
      <w:bookmarkStart w:id="3" w:name="Commission"/>
      <w:r w:rsidRPr="001D12AF">
        <w:rPr>
          <w:vanish/>
        </w:rPr>
        <w:t>Výbor pre právne veci</w:t>
      </w:r>
      <w:bookmarkEnd w:id="3"/>
    </w:p>
    <w:p w:rsidR="003B6BB4" w:rsidRPr="001D12AF" w:rsidP="003B6BB4" w14:paraId="0C68FEF5" w14:textId="77777777">
      <w:pPr>
        <w:rPr>
          <w:vanish/>
        </w:rPr>
      </w:pPr>
      <w:bookmarkStart w:id="4" w:name="PE"/>
      <w:r w:rsidRPr="001D12AF">
        <w:rPr>
          <w:vanish/>
        </w:rPr>
        <w:t>PE784.496</w:t>
      </w:r>
      <w:bookmarkEnd w:id="4"/>
    </w:p>
    <w:p w:rsidR="003B6BB4" w:rsidRPr="001D12AF" w:rsidP="003B6BB4" w14:paraId="3309C6BC" w14:textId="52F3C4DA">
      <w:pPr>
        <w:pStyle w:val="ATHeading3"/>
      </w:pPr>
      <w:bookmarkStart w:id="5" w:name="Sujet"/>
      <w:r w:rsidRPr="001D12AF">
        <w:t>Rozhodnutie Európskeho parlamentu z</w:t>
      </w:r>
      <w:r w:rsidRPr="001D12AF" w:rsidR="003C66A7">
        <w:t> 28. apríla</w:t>
      </w:r>
      <w:r w:rsidRPr="001D12AF">
        <w:t xml:space="preserve"> 2026 o žiadosti o zbavenie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 xml:space="preserve"> imunity</w:t>
      </w:r>
      <w:bookmarkEnd w:id="5"/>
      <w:r w:rsidRPr="001D12AF">
        <w:t xml:space="preserve"> </w:t>
      </w:r>
      <w:bookmarkStart w:id="6" w:name="References"/>
      <w:r w:rsidRPr="001D12AF">
        <w:t>(2025/2222(IMM))</w:t>
      </w:r>
      <w:bookmarkEnd w:id="6"/>
    </w:p>
    <w:p w:rsidR="004446DC" w:rsidRPr="001D12AF" w:rsidP="004446DC" w14:paraId="3D895761" w14:textId="77777777">
      <w:pPr>
        <w:pStyle w:val="EPComma"/>
      </w:pPr>
      <w:bookmarkStart w:id="7" w:name="TextBodyBegin"/>
      <w:bookmarkEnd w:id="7"/>
      <w:r w:rsidRPr="001D12AF">
        <w:rPr>
          <w:i/>
          <w:iCs/>
        </w:rPr>
        <w:t>Európsky parlament</w:t>
      </w:r>
      <w:r w:rsidRPr="001D12AF">
        <w:t>,</w:t>
      </w:r>
    </w:p>
    <w:p w:rsidR="004446DC" w:rsidRPr="001D12AF" w:rsidP="004446DC" w14:paraId="58E9F276" w14:textId="2031DE14">
      <w:pPr>
        <w:pStyle w:val="NormalHanging12a"/>
      </w:pPr>
      <w:r w:rsidRPr="001D12AF">
        <w:t>–</w:t>
      </w:r>
      <w:r w:rsidRPr="001D12AF">
        <w:tab/>
        <w:t xml:space="preserve">so zreteľom na žiadosť o zbavenie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 xml:space="preserve"> (Luisa </w:t>
      </w:r>
      <w:r w:rsidRPr="001D12AF">
        <w:t>Péreza</w:t>
      </w:r>
      <w:r w:rsidRPr="001D12AF">
        <w:t xml:space="preserve"> </w:t>
      </w:r>
      <w:r w:rsidRPr="001D12AF">
        <w:t>Fernándeza</w:t>
      </w:r>
      <w:r w:rsidRPr="001D12AF">
        <w:t>) imunity, ktorú listom zo 7. októbra 2025 podal Najvyšší súd v Španielsku v súvislosti s trestným konaním, ktoré sa má proti nemu začať, a ktorá bola oznámená v</w:t>
      </w:r>
      <w:r w:rsidRPr="001D12AF" w:rsidR="003C66A7">
        <w:t> Európskom p</w:t>
      </w:r>
      <w:r w:rsidRPr="001D12AF">
        <w:t>arlamente 22. októbra 2025,</w:t>
      </w:r>
    </w:p>
    <w:p w:rsidR="004446DC" w:rsidRPr="001D12AF" w:rsidP="004446DC" w14:paraId="22078AFC" w14:textId="77777777">
      <w:pPr>
        <w:pStyle w:val="NormalHanging12a"/>
      </w:pPr>
      <w:r w:rsidRPr="001D12AF">
        <w:t>–</w:t>
      </w:r>
      <w:r w:rsidRPr="001D12AF">
        <w:tab/>
        <w:t xml:space="preserve">po vypočutí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 xml:space="preserve"> 24. marca 2026 v súlade s článkom 9 ods. 6 rokovacieho poriadku,</w:t>
      </w:r>
    </w:p>
    <w:p w:rsidR="004446DC" w:rsidRPr="001D12AF" w:rsidP="004446DC" w14:paraId="166BB187" w14:textId="77777777">
      <w:pPr>
        <w:pStyle w:val="NormalHanging12a"/>
      </w:pPr>
      <w:r w:rsidRPr="001D12AF">
        <w:t>–</w:t>
      </w:r>
      <w:r w:rsidRPr="001D12AF">
        <w:tab/>
        <w:t>so zreteľom na články 8 a 9 Protokolu č. 7 o výsadách a imunitách Európskej únie, ako aj na článok 6 ods. 2 Aktu z 20. septembra 1976 o priamych a všeobecných voľbách poslancov Európskeho parlamentu,</w:t>
      </w:r>
    </w:p>
    <w:p w:rsidR="004446DC" w:rsidRPr="001D12AF" w:rsidP="004446DC" w14:paraId="3C864290" w14:textId="77777777">
      <w:pPr>
        <w:pStyle w:val="NormalHanging12a"/>
      </w:pPr>
      <w:r w:rsidRPr="001D12AF">
        <w:t>–</w:t>
      </w:r>
      <w:r w:rsidRPr="001D12AF">
        <w:tab/>
        <w:t>so zreteľom na rozsudky Súdneho dvora Európskej únie z 21. októbra 2008, 19. marca 2010, 6. septembra 2011, 17. januára 2013 a 19. decembra 2019</w:t>
      </w:r>
      <w:r>
        <w:rPr>
          <w:rStyle w:val="FootnoteReference"/>
          <w:color w:val="000000"/>
        </w:rPr>
        <w:footnoteReference w:id="2"/>
      </w:r>
      <w:r w:rsidRPr="001D12AF">
        <w:t>,</w:t>
      </w:r>
    </w:p>
    <w:p w:rsidR="004446DC" w:rsidRPr="001D12AF" w:rsidP="004446DC" w14:paraId="05B462D6" w14:textId="77777777">
      <w:pPr>
        <w:pStyle w:val="NormalHanging12a"/>
      </w:pPr>
      <w:r w:rsidRPr="001D12AF">
        <w:t>–</w:t>
      </w:r>
      <w:r w:rsidRPr="001D12AF">
        <w:tab/>
        <w:t>so zreteľom na článok 71 ods. 1 a 2 španielskej ústavy,</w:t>
      </w:r>
    </w:p>
    <w:p w:rsidR="004446DC" w:rsidRPr="001D12AF" w:rsidP="004446DC" w14:paraId="74405B05" w14:textId="77777777">
      <w:pPr>
        <w:pStyle w:val="NormalHanging12a"/>
      </w:pPr>
      <w:r w:rsidRPr="001D12AF">
        <w:t>–</w:t>
      </w:r>
      <w:r w:rsidRPr="001D12AF">
        <w:tab/>
        <w:t>so zreteľom na článok 5 ods. 2, článok 6 ods. 1 a článok 9 rokovacieho poriadku,</w:t>
      </w:r>
    </w:p>
    <w:p w:rsidR="004446DC" w:rsidRPr="001D12AF" w:rsidP="004446DC" w14:paraId="63F0C042" w14:textId="77777777">
      <w:pPr>
        <w:pStyle w:val="NormalHanging12a"/>
      </w:pPr>
      <w:r w:rsidRPr="001D12AF">
        <w:t>–</w:t>
      </w:r>
      <w:r w:rsidRPr="001D12AF">
        <w:tab/>
        <w:t>so zreteľom na správu Výboru pre právne veci (A10-0119/2026),</w:t>
      </w:r>
    </w:p>
    <w:p w:rsidR="004446DC" w:rsidRPr="001D12AF" w:rsidP="004446DC" w14:paraId="260C7E1E" w14:textId="77777777">
      <w:pPr>
        <w:pStyle w:val="NormalHanging12a"/>
      </w:pPr>
      <w:r w:rsidRPr="001D12AF">
        <w:t>A.</w:t>
      </w:r>
      <w:r w:rsidRPr="001D12AF">
        <w:tab/>
        <w:t xml:space="preserve">keďže predseda Najvyššieho súdu v Španielsku podal listom zo 7. októbra 2025 žiadosť o zbavenie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>, poslanca Európskeho parlamentu zvoleného v Španielsku, imunity v súvislosti s údajnými trestné činy, ku ktorým došlo v roku 2024;</w:t>
      </w:r>
    </w:p>
    <w:p w:rsidR="004446DC" w:rsidRPr="001D12AF" w:rsidP="001D12AF" w14:paraId="484F0C15" w14:textId="77777777">
      <w:pPr>
        <w:pStyle w:val="Normal12a"/>
        <w:ind w:left="567" w:hanging="567"/>
      </w:pPr>
      <w:r w:rsidRPr="001D12AF">
        <w:rPr>
          <w:shd w:val="clear" w:color="auto" w:fill="FFFFFF"/>
        </w:rPr>
        <w:t>B.</w:t>
      </w:r>
      <w:r w:rsidRPr="001D12AF">
        <w:rPr>
          <w:shd w:val="clear" w:color="auto" w:fill="FFFFFF"/>
        </w:rPr>
        <w:tab/>
      </w:r>
      <w:r w:rsidRPr="001D12AF">
        <w:t xml:space="preserve">keďže v žiadosti sa uvádza, že v januári a vo februári 2024 správca kanála platformy Telegram s názvom </w:t>
      </w:r>
      <w:r w:rsidRPr="001D12AF">
        <w:rPr>
          <w:i/>
        </w:rPr>
        <w:t>Alvise</w:t>
      </w:r>
      <w:r w:rsidRPr="001D12AF">
        <w:rPr>
          <w:i/>
        </w:rPr>
        <w:t xml:space="preserve"> </w:t>
      </w:r>
      <w:r w:rsidRPr="001D12AF">
        <w:rPr>
          <w:i/>
        </w:rPr>
        <w:t>Pérez</w:t>
      </w:r>
      <w:r w:rsidRPr="001D12AF">
        <w:rPr>
          <w:i/>
        </w:rPr>
        <w:t xml:space="preserve"> Chat</w:t>
      </w:r>
      <w:r w:rsidRPr="001D12AF">
        <w:t xml:space="preserve"> údajne uverejnil vyhlásenia, v ktorých spomenul mená „osôb zodpovedných za ideologické prenasledovanie známe ako trestné činy z nenávisti“, pričom sa odvolával najmä na delegovaného prokurátora pre trestné činy z nenávisti vo Valencii; keďže vyhlásenia uverejnené na tomto kanáli vyvolali okamžitú reakciu mnohých </w:t>
      </w:r>
      <w:r w:rsidRPr="001D12AF">
        <w:t>sledovateľov</w:t>
      </w:r>
      <w:r w:rsidRPr="001D12AF">
        <w:t xml:space="preserve"> kanála, ktorí danému delegovanému prokurátorovi zaslali viac ako 1 500 komentárov, pričom väčšina z nich bola urážlivej povahy; keďže toto údajné konanie môže predstavovať trestné činy obťažovania alebo prenasledovania, podnecovania k spáchaniu útoku na orgán alebo verejného činiteľa, nátlaku a/alebo šírenia nenávisti prostredníctvom sociálnych médií podľa článku 172b a článku 18 ods. 1 španielskeho Trestného zákona v spojení s článkom 553 španielskeho Trestného zákona;</w:t>
      </w:r>
    </w:p>
    <w:p w:rsidR="004446DC" w:rsidRPr="001D12AF" w:rsidP="004446DC" w14:paraId="1B8F4A89" w14:textId="77777777">
      <w:pPr>
        <w:pStyle w:val="NormalHanging12a"/>
        <w:rPr>
          <w:szCs w:val="24"/>
          <w:shd w:val="clear" w:color="auto" w:fill="FFFFFF"/>
        </w:rPr>
      </w:pPr>
      <w:r w:rsidRPr="001D12AF">
        <w:t>C.</w:t>
      </w:r>
      <w:r w:rsidRPr="001D12AF">
        <w:tab/>
      </w:r>
      <w:r w:rsidRPr="001D12AF">
        <w:rPr>
          <w:shd w:val="clear" w:color="auto" w:fill="FFFFFF"/>
        </w:rPr>
        <w:t xml:space="preserve">keďže </w:t>
      </w:r>
      <w:r w:rsidRPr="001D12AF">
        <w:t>Alvise</w:t>
      </w:r>
      <w:r w:rsidRPr="001D12AF">
        <w:t xml:space="preserve"> </w:t>
      </w:r>
      <w:r w:rsidRPr="001D12AF">
        <w:t>Pérez</w:t>
      </w:r>
      <w:r w:rsidRPr="001D12AF">
        <w:rPr>
          <w:shd w:val="clear" w:color="auto" w:fill="FFFFFF"/>
        </w:rPr>
        <w:t xml:space="preserve"> bol zvolený do Európskeho parlamentu v európskych voľbách v júni 2024, a preto nebol v čase spáchania údajných priestupkov poslancom Európskeho parlamentu; </w:t>
      </w:r>
    </w:p>
    <w:p w:rsidR="004446DC" w:rsidRPr="001D12AF" w:rsidP="004446DC" w14:paraId="632B397E" w14:textId="633E61C9">
      <w:pPr>
        <w:pStyle w:val="NormalHanging12a"/>
      </w:pPr>
      <w:r w:rsidRPr="001D12AF">
        <w:t>D.</w:t>
      </w:r>
      <w:r w:rsidRPr="001D12AF">
        <w:tab/>
        <w:t>keďže údajné trestné činy nepre</w:t>
      </w:r>
      <w:r w:rsidRPr="001D12AF" w:rsidR="0074230C">
        <w:t>d</w:t>
      </w:r>
      <w:r w:rsidRPr="001D12AF">
        <w:t xml:space="preserve">stavujú vyjadrený názor alebo hlasovanie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 xml:space="preserve"> pri výkone jeho úloh v zmysle článku 8 Protokolu č. 7 o výsadách a imunitách Európskej únie, a </w:t>
      </w:r>
      <w:r w:rsidRPr="001D12AF" w:rsidR="0074230C">
        <w:t>následná</w:t>
      </w:r>
      <w:r w:rsidRPr="001D12AF">
        <w:t xml:space="preserve"> žiadosť o zbavenie </w:t>
      </w:r>
      <w:r w:rsidRPr="001D12AF">
        <w:t>Alviseho</w:t>
      </w:r>
      <w:r w:rsidRPr="001D12AF">
        <w:t xml:space="preserve"> </w:t>
      </w:r>
      <w:r w:rsidRPr="001D12AF">
        <w:t>Péreza</w:t>
      </w:r>
      <w:r w:rsidRPr="001D12AF">
        <w:t xml:space="preserve"> imunity s tým nesúvisí;</w:t>
      </w:r>
    </w:p>
    <w:p w:rsidR="004446DC" w:rsidRPr="001D12AF" w:rsidP="004446DC" w14:paraId="0C497ACE" w14:textId="6B3A3E2C">
      <w:pPr>
        <w:pStyle w:val="NormalHanging12a"/>
      </w:pPr>
      <w:r w:rsidRPr="001D12AF">
        <w:t>E.</w:t>
      </w:r>
      <w:r w:rsidRPr="001D12AF">
        <w:tab/>
        <w:t xml:space="preserve">keďže v článku 9 ods. 1 písm. a) Protokolu č. 7 o výsadách a imunitách Európskej únie sa stanovuje, že v priebehu zasadnutia Európskeho parlamentu požívajú poslanci Európskeho parlamentu na území ich vlastného </w:t>
      </w:r>
      <w:r w:rsidRPr="001D12AF" w:rsidR="004A037A">
        <w:t xml:space="preserve">členského </w:t>
      </w:r>
      <w:r w:rsidRPr="001D12AF">
        <w:t>štátu imunitu priznanú členom parlamentu</w:t>
      </w:r>
      <w:r w:rsidRPr="001D12AF" w:rsidR="004A037A">
        <w:t xml:space="preserve"> ich členského štátu</w:t>
      </w:r>
      <w:r w:rsidRPr="001D12AF">
        <w:t>;</w:t>
      </w:r>
    </w:p>
    <w:p w:rsidR="004446DC" w:rsidRPr="001D12AF" w:rsidP="004446DC" w14:paraId="79F8F71E" w14:textId="77777777">
      <w:pPr>
        <w:pStyle w:val="Normal12Hanging"/>
      </w:pPr>
      <w:r w:rsidRPr="001D12AF">
        <w:t>F.</w:t>
      </w:r>
      <w:r w:rsidRPr="001D12AF">
        <w:tab/>
        <w:t>keďže článok 71 ods. 1 a 2 španielskej ústavy stanovuje, že:</w:t>
      </w:r>
    </w:p>
    <w:p w:rsidR="004446DC" w:rsidRPr="001D12AF" w:rsidP="001D12AF" w14:paraId="5F2D2246" w14:textId="34701C3D">
      <w:pPr>
        <w:pStyle w:val="Normal12Hanging"/>
        <w:ind w:left="1134"/>
        <w:rPr>
          <w:iCs/>
        </w:rPr>
      </w:pPr>
      <w:r w:rsidRPr="001D12AF">
        <w:t xml:space="preserve">„1. </w:t>
      </w:r>
      <w:r w:rsidRPr="001D12AF" w:rsidR="00F10887">
        <w:tab/>
      </w:r>
      <w:r w:rsidRPr="001D12AF" w:rsidR="00132459">
        <w:t>Poslanci a senátori sú v súvislosti s názormi vyjadrenými pri výkone svojich funkcií nedotknuteľní</w:t>
      </w:r>
      <w:r w:rsidRPr="001D12AF">
        <w:t>.</w:t>
      </w:r>
    </w:p>
    <w:p w:rsidR="004446DC" w:rsidRPr="001D12AF" w:rsidP="001D12AF" w14:paraId="6188B251" w14:textId="4BF82C8C">
      <w:pPr>
        <w:pStyle w:val="Normal12Hanging"/>
        <w:ind w:left="1134"/>
        <w:rPr>
          <w:iCs/>
          <w:color w:val="000000"/>
        </w:rPr>
      </w:pPr>
      <w:r w:rsidRPr="001D12AF">
        <w:t xml:space="preserve">2. </w:t>
      </w:r>
      <w:r w:rsidRPr="001D12AF" w:rsidR="00F10887">
        <w:tab/>
      </w:r>
      <w:r w:rsidRPr="001D12AF" w:rsidR="00132459">
        <w:t>Počas svojho funkčného obdobia požívajú poslanci a senátori imunitu a môžu byť zatknutí len v prípade, že sú pristihnutí pri páchaní trestného činu. Nemôžu byť obvinení ani postavení pred súd bez predchádzajúceho súhlasu príslušnej komory</w:t>
      </w:r>
      <w:r w:rsidRPr="001D12AF">
        <w:t>.“;</w:t>
      </w:r>
    </w:p>
    <w:p w:rsidR="004446DC" w:rsidRPr="001D12AF" w:rsidP="004446DC" w14:paraId="542DB3ED" w14:textId="0AD1CF47">
      <w:pPr>
        <w:pStyle w:val="NormalHanging12a"/>
        <w:rPr>
          <w:color w:val="000000"/>
        </w:rPr>
      </w:pPr>
      <w:r w:rsidRPr="001D12AF">
        <w:rPr>
          <w:color w:val="000000"/>
        </w:rPr>
        <w:t>G.</w:t>
      </w:r>
      <w:r w:rsidRPr="001D12AF">
        <w:rPr>
          <w:color w:val="000000"/>
        </w:rPr>
        <w:tab/>
        <w:t xml:space="preserve">keďže účelom imunity podľa Protokolu č. 7 o výsadách a imunitách Európskej únie je chrániť </w:t>
      </w:r>
      <w:r w:rsidRPr="001D12AF" w:rsidR="003C66A7">
        <w:rPr>
          <w:color w:val="000000"/>
        </w:rPr>
        <w:t>Európsky p</w:t>
      </w:r>
      <w:r w:rsidRPr="001D12AF">
        <w:rPr>
          <w:color w:val="000000"/>
        </w:rPr>
        <w:t>arlament a jeho poslancov pred súdnymi konaniami v súvislosti s činnosťami vykonávanými pri plnení poslaneckých povinností, ktoré nemožno oddeliť od týchto povinností;</w:t>
      </w:r>
    </w:p>
    <w:p w:rsidR="004446DC" w:rsidRPr="001D12AF" w:rsidP="004446DC" w14:paraId="785C7784" w14:textId="77777777">
      <w:pPr>
        <w:pStyle w:val="NormalHanging12a"/>
        <w:rPr>
          <w:color w:val="000000"/>
        </w:rPr>
      </w:pPr>
      <w:r w:rsidRPr="001D12AF">
        <w:rPr>
          <w:color w:val="000000"/>
        </w:rPr>
        <w:t>H.</w:t>
      </w:r>
      <w:r w:rsidRPr="001D12AF">
        <w:rPr>
          <w:color w:val="000000"/>
        </w:rPr>
        <w:tab/>
        <w:t xml:space="preserve">keďže v súlade s článkom 5 ods. 2 rokovacieho poriadku poslanecká imunita nie je </w:t>
      </w:r>
      <w:r w:rsidRPr="001D12AF">
        <w:rPr>
          <w:color w:val="000000"/>
        </w:rPr>
        <w:t>osobná výsada poslanca, ale záruka nezávislosti Európskeho parlamentu ako celku a jeho poslancov;</w:t>
      </w:r>
    </w:p>
    <w:p w:rsidR="004446DC" w:rsidRPr="001D12AF" w:rsidP="004446DC" w14:paraId="0E61FCCA" w14:textId="63F0A77F">
      <w:pPr>
        <w:pStyle w:val="NormalHanging12a"/>
        <w:rPr>
          <w:color w:val="000000"/>
        </w:rPr>
      </w:pPr>
      <w:r w:rsidRPr="001D12AF">
        <w:rPr>
          <w:color w:val="000000"/>
        </w:rPr>
        <w:t>I.</w:t>
      </w:r>
      <w:r w:rsidRPr="001D12AF">
        <w:rPr>
          <w:color w:val="000000"/>
        </w:rPr>
        <w:tab/>
        <w:t xml:space="preserve">keďže </w:t>
      </w:r>
      <w:r w:rsidRPr="001D12AF" w:rsidR="003C66A7">
        <w:rPr>
          <w:color w:val="000000"/>
        </w:rPr>
        <w:t xml:space="preserve">v tomto prípade </w:t>
      </w:r>
      <w:r w:rsidRPr="001D12AF">
        <w:rPr>
          <w:color w:val="000000"/>
        </w:rPr>
        <w:t xml:space="preserve">Európsky parlament nenašiel žiadny dôkaz </w:t>
      </w:r>
      <w:r w:rsidRPr="001D12AF">
        <w:rPr>
          <w:i/>
          <w:color w:val="000000"/>
        </w:rPr>
        <w:t>fumus</w:t>
      </w:r>
      <w:r w:rsidRPr="001D12AF">
        <w:rPr>
          <w:i/>
          <w:color w:val="000000"/>
        </w:rPr>
        <w:t xml:space="preserve"> </w:t>
      </w:r>
      <w:r w:rsidRPr="001D12AF">
        <w:rPr>
          <w:i/>
          <w:color w:val="000000"/>
        </w:rPr>
        <w:t>persecutionis</w:t>
      </w:r>
      <w:r w:rsidRPr="001D12AF">
        <w:rPr>
          <w:color w:val="000000"/>
        </w:rPr>
        <w:t xml:space="preserve">, t. j. </w:t>
      </w:r>
      <w:r w:rsidRPr="001D12AF" w:rsidR="00132459">
        <w:rPr>
          <w:color w:val="000000"/>
        </w:rPr>
        <w:t>nezdá sa</w:t>
      </w:r>
      <w:r w:rsidRPr="001D12AF">
        <w:rPr>
          <w:color w:val="000000"/>
        </w:rPr>
        <w:t xml:space="preserve">, že </w:t>
      </w:r>
      <w:r w:rsidRPr="001D12AF" w:rsidR="00132459">
        <w:rPr>
          <w:color w:val="000000"/>
        </w:rPr>
        <w:t xml:space="preserve">zámerom </w:t>
      </w:r>
      <w:r w:rsidRPr="001D12AF">
        <w:rPr>
          <w:color w:val="000000"/>
        </w:rPr>
        <w:t>predmetné</w:t>
      </w:r>
      <w:r w:rsidRPr="001D12AF" w:rsidR="00132459">
        <w:rPr>
          <w:color w:val="000000"/>
        </w:rPr>
        <w:t>ho</w:t>
      </w:r>
      <w:r w:rsidRPr="001D12AF">
        <w:rPr>
          <w:color w:val="000000"/>
        </w:rPr>
        <w:t xml:space="preserve"> súdne</w:t>
      </w:r>
      <w:r w:rsidRPr="001D12AF" w:rsidR="00132459">
        <w:rPr>
          <w:color w:val="000000"/>
        </w:rPr>
        <w:t>ho</w:t>
      </w:r>
      <w:r w:rsidRPr="001D12AF">
        <w:rPr>
          <w:color w:val="000000"/>
        </w:rPr>
        <w:t xml:space="preserve"> konani</w:t>
      </w:r>
      <w:r w:rsidRPr="001D12AF" w:rsidR="00132459">
        <w:rPr>
          <w:color w:val="000000"/>
        </w:rPr>
        <w:t>a</w:t>
      </w:r>
      <w:r w:rsidRPr="001D12AF">
        <w:rPr>
          <w:color w:val="000000"/>
        </w:rPr>
        <w:t xml:space="preserve"> </w:t>
      </w:r>
      <w:r w:rsidRPr="001D12AF" w:rsidR="00132459">
        <w:rPr>
          <w:color w:val="000000"/>
        </w:rPr>
        <w:t>je</w:t>
      </w:r>
      <w:r w:rsidRPr="001D12AF">
        <w:rPr>
          <w:color w:val="000000"/>
        </w:rPr>
        <w:t xml:space="preserve"> poškodiť politickú činnosť </w:t>
      </w:r>
      <w:r w:rsidRPr="001D12AF">
        <w:rPr>
          <w:color w:val="000000"/>
        </w:rPr>
        <w:t>Alviseho</w:t>
      </w:r>
      <w:r w:rsidRPr="001D12AF">
        <w:rPr>
          <w:color w:val="000000"/>
        </w:rPr>
        <w:t xml:space="preserve"> </w:t>
      </w:r>
      <w:r w:rsidRPr="001D12AF">
        <w:rPr>
          <w:color w:val="000000"/>
        </w:rPr>
        <w:t>Péreza</w:t>
      </w:r>
      <w:r w:rsidRPr="001D12AF">
        <w:rPr>
          <w:color w:val="000000"/>
        </w:rPr>
        <w:t xml:space="preserve"> ako poslanca Európskeho parlamentu</w:t>
      </w:r>
      <w:r w:rsidRPr="001D12AF" w:rsidR="00132459">
        <w:rPr>
          <w:color w:val="000000"/>
        </w:rPr>
        <w:t xml:space="preserve">, a tým aj nezávislosť </w:t>
      </w:r>
      <w:r w:rsidRPr="001D12AF" w:rsidR="004A037A">
        <w:rPr>
          <w:color w:val="000000"/>
        </w:rPr>
        <w:t>Európskeho p</w:t>
      </w:r>
      <w:r w:rsidRPr="001D12AF" w:rsidR="00132459">
        <w:rPr>
          <w:color w:val="000000"/>
        </w:rPr>
        <w:t>arlamentu</w:t>
      </w:r>
      <w:r w:rsidRPr="001D12AF">
        <w:rPr>
          <w:color w:val="000000"/>
        </w:rPr>
        <w:t>;</w:t>
      </w:r>
    </w:p>
    <w:p w:rsidR="004446DC" w:rsidRPr="001D12AF" w:rsidP="004446DC" w14:paraId="602B9258" w14:textId="6C443223">
      <w:pPr>
        <w:pStyle w:val="NormalHanging12a"/>
        <w:rPr>
          <w:color w:val="000000"/>
        </w:rPr>
      </w:pPr>
      <w:r w:rsidRPr="001D12AF">
        <w:rPr>
          <w:color w:val="000000"/>
        </w:rPr>
        <w:t>J.</w:t>
      </w:r>
      <w:r w:rsidRPr="001D12AF">
        <w:rPr>
          <w:color w:val="000000"/>
        </w:rPr>
        <w:tab/>
        <w:t xml:space="preserve">keďže </w:t>
      </w:r>
      <w:r w:rsidRPr="001D12AF" w:rsidR="003C66A7">
        <w:rPr>
          <w:color w:val="000000"/>
        </w:rPr>
        <w:t>Európsky p</w:t>
      </w:r>
      <w:r w:rsidRPr="001D12AF">
        <w:rPr>
          <w:color w:val="000000"/>
        </w:rPr>
        <w:t>arlament nemožno považovať za súd a poslanec nemôže byť v súvislosti s postupom zbavenia imunity považovaný za obvineného</w:t>
      </w:r>
      <w:r>
        <w:rPr>
          <w:color w:val="000000"/>
          <w:vertAlign w:val="superscript"/>
        </w:rPr>
        <w:footnoteReference w:id="3"/>
      </w:r>
      <w:r w:rsidRPr="001D12AF">
        <w:rPr>
          <w:color w:val="000000"/>
        </w:rPr>
        <w:t>;</w:t>
      </w:r>
    </w:p>
    <w:p w:rsidR="004446DC" w:rsidRPr="001D12AF" w:rsidP="004446DC" w14:paraId="029A2652" w14:textId="77777777">
      <w:pPr>
        <w:pStyle w:val="NormalHanging12a"/>
        <w:rPr>
          <w:color w:val="000000"/>
        </w:rPr>
      </w:pPr>
      <w:r w:rsidRPr="001D12AF">
        <w:rPr>
          <w:color w:val="000000"/>
        </w:rPr>
        <w:t>1.</w:t>
      </w:r>
      <w:r w:rsidRPr="001D12AF">
        <w:rPr>
          <w:color w:val="000000"/>
        </w:rPr>
        <w:tab/>
        <w:t xml:space="preserve">rozhodol zbaviť </w:t>
      </w:r>
      <w:r w:rsidRPr="001D12AF">
        <w:rPr>
          <w:color w:val="000000"/>
        </w:rPr>
        <w:t>Alviseho</w:t>
      </w:r>
      <w:r w:rsidRPr="001D12AF">
        <w:rPr>
          <w:color w:val="000000"/>
        </w:rPr>
        <w:t xml:space="preserve"> </w:t>
      </w:r>
      <w:r w:rsidRPr="001D12AF">
        <w:rPr>
          <w:color w:val="000000"/>
        </w:rPr>
        <w:t>Péreza</w:t>
      </w:r>
      <w:r w:rsidRPr="001D12AF">
        <w:rPr>
          <w:color w:val="000000"/>
        </w:rPr>
        <w:t xml:space="preserve"> imunity;</w:t>
      </w:r>
    </w:p>
    <w:p w:rsidR="00E365E1" w:rsidRPr="001D12AF" w:rsidP="001D12AF" w14:paraId="7427D239" w14:textId="4A5240F8">
      <w:pPr>
        <w:pStyle w:val="NormalHanging12a"/>
      </w:pPr>
      <w:r w:rsidRPr="001D12AF">
        <w:t>2.</w:t>
      </w:r>
      <w:r w:rsidRPr="001D12AF">
        <w:tab/>
        <w:t xml:space="preserve">poveruje svoju predsedníčku, aby bezodkladne postúpila toto rozhodnutie a správu </w:t>
      </w:r>
      <w:r w:rsidRPr="001D12AF">
        <w:rPr>
          <w:color w:val="000000"/>
        </w:rPr>
        <w:t>gestorského</w:t>
      </w:r>
      <w:r w:rsidRPr="001D12AF">
        <w:t xml:space="preserve"> výboru príslušn</w:t>
      </w:r>
      <w:r w:rsidRPr="001D12AF" w:rsidR="009111CC">
        <w:t>ým</w:t>
      </w:r>
      <w:r w:rsidRPr="001D12AF">
        <w:t xml:space="preserve"> orgán</w:t>
      </w:r>
      <w:r w:rsidRPr="001D12AF" w:rsidR="009111CC">
        <w:t>om</w:t>
      </w:r>
      <w:r w:rsidRPr="001D12AF">
        <w:t xml:space="preserve"> Španielskeho kráľovstva a </w:t>
      </w:r>
      <w:r w:rsidRPr="001D12AF">
        <w:t>Alvisovi</w:t>
      </w:r>
      <w:r w:rsidRPr="001D12AF">
        <w:t xml:space="preserve"> </w:t>
      </w:r>
      <w:r w:rsidRPr="001D12AF">
        <w:t>Pérezovi</w:t>
      </w:r>
      <w:r w:rsidRPr="001D12AF">
        <w:t>.</w:t>
      </w:r>
    </w:p>
    <w:sectPr w:rsidSect="00CD6B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6BBA" w14:paraId="08B9787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6BBA" w14:paraId="41EA8D1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6BBA" w14:paraId="4AC64E03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B6BB4" w:rsidRPr="00CD6BBA" w14:paraId="4A1A0212" w14:textId="77777777">
      <w:r w:rsidRPr="00CD6BBA">
        <w:separator/>
      </w:r>
    </w:p>
  </w:footnote>
  <w:footnote w:type="continuationSeparator" w:id="1">
    <w:p w:rsidR="003B6BB4" w:rsidRPr="00CD6BBA" w14:paraId="1C32C2A6" w14:textId="77777777">
      <w:r w:rsidRPr="00CD6BBA">
        <w:continuationSeparator/>
      </w:r>
    </w:p>
  </w:footnote>
  <w:footnote w:id="2">
    <w:p w:rsidR="004446DC" w:rsidRPr="00CD6BBA" w:rsidP="00CD6BBA" w14:paraId="78E7CFCD" w14:textId="3C265F0F">
      <w:pPr>
        <w:pStyle w:val="FootnoteText"/>
        <w:ind w:left="567" w:hanging="567"/>
        <w:rPr>
          <w:sz w:val="24"/>
          <w:lang w:val="sk-SK"/>
        </w:rPr>
      </w:pPr>
      <w:r w:rsidRPr="00CD6BBA">
        <w:rPr>
          <w:rStyle w:val="FootnoteReference"/>
          <w:sz w:val="24"/>
          <w:lang w:val="sk-SK"/>
        </w:rPr>
        <w:footnoteRef/>
      </w:r>
      <w:r w:rsidRPr="00CD6BBA" w:rsidR="00CD6BBA">
        <w:rPr>
          <w:sz w:val="24"/>
          <w:lang w:val="sk-SK"/>
        </w:rPr>
        <w:t xml:space="preserve"> </w:t>
      </w:r>
      <w:r w:rsidRPr="00CD6BBA" w:rsidR="00CD6BBA">
        <w:rPr>
          <w:sz w:val="24"/>
          <w:lang w:val="sk-SK"/>
        </w:rPr>
        <w:tab/>
      </w:r>
      <w:r w:rsidRPr="003C66A7">
        <w:rPr>
          <w:sz w:val="24"/>
          <w:lang w:val="sk-SK"/>
        </w:rPr>
        <w:t xml:space="preserve">Rozsudok Súdneho dvora z 21. októbra 2008, </w:t>
      </w:r>
      <w:r w:rsidRPr="001D12AF">
        <w:t>Marra</w:t>
      </w:r>
      <w:r w:rsidRPr="003C66A7">
        <w:rPr>
          <w:sz w:val="24"/>
          <w:lang w:val="sk-SK"/>
        </w:rPr>
        <w:t>/</w:t>
      </w:r>
      <w:r w:rsidRPr="001D12AF">
        <w:t xml:space="preserve">De Gregorio a </w:t>
      </w:r>
      <w:r w:rsidRPr="001D12AF">
        <w:t>Clemente</w:t>
      </w:r>
      <w:r w:rsidRPr="003C66A7">
        <w:rPr>
          <w:sz w:val="24"/>
          <w:lang w:val="sk-SK"/>
        </w:rPr>
        <w:t xml:space="preserve">, C-200/07 a C-201/07, ECLI:EU:C:2008:579; rozsudok Všeobecného súdu z 19. marca 2010, </w:t>
      </w:r>
      <w:r w:rsidRPr="001D12AF">
        <w:t>Gollnisch</w:t>
      </w:r>
      <w:r w:rsidRPr="003C66A7">
        <w:rPr>
          <w:sz w:val="24"/>
          <w:lang w:val="sk-SK"/>
        </w:rPr>
        <w:t>/</w:t>
      </w:r>
      <w:r w:rsidRPr="001D12AF">
        <w:t>Parlament</w:t>
      </w:r>
      <w:r w:rsidRPr="003C66A7">
        <w:rPr>
          <w:sz w:val="24"/>
          <w:lang w:val="sk-SK"/>
        </w:rPr>
        <w:t xml:space="preserve">, T-42/06, ECLI:EU:T:2010:102; rozsudok Súdneho dvora zo 6. septembra 2011, </w:t>
      </w:r>
      <w:r w:rsidRPr="001D12AF">
        <w:t>Patriciello</w:t>
      </w:r>
      <w:r w:rsidRPr="003C66A7">
        <w:rPr>
          <w:sz w:val="24"/>
          <w:lang w:val="sk-SK"/>
        </w:rPr>
        <w:t xml:space="preserve">, C-163/10, ECLI: EU:C:2011:543; rozsudok Všeobecného súdu zo 17. januára 2013, </w:t>
      </w:r>
      <w:r w:rsidRPr="001D12AF">
        <w:t>Gollnisch</w:t>
      </w:r>
      <w:r w:rsidRPr="003C66A7">
        <w:rPr>
          <w:sz w:val="24"/>
          <w:lang w:val="sk-SK"/>
        </w:rPr>
        <w:t>/</w:t>
      </w:r>
      <w:r w:rsidRPr="001D12AF">
        <w:t>Parlament</w:t>
      </w:r>
      <w:r w:rsidRPr="003C66A7">
        <w:rPr>
          <w:sz w:val="24"/>
          <w:lang w:val="sk-SK"/>
        </w:rPr>
        <w:t>, T-346/11 a T-347/11, ECLI:EU:T:2013:23; rozsudok Súdneho dvora z 19. decembra 2019,</w:t>
      </w:r>
      <w:r w:rsidRPr="001D12AF">
        <w:t xml:space="preserve"> </w:t>
      </w:r>
      <w:r w:rsidRPr="001D12AF">
        <w:t>Junqueras</w:t>
      </w:r>
      <w:r w:rsidRPr="001D12AF">
        <w:t xml:space="preserve"> Vies</w:t>
      </w:r>
      <w:r w:rsidRPr="003C66A7">
        <w:rPr>
          <w:sz w:val="24"/>
          <w:lang w:val="sk-SK"/>
        </w:rPr>
        <w:t>, C-502/19, ECLI:EU:C:2019:1115.</w:t>
      </w:r>
    </w:p>
  </w:footnote>
  <w:footnote w:id="3">
    <w:p w:rsidR="004446DC" w:rsidRPr="00CD6BBA" w:rsidP="00CD6BBA" w14:paraId="701BE800" w14:textId="7BEA3EA5">
      <w:pPr>
        <w:pStyle w:val="FootnoteText"/>
        <w:ind w:left="567" w:hanging="567"/>
        <w:rPr>
          <w:sz w:val="24"/>
          <w:lang w:val="sk-SK"/>
        </w:rPr>
      </w:pPr>
      <w:r w:rsidRPr="00CD6BBA">
        <w:rPr>
          <w:rStyle w:val="FootnoteReference"/>
          <w:sz w:val="24"/>
          <w:lang w:val="sk-SK"/>
        </w:rPr>
        <w:footnoteRef/>
      </w:r>
      <w:r w:rsidRPr="00CD6BBA" w:rsidR="00CD6BBA">
        <w:rPr>
          <w:sz w:val="24"/>
          <w:lang w:val="sk-SK"/>
        </w:rPr>
        <w:t xml:space="preserve"> </w:t>
      </w:r>
      <w:r w:rsidRPr="00CD6BBA" w:rsidR="00CD6BBA">
        <w:rPr>
          <w:sz w:val="24"/>
          <w:lang w:val="sk-SK"/>
        </w:rPr>
        <w:tab/>
      </w:r>
      <w:r w:rsidRPr="00CD6BBA">
        <w:rPr>
          <w:sz w:val="24"/>
          <w:lang w:val="sk-SK"/>
        </w:rPr>
        <w:t xml:space="preserve">Rozsudok Všeobecného súdu z 30. apríla 2019, </w:t>
      </w:r>
      <w:r w:rsidRPr="00CD6BBA">
        <w:rPr>
          <w:i/>
          <w:sz w:val="24"/>
          <w:lang w:val="sk-SK"/>
        </w:rPr>
        <w:t>Briois</w:t>
      </w:r>
      <w:r w:rsidRPr="00CD6BBA">
        <w:rPr>
          <w:sz w:val="24"/>
          <w:lang w:val="sk-SK"/>
        </w:rPr>
        <w:t>/</w:t>
      </w:r>
      <w:r w:rsidRPr="00CD6BBA">
        <w:rPr>
          <w:i/>
          <w:sz w:val="24"/>
          <w:lang w:val="sk-SK"/>
        </w:rPr>
        <w:t>Parlament</w:t>
      </w:r>
      <w:r w:rsidRPr="00CD6BBA">
        <w:rPr>
          <w:sz w:val="24"/>
          <w:lang w:val="sk-SK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6BBA" w14:paraId="7CE476A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6BBA" w14:paraId="7068939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D6BBA" w14:paraId="4F79C54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8717632">
    <w:abstractNumId w:val="9"/>
  </w:num>
  <w:num w:numId="2" w16cid:durableId="824399852">
    <w:abstractNumId w:val="9"/>
  </w:num>
  <w:num w:numId="3" w16cid:durableId="1741292116">
    <w:abstractNumId w:val="7"/>
  </w:num>
  <w:num w:numId="4" w16cid:durableId="32461049">
    <w:abstractNumId w:val="7"/>
  </w:num>
  <w:num w:numId="5" w16cid:durableId="26028202">
    <w:abstractNumId w:val="6"/>
  </w:num>
  <w:num w:numId="6" w16cid:durableId="206308251">
    <w:abstractNumId w:val="6"/>
  </w:num>
  <w:num w:numId="7" w16cid:durableId="731388957">
    <w:abstractNumId w:val="5"/>
  </w:num>
  <w:num w:numId="8" w16cid:durableId="1275600308">
    <w:abstractNumId w:val="5"/>
  </w:num>
  <w:num w:numId="9" w16cid:durableId="805313609">
    <w:abstractNumId w:val="4"/>
  </w:num>
  <w:num w:numId="10" w16cid:durableId="275601983">
    <w:abstractNumId w:val="4"/>
  </w:num>
  <w:num w:numId="11" w16cid:durableId="1557660288">
    <w:abstractNumId w:val="8"/>
  </w:num>
  <w:num w:numId="12" w16cid:durableId="522596053">
    <w:abstractNumId w:val="8"/>
  </w:num>
  <w:num w:numId="13" w16cid:durableId="1265458302">
    <w:abstractNumId w:val="3"/>
  </w:num>
  <w:num w:numId="14" w16cid:durableId="817503158">
    <w:abstractNumId w:val="3"/>
  </w:num>
  <w:num w:numId="15" w16cid:durableId="1689719886">
    <w:abstractNumId w:val="2"/>
  </w:num>
  <w:num w:numId="16" w16cid:durableId="1093356186">
    <w:abstractNumId w:val="2"/>
  </w:num>
  <w:num w:numId="17" w16cid:durableId="1105736155">
    <w:abstractNumId w:val="1"/>
  </w:num>
  <w:num w:numId="18" w16cid:durableId="2133934512">
    <w:abstractNumId w:val="1"/>
  </w:num>
  <w:num w:numId="19" w16cid:durableId="744037595">
    <w:abstractNumId w:val="0"/>
  </w:num>
  <w:num w:numId="20" w16cid:durableId="1026173736">
    <w:abstractNumId w:val="0"/>
  </w:num>
  <w:num w:numId="21" w16cid:durableId="310450767">
    <w:abstractNumId w:val="9"/>
  </w:num>
  <w:num w:numId="22" w16cid:durableId="1195077232">
    <w:abstractNumId w:val="7"/>
  </w:num>
  <w:num w:numId="23" w16cid:durableId="1163202969">
    <w:abstractNumId w:val="6"/>
  </w:num>
  <w:num w:numId="24" w16cid:durableId="989947498">
    <w:abstractNumId w:val="5"/>
  </w:num>
  <w:num w:numId="25" w16cid:durableId="1566064588">
    <w:abstractNumId w:val="4"/>
  </w:num>
  <w:num w:numId="26" w16cid:durableId="2123306905">
    <w:abstractNumId w:val="8"/>
  </w:num>
  <w:num w:numId="27" w16cid:durableId="1708606827">
    <w:abstractNumId w:val="3"/>
  </w:num>
  <w:num w:numId="28" w16cid:durableId="1427994944">
    <w:abstractNumId w:val="2"/>
  </w:num>
  <w:num w:numId="29" w16cid:durableId="691999426">
    <w:abstractNumId w:val="1"/>
  </w:num>
  <w:num w:numId="30" w16cid:durableId="95637382">
    <w:abstractNumId w:val="0"/>
  </w:num>
  <w:num w:numId="31" w16cid:durableId="1621064084">
    <w:abstractNumId w:val="9"/>
  </w:num>
  <w:num w:numId="32" w16cid:durableId="816066075">
    <w:abstractNumId w:val="7"/>
  </w:num>
  <w:num w:numId="33" w16cid:durableId="1790585191">
    <w:abstractNumId w:val="6"/>
  </w:num>
  <w:num w:numId="34" w16cid:durableId="1086153491">
    <w:abstractNumId w:val="5"/>
  </w:num>
  <w:num w:numId="35" w16cid:durableId="589967708">
    <w:abstractNumId w:val="4"/>
  </w:num>
  <w:num w:numId="36" w16cid:durableId="807209019">
    <w:abstractNumId w:val="8"/>
  </w:num>
  <w:num w:numId="37" w16cid:durableId="1113862969">
    <w:abstractNumId w:val="3"/>
  </w:num>
  <w:num w:numId="38" w16cid:durableId="1475023857">
    <w:abstractNumId w:val="2"/>
  </w:num>
  <w:num w:numId="39" w16cid:durableId="877669124">
    <w:abstractNumId w:val="1"/>
  </w:num>
  <w:num w:numId="40" w16cid:durableId="279074509">
    <w:abstractNumId w:val="0"/>
  </w:num>
  <w:num w:numId="41" w16cid:durableId="1214266675">
    <w:abstractNumId w:val="10"/>
  </w:num>
  <w:num w:numId="42" w16cid:durableId="1204169472">
    <w:abstractNumId w:val="10"/>
  </w:num>
  <w:num w:numId="43" w16cid:durableId="1693804647">
    <w:abstractNumId w:val="10"/>
  </w:num>
  <w:num w:numId="44" w16cid:durableId="18891056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4"/>
    <w:rsid w:val="00002272"/>
    <w:rsid w:val="00064002"/>
    <w:rsid w:val="000677B9"/>
    <w:rsid w:val="000831BA"/>
    <w:rsid w:val="000A42CC"/>
    <w:rsid w:val="000B70DB"/>
    <w:rsid w:val="000E7DD9"/>
    <w:rsid w:val="0010095E"/>
    <w:rsid w:val="00125B37"/>
    <w:rsid w:val="00132459"/>
    <w:rsid w:val="00187494"/>
    <w:rsid w:val="001D12AF"/>
    <w:rsid w:val="001F32AE"/>
    <w:rsid w:val="002767FF"/>
    <w:rsid w:val="002B18FE"/>
    <w:rsid w:val="002B5493"/>
    <w:rsid w:val="00343214"/>
    <w:rsid w:val="00361C00"/>
    <w:rsid w:val="00395FA1"/>
    <w:rsid w:val="003B047D"/>
    <w:rsid w:val="003B6BB4"/>
    <w:rsid w:val="003C66A7"/>
    <w:rsid w:val="003E15D4"/>
    <w:rsid w:val="00411CCE"/>
    <w:rsid w:val="0041666E"/>
    <w:rsid w:val="00421060"/>
    <w:rsid w:val="004446DC"/>
    <w:rsid w:val="00471C19"/>
    <w:rsid w:val="004867E3"/>
    <w:rsid w:val="00494A28"/>
    <w:rsid w:val="004A037A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230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1CC"/>
    <w:rsid w:val="00930C23"/>
    <w:rsid w:val="0093193B"/>
    <w:rsid w:val="009509D8"/>
    <w:rsid w:val="00950B64"/>
    <w:rsid w:val="00981893"/>
    <w:rsid w:val="009A176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63B3"/>
    <w:rsid w:val="00BD48FE"/>
    <w:rsid w:val="00BD7BD8"/>
    <w:rsid w:val="00BE6ADC"/>
    <w:rsid w:val="00C05BFE"/>
    <w:rsid w:val="00C23CD4"/>
    <w:rsid w:val="00C61C0C"/>
    <w:rsid w:val="00C941CB"/>
    <w:rsid w:val="00CC2357"/>
    <w:rsid w:val="00CD310F"/>
    <w:rsid w:val="00CD6BBA"/>
    <w:rsid w:val="00CF071A"/>
    <w:rsid w:val="00D058B8"/>
    <w:rsid w:val="00D56C11"/>
    <w:rsid w:val="00D834A0"/>
    <w:rsid w:val="00D872DF"/>
    <w:rsid w:val="00D91E21"/>
    <w:rsid w:val="00DA7FCD"/>
    <w:rsid w:val="00E365E1"/>
    <w:rsid w:val="00E50C62"/>
    <w:rsid w:val="00E820A4"/>
    <w:rsid w:val="00EB006A"/>
    <w:rsid w:val="00EB4772"/>
    <w:rsid w:val="00ED169E"/>
    <w:rsid w:val="00ED4235"/>
    <w:rsid w:val="00F04346"/>
    <w:rsid w:val="00F075DC"/>
    <w:rsid w:val="00F10887"/>
    <w:rsid w:val="00F149E9"/>
    <w:rsid w:val="00F5134D"/>
    <w:rsid w:val="00F74202"/>
    <w:rsid w:val="00F87713"/>
    <w:rsid w:val="00FB4360"/>
    <w:rsid w:val="00FD0C70"/>
  </w:rsids>
  <w:docVars>
    <w:docVar w:name="dvdocse" w:val="A10-0119/2026"/>
    <w:docVar w:name="dvlangue" w:val="SK"/>
    <w:docVar w:name="dvnumam" w:val="0"/>
    <w:docVar w:name="dvpe" w:val="784.496"/>
    <w:docVar w:name="dvrapporteur" w:val="Spravodajca: "/>
    <w:docVar w:name="dvtitre" w:val="Rozhodnutie Európskeho parlamentu z/zo xx. xxx 2026 o žiadosti o zbavenie Alviseho Péreza imunity(2025/2222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1DB2235"/>
  <w15:chartTrackingRefBased/>
  <w15:docId w15:val="{54DC6500-92DA-45D1-B961-32DB8052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446DC"/>
    <w:pPr>
      <w:spacing w:after="240"/>
    </w:pPr>
  </w:style>
  <w:style w:type="paragraph" w:customStyle="1" w:styleId="NormalHanging12a">
    <w:name w:val="NormalHanging12a"/>
    <w:basedOn w:val="Normal"/>
    <w:rsid w:val="004446DC"/>
    <w:pPr>
      <w:spacing w:after="240"/>
      <w:ind w:left="567" w:hanging="567"/>
    </w:pPr>
  </w:style>
  <w:style w:type="paragraph" w:customStyle="1" w:styleId="EPComma">
    <w:name w:val="EPComma"/>
    <w:basedOn w:val="Normal"/>
    <w:rsid w:val="004446DC"/>
    <w:pPr>
      <w:spacing w:before="480" w:after="240"/>
    </w:pPr>
  </w:style>
  <w:style w:type="paragraph" w:customStyle="1" w:styleId="Normal12Hanging">
    <w:name w:val="Normal12Hanging"/>
    <w:basedOn w:val="Normal"/>
    <w:rsid w:val="004446DC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C66A7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3982</Characters>
  <Application>Microsoft Office Word</Application>
  <DocSecurity>0</DocSecurity>
  <Lines>173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2026-04-28T09:54:00Z</dcterms:created>
  <dcterms:modified xsi:type="dcterms:W3CDTF">2026-04-28T09:54:00Z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A10-0119/2026</vt:lpwstr>
  </property>
  <property fmtid="{D5CDD505-2E9C-101B-9397-08002B2CF9AE}" pid="4" name="&lt;Type&gt;">
    <vt:lpwstr>RR</vt:lpwstr>
  </property>
</Properties>
</file>