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E7AC94" w14:textId="77777777" w:rsidTr="0010095E">
        <w:tblPrEx>
          <w:tblW w:w="9072" w:type="dxa"/>
          <w:tblLook w:val="01E0"/>
        </w:tblPrEx>
        <w:trPr>
          <w:trHeight w:hRule="exact" w:val="1418"/>
        </w:trPr>
        <w:tc>
          <w:tcPr>
            <w:tcW w:w="6804" w:type="dxa"/>
            <w:shd w:val="clear" w:color="auto" w:fill="auto"/>
            <w:vAlign w:val="center"/>
          </w:tcPr>
          <w:p w:rsidR="00751A4A" w:rsidRPr="00B805DA" w:rsidP="0010095E" w14:paraId="1BA7E3FD" w14:textId="3F481C40">
            <w:pPr>
              <w:pStyle w:val="EPName"/>
            </w:pPr>
            <w:r w:rsidRPr="00B805DA">
              <w:t>Evropski parlament</w:t>
            </w:r>
          </w:p>
          <w:p w:rsidR="00751A4A" w:rsidRPr="00B805DA" w:rsidP="005F1B17" w14:paraId="12E217D6" w14:textId="77777777">
            <w:pPr>
              <w:pStyle w:val="EPTerm"/>
              <w:rPr>
                <w:rStyle w:val="HideTWBExt"/>
                <w:noProof w:val="0"/>
                <w:vanish w:val="0"/>
                <w:color w:val="auto"/>
              </w:rPr>
            </w:pPr>
            <w:r w:rsidRPr="00B805DA">
              <w:t>2024</w:t>
            </w:r>
            <w:r w:rsidRPr="00B805DA" w:rsidR="00817416">
              <w:t>-202</w:t>
            </w:r>
            <w:r w:rsidRPr="00B805DA">
              <w:t>9</w:t>
            </w:r>
          </w:p>
        </w:tc>
        <w:tc>
          <w:tcPr>
            <w:tcW w:w="2268" w:type="dxa"/>
            <w:shd w:val="clear" w:color="auto" w:fill="auto"/>
          </w:tcPr>
          <w:p w:rsidR="00751A4A" w:rsidRPr="00B805DA" w:rsidP="0010095E" w14:paraId="06B925B1" w14:textId="77777777">
            <w:pPr>
              <w:pStyle w:val="EPLogo"/>
            </w:pPr>
            <w:r w:rsidRPr="00B805D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05DA" w:rsidP="004C5D52" w14:paraId="5DD462DC" w14:textId="77777777">
      <w:pPr>
        <w:pStyle w:val="LineTop"/>
      </w:pPr>
    </w:p>
    <w:p w:rsidR="00680577" w:rsidRPr="00B805DA" w:rsidP="00680577" w14:paraId="37E17B7F" w14:textId="157B61B9">
      <w:pPr>
        <w:pStyle w:val="EPBodyTA1"/>
      </w:pPr>
      <w:r w:rsidRPr="00B805DA">
        <w:t>SPREJETA BESEDILA</w:t>
      </w:r>
    </w:p>
    <w:p w:rsidR="00D058B8" w:rsidRPr="00B805DA" w:rsidP="00D058B8" w14:paraId="604B8E5A" w14:textId="77777777">
      <w:pPr>
        <w:pStyle w:val="LineBottom"/>
      </w:pPr>
    </w:p>
    <w:p w:rsidR="008D39D3" w:rsidRPr="00B805DA" w:rsidP="008D39D3" w14:paraId="09523471" w14:textId="7F2C8668">
      <w:pPr>
        <w:pStyle w:val="ATHeading1"/>
      </w:pPr>
      <w:bookmarkStart w:id="0" w:name="TANumber"/>
      <w:r w:rsidRPr="00B805DA">
        <w:t>P10_TA(2026)0</w:t>
      </w:r>
      <w:bookmarkEnd w:id="0"/>
      <w:r w:rsidRPr="00B805DA" w:rsidR="00F06F15">
        <w:t>110</w:t>
      </w:r>
    </w:p>
    <w:p w:rsidR="008D39D3" w:rsidRPr="00B805DA" w:rsidP="008D39D3" w14:paraId="305B1599" w14:textId="77777777">
      <w:pPr>
        <w:pStyle w:val="ATHeading2"/>
      </w:pPr>
      <w:bookmarkStart w:id="1" w:name="title"/>
      <w:r w:rsidRPr="00B805DA">
        <w:t>Zahteva za odvzem imunitete Alviseju Pérezu</w:t>
      </w:r>
      <w:bookmarkEnd w:id="1"/>
    </w:p>
    <w:p w:rsidR="008D39D3" w:rsidRPr="00B805DA" w:rsidP="008D39D3" w14:paraId="48037D33" w14:textId="77777777">
      <w:pPr>
        <w:rPr>
          <w:i/>
          <w:vanish/>
        </w:rPr>
      </w:pPr>
      <w:r>
        <w:rPr>
          <w:i/>
        </w:rPr>
        <w:fldChar w:fldCharType="begin"/>
      </w:r>
      <w:r w:rsidRPr="00B805DA">
        <w:rPr>
          <w:i/>
        </w:rPr>
        <w:instrText xml:space="preserve"> TC"(</w:instrText>
      </w:r>
      <w:bookmarkStart w:id="2" w:name="DocNumber"/>
      <w:r w:rsidRPr="00B805DA">
        <w:rPr>
          <w:i/>
        </w:rPr>
        <w:instrText>A10-0119/2026</w:instrText>
      </w:r>
      <w:bookmarkEnd w:id="2"/>
      <w:r w:rsidRPr="00B805DA">
        <w:rPr>
          <w:i/>
        </w:rPr>
        <w:instrText xml:space="preserve"> - Poročevalec: Mario Furore)"\l3 \n&gt; \* MERGEFORMAT </w:instrText>
      </w:r>
      <w:r>
        <w:rPr>
          <w:i/>
        </w:rPr>
        <w:fldChar w:fldCharType="end"/>
      </w:r>
    </w:p>
    <w:p w:rsidR="008D39D3" w:rsidRPr="00B805DA" w:rsidP="008D39D3" w14:paraId="61E9AC03" w14:textId="77777777">
      <w:pPr>
        <w:rPr>
          <w:vanish/>
        </w:rPr>
      </w:pPr>
      <w:bookmarkStart w:id="3" w:name="Commission"/>
      <w:r w:rsidRPr="00B805DA">
        <w:rPr>
          <w:vanish/>
        </w:rPr>
        <w:t>Odbor za pravne zadeve</w:t>
      </w:r>
      <w:bookmarkEnd w:id="3"/>
    </w:p>
    <w:p w:rsidR="008D39D3" w:rsidRPr="00B805DA" w:rsidP="008D39D3" w14:paraId="72A0926D" w14:textId="77777777">
      <w:pPr>
        <w:rPr>
          <w:vanish/>
        </w:rPr>
      </w:pPr>
      <w:bookmarkStart w:id="4" w:name="PE"/>
      <w:r w:rsidRPr="00B805DA">
        <w:rPr>
          <w:vanish/>
        </w:rPr>
        <w:t>PE784.496</w:t>
      </w:r>
      <w:bookmarkEnd w:id="4"/>
    </w:p>
    <w:p w:rsidR="008D39D3" w:rsidRPr="00B805DA" w:rsidP="008D39D3" w14:paraId="0AC40F75" w14:textId="5B98E641">
      <w:pPr>
        <w:pStyle w:val="ATHeading3"/>
      </w:pPr>
      <w:bookmarkStart w:id="5" w:name="Sujet"/>
      <w:r w:rsidRPr="00B805DA">
        <w:t xml:space="preserve">Sklep Evropskega parlamenta z dne </w:t>
      </w:r>
      <w:r w:rsidRPr="00B805DA" w:rsidR="00F650EF">
        <w:t>28</w:t>
      </w:r>
      <w:r w:rsidRPr="00B805DA">
        <w:t>. aprila 2026 o zahtevi za odvzem imunitete Alviseju Pérezu</w:t>
      </w:r>
      <w:bookmarkEnd w:id="5"/>
      <w:r w:rsidRPr="00B805DA">
        <w:t xml:space="preserve"> </w:t>
      </w:r>
      <w:bookmarkStart w:id="6" w:name="References"/>
      <w:r w:rsidRPr="00B805DA">
        <w:t>(2025/2222(IMM))</w:t>
      </w:r>
      <w:bookmarkEnd w:id="6"/>
    </w:p>
    <w:p w:rsidR="00E57E33" w:rsidRPr="00B805DA" w:rsidP="00E57E33" w14:paraId="5371ECC3" w14:textId="77777777">
      <w:pPr>
        <w:pStyle w:val="EPComma"/>
        <w:rPr>
          <w:i/>
          <w:iCs/>
        </w:rPr>
      </w:pPr>
      <w:bookmarkStart w:id="7" w:name="TextBodyBegin"/>
      <w:bookmarkEnd w:id="7"/>
      <w:r w:rsidRPr="00B805DA">
        <w:rPr>
          <w:i/>
          <w:iCs/>
        </w:rPr>
        <w:t>Evropski parlament,</w:t>
      </w:r>
    </w:p>
    <w:p w:rsidR="00E57E33" w:rsidRPr="00B805DA" w:rsidP="00E57E33" w14:paraId="5494D280" w14:textId="561E5400">
      <w:pPr>
        <w:pStyle w:val="NormalHanging12a"/>
      </w:pPr>
      <w:r w:rsidRPr="00B805DA">
        <w:t>–</w:t>
      </w:r>
      <w:r w:rsidRPr="00B805DA">
        <w:tab/>
        <w:t xml:space="preserve">ob upoštevanju zahteve za odvzem imunitete Alviseju Pérezu (Luis Pérez Fernández), ki jo je špansko vrhovno sodišče </w:t>
      </w:r>
      <w:r w:rsidRPr="00B805DA" w:rsidR="00C744BB">
        <w:t>z dopisom</w:t>
      </w:r>
      <w:r w:rsidRPr="00B805DA">
        <w:t xml:space="preserve"> z dne 7. oktobra 2025 posredovalo v zvezi s kazenskim postopkom, ki bo sprožen zoper njega, in ki je bila razglašena na plenarnem zasedanju 22. oktobra 2025,</w:t>
      </w:r>
    </w:p>
    <w:p w:rsidR="00E57E33" w:rsidRPr="00B805DA" w:rsidP="00E57E33" w14:paraId="6C5C5449" w14:textId="77777777">
      <w:pPr>
        <w:pStyle w:val="NormalHanging12a"/>
      </w:pPr>
      <w:r w:rsidRPr="00B805DA">
        <w:t>–</w:t>
      </w:r>
      <w:r w:rsidRPr="00B805DA">
        <w:tab/>
        <w:t>ob upoštevanju zaslišanja Alviseja Péreza 24. marca 2026 v skladu s členom 9(6) Poslovnika,</w:t>
      </w:r>
    </w:p>
    <w:p w:rsidR="00E57E33" w:rsidRPr="00B805DA" w:rsidP="00E57E33" w14:paraId="2D1A61EB" w14:textId="77777777">
      <w:pPr>
        <w:pStyle w:val="NormalHanging12a"/>
      </w:pPr>
      <w:r w:rsidRPr="00B805DA">
        <w:t>–</w:t>
      </w:r>
      <w:r w:rsidRPr="00B805DA">
        <w:tab/>
        <w:t>ob upoštevanju členov 8 in 9 Protokola št. 7 o privilegijih in imunitetah Evropske unije ter člena 6(2) Akta o volitvah poslancev Evropskega parlamenta s splošnimi neposrednimi volitvami z dne 20. septembra 1976,</w:t>
      </w:r>
    </w:p>
    <w:p w:rsidR="00E57E33" w:rsidRPr="00B805DA" w:rsidP="00E57E33" w14:paraId="682B2F56" w14:textId="77777777">
      <w:pPr>
        <w:pStyle w:val="NormalHanging12a"/>
      </w:pPr>
      <w:r w:rsidRPr="00B805DA">
        <w:t>–</w:t>
      </w:r>
      <w:r w:rsidRPr="00B805DA">
        <w:tab/>
        <w:t>ob upoštevanju sodb Sodišča Evropske unije z dne 21. oktobra 2008, 19. marca 2010, 6. septembra 2011, 17. januarja 2013 in 19. decembra 2019</w:t>
      </w:r>
      <w:r>
        <w:rPr>
          <w:rStyle w:val="FootnoteReference"/>
          <w:color w:val="000000"/>
        </w:rPr>
        <w:footnoteReference w:id="2"/>
      </w:r>
      <w:r w:rsidRPr="00B805DA">
        <w:t>,</w:t>
      </w:r>
    </w:p>
    <w:p w:rsidR="00E57E33" w:rsidRPr="00B805DA" w:rsidP="00E57E33" w14:paraId="5BC3F492" w14:textId="77777777">
      <w:pPr>
        <w:pStyle w:val="NormalHanging12a"/>
      </w:pPr>
      <w:r w:rsidRPr="00B805DA">
        <w:t>–</w:t>
      </w:r>
      <w:r w:rsidRPr="00B805DA">
        <w:tab/>
        <w:t>ob upoštevanju člena 71(1) in (2) španske ustave,</w:t>
      </w:r>
    </w:p>
    <w:p w:rsidR="00E57E33" w:rsidRPr="00B805DA" w:rsidP="00E57E33" w14:paraId="078A6853" w14:textId="77777777">
      <w:pPr>
        <w:pStyle w:val="NormalHanging12a"/>
      </w:pPr>
      <w:r w:rsidRPr="00B805DA">
        <w:t>–</w:t>
      </w:r>
      <w:r w:rsidRPr="00B805DA">
        <w:tab/>
        <w:t>ob upoštevanju člena 5(2), člena 6(1) in člena 9 Poslovnika,</w:t>
      </w:r>
    </w:p>
    <w:p w:rsidR="00E57E33" w:rsidRPr="00B805DA" w:rsidP="00E57E33" w14:paraId="63D0DF1D" w14:textId="77777777">
      <w:pPr>
        <w:pStyle w:val="NormalHanging12a"/>
      </w:pPr>
      <w:r w:rsidRPr="00B805DA">
        <w:t>–</w:t>
      </w:r>
      <w:r w:rsidRPr="00B805DA">
        <w:tab/>
        <w:t>ob upoštevanju poročila Odbora za pravne zadeve (A10</w:t>
      </w:r>
      <w:r w:rsidRPr="00B805DA">
        <w:noBreakHyphen/>
        <w:t>0119/2026),</w:t>
      </w:r>
    </w:p>
    <w:p w:rsidR="00E57E33" w:rsidRPr="00B805DA" w:rsidP="00DA00DE" w14:paraId="5F0C46C2" w14:textId="322106FA">
      <w:pPr>
        <w:pStyle w:val="NormalHanging12a"/>
      </w:pPr>
      <w:r w:rsidRPr="00B805DA">
        <w:t>A.</w:t>
      </w:r>
      <w:r w:rsidRPr="00B805DA">
        <w:tab/>
        <w:t xml:space="preserve">ker je predsednica španskega vrhovnega sodišča v </w:t>
      </w:r>
      <w:r w:rsidRPr="00B805DA" w:rsidR="00C744BB">
        <w:t>dopisu</w:t>
      </w:r>
      <w:r w:rsidRPr="00B805DA">
        <w:t xml:space="preserve"> z dne 7. oktobra 2025 </w:t>
      </w:r>
      <w:r w:rsidRPr="00B805DA">
        <w:t>zahtevala odvzem imunitete Alviseju Pérezu, poslancu Evropskega parlamenta, izvoljenega v Španiji, v zvezi z očitanimi kaznivimi dejanji, storjenimi leta 2024;</w:t>
      </w:r>
    </w:p>
    <w:p w:rsidR="00E57E33" w:rsidRPr="00B805DA" w:rsidP="00DA00DE" w14:paraId="7503578A" w14:textId="2243AC0B">
      <w:pPr>
        <w:pStyle w:val="Normal12a"/>
        <w:ind w:left="567" w:hanging="567"/>
      </w:pPr>
      <w:r w:rsidRPr="00B805DA">
        <w:rPr>
          <w:shd w:val="clear" w:color="auto" w:fill="FFFFFF"/>
        </w:rPr>
        <w:t>B.</w:t>
      </w:r>
      <w:r w:rsidRPr="00B805DA">
        <w:rPr>
          <w:shd w:val="clear" w:color="auto" w:fill="FFFFFF"/>
        </w:rPr>
        <w:tab/>
      </w:r>
      <w:r w:rsidRPr="00B805DA">
        <w:t xml:space="preserve">ker je v zahtevi navedeno, da je upravitelj kanala </w:t>
      </w:r>
      <w:r w:rsidRPr="00B805DA">
        <w:rPr>
          <w:i/>
          <w:iCs/>
        </w:rPr>
        <w:t xml:space="preserve">Alvise Pérez Chat </w:t>
      </w:r>
      <w:r w:rsidRPr="00B805DA">
        <w:t xml:space="preserve">v aplikaciji Telegram januarja in februarja 2024 domnevno objavil izjave, v katerih so bila imena oseb, „odgovornih za ideološko preganjanje tako imenovanih kaznivih dejanj iz sovraštva“, pri čemer je bila izpostavljena javna tožilka za kazniva dejanja iz sovraštva v Valencii; ker so izjave, objavljene na tem kanalu, sprožile takojšen odziv številnih sledilcev, ki so tej pooblaščeni državni tožilki poslali več kot 1500 pripomb, večinoma žaljivih; ker bi lahko to domnevno ravnanje v skladu s členom 172b in členom 18(1) španskega kazenskega zakonika v povezavi s 533. členom španskega kazenskega zakonika pomenilo </w:t>
      </w:r>
      <w:r w:rsidRPr="00B805DA" w:rsidR="005B3CF5">
        <w:t xml:space="preserve">kazniva dejanja </w:t>
      </w:r>
      <w:r w:rsidRPr="00B805DA">
        <w:t>nadlegovanj</w:t>
      </w:r>
      <w:r w:rsidRPr="00B805DA" w:rsidR="005B3CF5">
        <w:t>a</w:t>
      </w:r>
      <w:r w:rsidRPr="00B805DA">
        <w:t xml:space="preserve"> ali zalezovanj</w:t>
      </w:r>
      <w:r w:rsidRPr="00B805DA" w:rsidR="005B3CF5">
        <w:t>a</w:t>
      </w:r>
      <w:r w:rsidRPr="00B805DA">
        <w:t>, napeljevanj</w:t>
      </w:r>
      <w:r w:rsidRPr="00B805DA" w:rsidR="005B3CF5">
        <w:t>a</w:t>
      </w:r>
      <w:r w:rsidRPr="00B805DA">
        <w:t xml:space="preserve"> k napadu na organ ali javnega uslužbenca, prisil</w:t>
      </w:r>
      <w:r w:rsidRPr="00B805DA" w:rsidR="005B3CF5">
        <w:t>e</w:t>
      </w:r>
      <w:r w:rsidRPr="00B805DA">
        <w:t xml:space="preserve"> in/ali širjenj</w:t>
      </w:r>
      <w:r w:rsidRPr="00B805DA" w:rsidR="005B3CF5">
        <w:t>a</w:t>
      </w:r>
      <w:r w:rsidRPr="00B805DA">
        <w:t xml:space="preserve"> sovraštva prek družbenih medijev;</w:t>
      </w:r>
    </w:p>
    <w:p w:rsidR="00E57E33" w:rsidRPr="00B805DA" w:rsidP="00DA00DE" w14:paraId="1C424BE3" w14:textId="77777777">
      <w:pPr>
        <w:pStyle w:val="NormalHanging12a"/>
        <w:rPr>
          <w:szCs w:val="24"/>
          <w:shd w:val="clear" w:color="auto" w:fill="FFFFFF"/>
        </w:rPr>
      </w:pPr>
      <w:r w:rsidRPr="00B805DA">
        <w:t>C.</w:t>
      </w:r>
      <w:r w:rsidRPr="00B805DA">
        <w:tab/>
      </w:r>
      <w:r w:rsidRPr="00B805DA">
        <w:rPr>
          <w:shd w:val="clear" w:color="auto" w:fill="FFFFFF"/>
        </w:rPr>
        <w:t>ker</w:t>
      </w:r>
      <w:r w:rsidRPr="00B805DA">
        <w:t xml:space="preserve"> je bil Alvise Pérez na evropskih volitvah junija 2024 izvoljen v Evropski parlament in je bil torej v času očitanih kaznivih dejanj poslanec Evropskega parlamenta;</w:t>
      </w:r>
      <w:r w:rsidRPr="00B805DA">
        <w:rPr>
          <w:shd w:val="clear" w:color="auto" w:fill="FFFFFF"/>
        </w:rPr>
        <w:t xml:space="preserve"> </w:t>
      </w:r>
    </w:p>
    <w:p w:rsidR="00E57E33" w:rsidRPr="00B805DA" w:rsidP="00DA00DE" w14:paraId="3665F598" w14:textId="77777777">
      <w:pPr>
        <w:pStyle w:val="NormalHanging12a"/>
      </w:pPr>
      <w:r w:rsidRPr="00B805DA">
        <w:t>D.</w:t>
      </w:r>
      <w:r w:rsidRPr="00B805DA">
        <w:tab/>
        <w:t>ker pri očitanih kaznivih dejanjih ne gre za mnenje ali glas, ki bi ga Alvise Pérez izrazil pri opravljanju svojih dolžnosti v smislu člena 8 Protokola št. 7 o privilegijih in imunitetah Evropske unije, in ker posledična zahteva za odvzem njegove imunitete ni povezana s tem;</w:t>
      </w:r>
    </w:p>
    <w:p w:rsidR="00E57E33" w:rsidRPr="00B805DA" w:rsidP="00DA00DE" w14:paraId="008B8F8E" w14:textId="3F147899">
      <w:pPr>
        <w:pStyle w:val="NormalHanging12a"/>
      </w:pPr>
      <w:r w:rsidRPr="00B805DA">
        <w:t>E.</w:t>
      </w:r>
      <w:r w:rsidRPr="00B805DA">
        <w:tab/>
        <w:t>ker v skladu s členom 9, prvi odstavek, točka (a), Protokola št. 7 o privilegijih in imunitetah Evropske unije med zasedanjem Evropskega parlamenta njegovi poslanci na ozemlju svoje države</w:t>
      </w:r>
      <w:r w:rsidRPr="00B805DA" w:rsidR="00F650EF">
        <w:t xml:space="preserve"> članice</w:t>
      </w:r>
      <w:r w:rsidRPr="00B805DA">
        <w:t xml:space="preserve"> uživajo imunitete, priznane poslancem parlamenta te države članice;</w:t>
      </w:r>
    </w:p>
    <w:p w:rsidR="00E57E33" w:rsidRPr="00B805DA" w:rsidP="00E57E33" w14:paraId="050EEB12" w14:textId="77777777">
      <w:pPr>
        <w:pStyle w:val="Normal12Hanging"/>
      </w:pPr>
      <w:r w:rsidRPr="00B805DA">
        <w:t>F.</w:t>
      </w:r>
      <w:r w:rsidRPr="00B805DA">
        <w:tab/>
        <w:t>ker je v členu 71(1) in (2) španske ustave določeno, da:</w:t>
      </w:r>
    </w:p>
    <w:p w:rsidR="00E57E33" w:rsidRPr="00B805DA" w:rsidP="00DA00DE" w14:paraId="285CB2A9" w14:textId="54E8D076">
      <w:pPr>
        <w:pStyle w:val="Normal12Hanging"/>
        <w:ind w:left="1134"/>
        <w:rPr>
          <w:iCs/>
        </w:rPr>
      </w:pPr>
      <w:r w:rsidRPr="00B805DA">
        <w:t>„1</w:t>
      </w:r>
      <w:r w:rsidRPr="00B805DA" w:rsidR="00F650EF">
        <w:t>.</w:t>
      </w:r>
      <w:r w:rsidRPr="00B805DA" w:rsidR="00DA00DE">
        <w:tab/>
      </w:r>
      <w:r w:rsidRPr="00B805DA" w:rsidR="00F650EF">
        <w:t>Poslanci in senatorji so nedotakljivi glede stališč, izraženih med opravljanjem njihovih nalog.</w:t>
      </w:r>
    </w:p>
    <w:p w:rsidR="00E57E33" w:rsidRPr="00B805DA" w:rsidP="00DA00DE" w14:paraId="073EC74F" w14:textId="69FDBDC9">
      <w:pPr>
        <w:pStyle w:val="NormalHanging12a"/>
        <w:ind w:left="1134"/>
        <w:rPr>
          <w:iCs/>
          <w:color w:val="000000"/>
        </w:rPr>
      </w:pPr>
      <w:r w:rsidRPr="00B805DA">
        <w:t>2</w:t>
      </w:r>
      <w:r w:rsidRPr="00B805DA" w:rsidR="00F650EF">
        <w:t>.</w:t>
      </w:r>
      <w:r w:rsidRPr="00B805DA" w:rsidR="00DA00DE">
        <w:tab/>
      </w:r>
      <w:r w:rsidRPr="00B805DA" w:rsidR="00F650EF">
        <w:t>Med mandatom poslanci in senatorji uživajo tudi imuniteto in so lahko pridržani le, če so zaloteni pri storitvi kaznivega dejanja. Ni jih mogoče obdolžiti ali zoper njih uvesti sodnega postopka brez predhodnega dovoljenja zadevnega doma.</w:t>
      </w:r>
      <w:r w:rsidRPr="00B805DA">
        <w:t>“;</w:t>
      </w:r>
    </w:p>
    <w:p w:rsidR="00E57E33" w:rsidRPr="00B805DA" w:rsidP="00E57E33" w14:paraId="0E70E7F3" w14:textId="77777777">
      <w:pPr>
        <w:pStyle w:val="NormalHanging12a"/>
        <w:rPr>
          <w:color w:val="000000"/>
        </w:rPr>
      </w:pPr>
      <w:r w:rsidRPr="00B805DA">
        <w:rPr>
          <w:color w:val="000000"/>
        </w:rPr>
        <w:t>G.</w:t>
      </w:r>
      <w:r w:rsidRPr="00B805DA">
        <w:rPr>
          <w:color w:val="000000"/>
        </w:rPr>
        <w:tab/>
        <w:t>ker je namen poslanske imunitete iz Protokola št. 7 o privilegijih in imunitetah Evropske unije zaščititi Parlament in njegove poslance pred sodnimi postopki v zvezi z dejavnostmi, ki se izvajajo pri opravljanju parlamentarnih dolžnosti in jih ni mogoče ločiti od teh dolžnosti;</w:t>
      </w:r>
    </w:p>
    <w:p w:rsidR="00E57E33" w:rsidRPr="00B805DA" w:rsidP="00E57E33" w14:paraId="1C7F00A0" w14:textId="77777777">
      <w:pPr>
        <w:pStyle w:val="NormalHanging12a"/>
        <w:rPr>
          <w:color w:val="000000"/>
        </w:rPr>
      </w:pPr>
      <w:r w:rsidRPr="00B805DA">
        <w:rPr>
          <w:color w:val="000000"/>
        </w:rPr>
        <w:t>H.</w:t>
      </w:r>
      <w:r w:rsidRPr="00B805DA">
        <w:rPr>
          <w:color w:val="000000"/>
        </w:rPr>
        <w:tab/>
        <w:t>ker v skladu s členom 5(2) Poslovnika parlamentarna imuniteta ni osebni privilegij poslanca, temveč je jamstvo neodvisnosti Parlamenta kot celote in njegovih poslancev;</w:t>
      </w:r>
    </w:p>
    <w:p w:rsidR="00E57E33" w:rsidRPr="00B805DA" w:rsidP="00E57E33" w14:paraId="4F47C3D1" w14:textId="4666AB73">
      <w:pPr>
        <w:pStyle w:val="NormalHanging12a"/>
        <w:rPr>
          <w:color w:val="000000"/>
        </w:rPr>
      </w:pPr>
      <w:r w:rsidRPr="00B805DA">
        <w:rPr>
          <w:color w:val="000000"/>
        </w:rPr>
        <w:t>I.</w:t>
      </w:r>
      <w:r w:rsidRPr="00B805DA">
        <w:rPr>
          <w:color w:val="000000"/>
        </w:rPr>
        <w:tab/>
        <w:t xml:space="preserve">ker v tem primeru Parlament ni našel dokaza o tem, da gre za </w:t>
      </w:r>
      <w:r w:rsidRPr="00B805DA">
        <w:rPr>
          <w:i/>
          <w:color w:val="000000"/>
        </w:rPr>
        <w:t>fumus persecutionis</w:t>
      </w:r>
      <w:r w:rsidRPr="00B805DA">
        <w:rPr>
          <w:color w:val="000000"/>
        </w:rPr>
        <w:t xml:space="preserve">, kar pomeni dejstva, ki kažejo, da bi bil namen sodnega postopka škodovati politični dejavnosti </w:t>
      </w:r>
      <w:r w:rsidRPr="00B805DA" w:rsidR="00F650EF">
        <w:t xml:space="preserve">Alviseja Péreza kot </w:t>
      </w:r>
      <w:r w:rsidRPr="00B805DA">
        <w:rPr>
          <w:color w:val="000000"/>
        </w:rPr>
        <w:t>poslanca Evropskega parlamenta</w:t>
      </w:r>
      <w:r w:rsidRPr="00B805DA" w:rsidR="00F650EF">
        <w:rPr>
          <w:color w:val="000000"/>
        </w:rPr>
        <w:t xml:space="preserve"> in tako neodvisnosti Parlamenta</w:t>
      </w:r>
      <w:r w:rsidRPr="00B805DA">
        <w:rPr>
          <w:color w:val="000000"/>
        </w:rPr>
        <w:t>;</w:t>
      </w:r>
    </w:p>
    <w:p w:rsidR="00E57E33" w:rsidRPr="00B805DA" w:rsidP="00E57E33" w14:paraId="0F300846" w14:textId="77777777">
      <w:pPr>
        <w:pStyle w:val="NormalHanging12a"/>
        <w:rPr>
          <w:color w:val="000000"/>
        </w:rPr>
      </w:pPr>
      <w:r w:rsidRPr="00B805DA">
        <w:rPr>
          <w:color w:val="000000"/>
        </w:rPr>
        <w:t>J.</w:t>
      </w:r>
      <w:r w:rsidRPr="00B805DA">
        <w:rPr>
          <w:color w:val="000000"/>
        </w:rPr>
        <w:tab/>
        <w:t xml:space="preserve">ker Parlamenta ni mogoče enačiti s sodiščem in ker poslanec v zvezi s postopkom za </w:t>
      </w:r>
      <w:r w:rsidRPr="00B805DA">
        <w:rPr>
          <w:color w:val="000000"/>
        </w:rPr>
        <w:t>odvzem imunitete ne sme biti obravnavan kot „obtoženec“</w:t>
      </w:r>
      <w:r>
        <w:rPr>
          <w:color w:val="000000"/>
          <w:vertAlign w:val="superscript"/>
        </w:rPr>
        <w:footnoteReference w:id="3"/>
      </w:r>
      <w:r w:rsidRPr="00B805DA">
        <w:rPr>
          <w:color w:val="000000"/>
        </w:rPr>
        <w:t>;</w:t>
      </w:r>
    </w:p>
    <w:p w:rsidR="00E57E33" w:rsidRPr="00B805DA" w:rsidP="00E57E33" w14:paraId="40BA3168" w14:textId="77777777">
      <w:pPr>
        <w:pStyle w:val="NormalHanging12a"/>
        <w:rPr>
          <w:color w:val="000000"/>
        </w:rPr>
      </w:pPr>
      <w:r w:rsidRPr="00B805DA">
        <w:rPr>
          <w:color w:val="000000"/>
        </w:rPr>
        <w:t>1.</w:t>
      </w:r>
      <w:r w:rsidRPr="00B805DA">
        <w:rPr>
          <w:color w:val="000000"/>
        </w:rPr>
        <w:tab/>
        <w:t>sklene, da se Alviseju Pérezu odvzame imuniteta;</w:t>
      </w:r>
    </w:p>
    <w:p w:rsidR="00E365E1" w:rsidRPr="00B805DA" w:rsidP="0099253C" w14:paraId="362D56C3" w14:textId="4657314D">
      <w:pPr>
        <w:ind w:left="567" w:hanging="567"/>
      </w:pPr>
      <w:r w:rsidRPr="00B805DA">
        <w:t>2.</w:t>
      </w:r>
      <w:r w:rsidRPr="00B805DA">
        <w:tab/>
        <w:t>naroči svoji predsednici, naj ta sklep in poročilo pristojnega odbora nemudoma posreduje pristojnim organom Kraljevine Španije in Alviseju Pérezu.</w:t>
      </w:r>
    </w:p>
    <w:sectPr w:rsidSect="002B728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285" w14:paraId="0CD4E4B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285" w14:paraId="6FADD0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285" w14:paraId="7826C70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D39D3" w:rsidRPr="002B7285" w14:paraId="66507F23" w14:textId="77777777">
      <w:r w:rsidRPr="002B7285">
        <w:separator/>
      </w:r>
    </w:p>
  </w:footnote>
  <w:footnote w:type="continuationSeparator" w:id="1">
    <w:p w:rsidR="008D39D3" w:rsidRPr="002B7285" w14:paraId="248924C5" w14:textId="77777777">
      <w:r w:rsidRPr="002B7285">
        <w:continuationSeparator/>
      </w:r>
    </w:p>
  </w:footnote>
  <w:footnote w:id="2">
    <w:p w:rsidR="00E57E33" w:rsidRPr="00C744BB" w:rsidP="002B7285" w14:paraId="1AF76A70" w14:textId="23D1610F">
      <w:pPr>
        <w:pStyle w:val="FootnoteText"/>
        <w:ind w:left="567" w:hanging="567"/>
        <w:rPr>
          <w:sz w:val="24"/>
          <w:lang w:val="sl-SI"/>
        </w:rPr>
      </w:pPr>
      <w:r w:rsidRPr="002B7285">
        <w:rPr>
          <w:rStyle w:val="FootnoteReference"/>
          <w:sz w:val="24"/>
          <w:lang w:val="sl-SI"/>
        </w:rPr>
        <w:footnoteRef/>
      </w:r>
      <w:r w:rsidRPr="002B7285" w:rsidR="002B7285">
        <w:rPr>
          <w:sz w:val="24"/>
          <w:lang w:val="sl-SI"/>
        </w:rPr>
        <w:t xml:space="preserve"> </w:t>
      </w:r>
      <w:r w:rsidRPr="002B7285" w:rsidR="002B7285">
        <w:rPr>
          <w:sz w:val="24"/>
          <w:lang w:val="sl-SI"/>
        </w:rPr>
        <w:tab/>
      </w:r>
      <w:r w:rsidRPr="00C744BB">
        <w:rPr>
          <w:sz w:val="24"/>
          <w:lang w:val="sl-SI"/>
        </w:rPr>
        <w:t xml:space="preserve">Sodba Sodišča z dne 21. oktobra 2008, </w:t>
      </w:r>
      <w:r w:rsidRPr="00F06F15">
        <w:rPr>
          <w:sz w:val="24"/>
          <w:lang w:val="sl-SI"/>
        </w:rPr>
        <w:t>Marra/De Gregorio</w:t>
      </w:r>
      <w:r w:rsidRPr="00C744BB">
        <w:rPr>
          <w:sz w:val="24"/>
          <w:lang w:val="sl-SI"/>
        </w:rPr>
        <w:t xml:space="preserve"> </w:t>
      </w:r>
      <w:r w:rsidRPr="00F06F15">
        <w:rPr>
          <w:sz w:val="24"/>
          <w:lang w:val="sl-SI"/>
        </w:rPr>
        <w:t>in Clemente</w:t>
      </w:r>
      <w:r w:rsidRPr="00C744BB">
        <w:rPr>
          <w:sz w:val="24"/>
          <w:lang w:val="sl-SI"/>
        </w:rPr>
        <w:t xml:space="preserve">, C-200/07 in C-201/07, ECLI:EU:C:2008:579; sodba Splošnega sodišča z dne 19. marca 2010 v zadevi </w:t>
      </w:r>
      <w:r w:rsidRPr="00F06F15">
        <w:rPr>
          <w:sz w:val="24"/>
          <w:lang w:val="sl-SI"/>
        </w:rPr>
        <w:t>Gollnisch/Parlament</w:t>
      </w:r>
      <w:r w:rsidRPr="00C744BB">
        <w:rPr>
          <w:sz w:val="24"/>
          <w:lang w:val="sl-SI"/>
        </w:rPr>
        <w:t xml:space="preserve">, T-42/06, ECLI:EU:T:2010:102; sodba Sodišča Evropske unije z dne 6. septembra 2011, </w:t>
      </w:r>
      <w:r w:rsidRPr="00F06F15">
        <w:rPr>
          <w:sz w:val="24"/>
          <w:lang w:val="sl-SI"/>
        </w:rPr>
        <w:t>Patriciello</w:t>
      </w:r>
      <w:r w:rsidRPr="00C744BB">
        <w:rPr>
          <w:sz w:val="24"/>
          <w:lang w:val="sl-SI"/>
        </w:rPr>
        <w:t xml:space="preserve">, C-163/10, ECLI: EU:C:2011:543; sodba Splošnega sodišča z dne 17. januarja 2013, </w:t>
      </w:r>
      <w:r w:rsidRPr="00F06F15">
        <w:rPr>
          <w:sz w:val="24"/>
          <w:lang w:val="sl-SI"/>
        </w:rPr>
        <w:t>Gollnisch/Parlament</w:t>
      </w:r>
      <w:r w:rsidRPr="00C744BB">
        <w:rPr>
          <w:sz w:val="24"/>
          <w:lang w:val="sl-SI"/>
        </w:rPr>
        <w:t xml:space="preserve">, T-346/11 in T-347/11, ECLI:EU:T:2013:23; Sodba Sodišča z dne 19. decembra 2019 v zadevi </w:t>
      </w:r>
      <w:r w:rsidRPr="00F06F15">
        <w:rPr>
          <w:sz w:val="24"/>
          <w:lang w:val="sl-SI"/>
        </w:rPr>
        <w:t>Junqueras Vies</w:t>
      </w:r>
      <w:r w:rsidRPr="00C744BB">
        <w:rPr>
          <w:sz w:val="24"/>
          <w:lang w:val="sl-SI"/>
        </w:rPr>
        <w:t>, C-502/19, ECLI:EU:C:2019:1115.</w:t>
      </w:r>
    </w:p>
  </w:footnote>
  <w:footnote w:id="3">
    <w:p w:rsidR="00E57E33" w:rsidRPr="002B7285" w:rsidP="002B7285" w14:paraId="20BB15C5" w14:textId="4EF11A94">
      <w:pPr>
        <w:pStyle w:val="FootnoteText"/>
        <w:ind w:left="567" w:hanging="567"/>
        <w:rPr>
          <w:sz w:val="24"/>
          <w:lang w:val="sl-SI"/>
        </w:rPr>
      </w:pPr>
      <w:r w:rsidRPr="002B7285">
        <w:rPr>
          <w:rStyle w:val="FootnoteReference"/>
          <w:sz w:val="24"/>
          <w:lang w:val="sl-SI"/>
        </w:rPr>
        <w:footnoteRef/>
      </w:r>
      <w:r w:rsidRPr="002B7285" w:rsidR="002B7285">
        <w:rPr>
          <w:sz w:val="24"/>
          <w:lang w:val="sl-SI"/>
        </w:rPr>
        <w:t xml:space="preserve"> </w:t>
      </w:r>
      <w:r w:rsidRPr="002B7285" w:rsidR="002B7285">
        <w:rPr>
          <w:sz w:val="24"/>
          <w:lang w:val="sl-SI"/>
        </w:rPr>
        <w:tab/>
      </w:r>
      <w:r w:rsidRPr="002B7285">
        <w:rPr>
          <w:sz w:val="24"/>
          <w:lang w:val="sl-SI"/>
        </w:rPr>
        <w:t xml:space="preserve">Sodba Sodišča z dne 30. aprila 2019 v zadevi </w:t>
      </w:r>
      <w:r w:rsidRPr="002B7285">
        <w:rPr>
          <w:i/>
          <w:iCs/>
          <w:sz w:val="24"/>
          <w:lang w:val="sl-SI"/>
        </w:rPr>
        <w:t>Briois/Parlament</w:t>
      </w:r>
      <w:r w:rsidRPr="002B7285">
        <w:rPr>
          <w:sz w:val="24"/>
          <w:lang w:val="sl-SI"/>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285" w14:paraId="026F1E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285" w14:paraId="4AE249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285" w14:paraId="3839C4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9067013">
    <w:abstractNumId w:val="9"/>
  </w:num>
  <w:num w:numId="2" w16cid:durableId="1555778994">
    <w:abstractNumId w:val="9"/>
  </w:num>
  <w:num w:numId="3" w16cid:durableId="212892972">
    <w:abstractNumId w:val="7"/>
  </w:num>
  <w:num w:numId="4" w16cid:durableId="738141223">
    <w:abstractNumId w:val="7"/>
  </w:num>
  <w:num w:numId="5" w16cid:durableId="1254587278">
    <w:abstractNumId w:val="6"/>
  </w:num>
  <w:num w:numId="6" w16cid:durableId="836649168">
    <w:abstractNumId w:val="6"/>
  </w:num>
  <w:num w:numId="7" w16cid:durableId="704716608">
    <w:abstractNumId w:val="5"/>
  </w:num>
  <w:num w:numId="8" w16cid:durableId="1299261278">
    <w:abstractNumId w:val="5"/>
  </w:num>
  <w:num w:numId="9" w16cid:durableId="1263341244">
    <w:abstractNumId w:val="4"/>
  </w:num>
  <w:num w:numId="10" w16cid:durableId="91291749">
    <w:abstractNumId w:val="4"/>
  </w:num>
  <w:num w:numId="11" w16cid:durableId="1019894997">
    <w:abstractNumId w:val="8"/>
  </w:num>
  <w:num w:numId="12" w16cid:durableId="1797522820">
    <w:abstractNumId w:val="8"/>
  </w:num>
  <w:num w:numId="13" w16cid:durableId="401606464">
    <w:abstractNumId w:val="3"/>
  </w:num>
  <w:num w:numId="14" w16cid:durableId="226192165">
    <w:abstractNumId w:val="3"/>
  </w:num>
  <w:num w:numId="15" w16cid:durableId="985935158">
    <w:abstractNumId w:val="2"/>
  </w:num>
  <w:num w:numId="16" w16cid:durableId="673799972">
    <w:abstractNumId w:val="2"/>
  </w:num>
  <w:num w:numId="17" w16cid:durableId="1421414192">
    <w:abstractNumId w:val="1"/>
  </w:num>
  <w:num w:numId="18" w16cid:durableId="2078475267">
    <w:abstractNumId w:val="1"/>
  </w:num>
  <w:num w:numId="19" w16cid:durableId="1627732647">
    <w:abstractNumId w:val="0"/>
  </w:num>
  <w:num w:numId="20" w16cid:durableId="2104760027">
    <w:abstractNumId w:val="0"/>
  </w:num>
  <w:num w:numId="21" w16cid:durableId="1734499684">
    <w:abstractNumId w:val="9"/>
  </w:num>
  <w:num w:numId="22" w16cid:durableId="369964457">
    <w:abstractNumId w:val="7"/>
  </w:num>
  <w:num w:numId="23" w16cid:durableId="264190413">
    <w:abstractNumId w:val="6"/>
  </w:num>
  <w:num w:numId="24" w16cid:durableId="813134250">
    <w:abstractNumId w:val="5"/>
  </w:num>
  <w:num w:numId="25" w16cid:durableId="685139040">
    <w:abstractNumId w:val="4"/>
  </w:num>
  <w:num w:numId="26" w16cid:durableId="1874420552">
    <w:abstractNumId w:val="8"/>
  </w:num>
  <w:num w:numId="27" w16cid:durableId="1982231677">
    <w:abstractNumId w:val="3"/>
  </w:num>
  <w:num w:numId="28" w16cid:durableId="35743178">
    <w:abstractNumId w:val="2"/>
  </w:num>
  <w:num w:numId="29" w16cid:durableId="1364087385">
    <w:abstractNumId w:val="1"/>
  </w:num>
  <w:num w:numId="30" w16cid:durableId="882790895">
    <w:abstractNumId w:val="0"/>
  </w:num>
  <w:num w:numId="31" w16cid:durableId="1104109549">
    <w:abstractNumId w:val="9"/>
  </w:num>
  <w:num w:numId="32" w16cid:durableId="95487564">
    <w:abstractNumId w:val="7"/>
  </w:num>
  <w:num w:numId="33" w16cid:durableId="2102603278">
    <w:abstractNumId w:val="6"/>
  </w:num>
  <w:num w:numId="34" w16cid:durableId="1592160526">
    <w:abstractNumId w:val="5"/>
  </w:num>
  <w:num w:numId="35" w16cid:durableId="1382248545">
    <w:abstractNumId w:val="4"/>
  </w:num>
  <w:num w:numId="36" w16cid:durableId="2011250603">
    <w:abstractNumId w:val="8"/>
  </w:num>
  <w:num w:numId="37" w16cid:durableId="1231187978">
    <w:abstractNumId w:val="3"/>
  </w:num>
  <w:num w:numId="38" w16cid:durableId="1553618436">
    <w:abstractNumId w:val="2"/>
  </w:num>
  <w:num w:numId="39" w16cid:durableId="1588349377">
    <w:abstractNumId w:val="1"/>
  </w:num>
  <w:num w:numId="40" w16cid:durableId="969826095">
    <w:abstractNumId w:val="0"/>
  </w:num>
  <w:num w:numId="41" w16cid:durableId="1795827893">
    <w:abstractNumId w:val="10"/>
  </w:num>
  <w:num w:numId="42" w16cid:durableId="1276522632">
    <w:abstractNumId w:val="10"/>
  </w:num>
  <w:num w:numId="43" w16cid:durableId="2117434590">
    <w:abstractNumId w:val="10"/>
  </w:num>
  <w:num w:numId="44" w16cid:durableId="1108889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9D3"/>
    <w:rsid w:val="00002272"/>
    <w:rsid w:val="00064002"/>
    <w:rsid w:val="000677B9"/>
    <w:rsid w:val="000831BA"/>
    <w:rsid w:val="000A42CC"/>
    <w:rsid w:val="000E7DD9"/>
    <w:rsid w:val="0010095E"/>
    <w:rsid w:val="00125B37"/>
    <w:rsid w:val="0015736A"/>
    <w:rsid w:val="00187494"/>
    <w:rsid w:val="001F32AE"/>
    <w:rsid w:val="002767FF"/>
    <w:rsid w:val="002B18FE"/>
    <w:rsid w:val="002B5493"/>
    <w:rsid w:val="002B728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CF5"/>
    <w:rsid w:val="005C2568"/>
    <w:rsid w:val="005F1B17"/>
    <w:rsid w:val="006037C0"/>
    <w:rsid w:val="006554AA"/>
    <w:rsid w:val="006631B6"/>
    <w:rsid w:val="00680577"/>
    <w:rsid w:val="006F74FA"/>
    <w:rsid w:val="00731ADD"/>
    <w:rsid w:val="00734777"/>
    <w:rsid w:val="0073714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9D3"/>
    <w:rsid w:val="00930C23"/>
    <w:rsid w:val="0093193B"/>
    <w:rsid w:val="009509D8"/>
    <w:rsid w:val="00950B64"/>
    <w:rsid w:val="00981893"/>
    <w:rsid w:val="0099253C"/>
    <w:rsid w:val="00A1687D"/>
    <w:rsid w:val="00A43E52"/>
    <w:rsid w:val="00A4678D"/>
    <w:rsid w:val="00A66EB2"/>
    <w:rsid w:val="00A778C7"/>
    <w:rsid w:val="00AB441E"/>
    <w:rsid w:val="00AB6293"/>
    <w:rsid w:val="00AE0928"/>
    <w:rsid w:val="00AF3B82"/>
    <w:rsid w:val="00B12E95"/>
    <w:rsid w:val="00B22876"/>
    <w:rsid w:val="00B558F0"/>
    <w:rsid w:val="00B805DA"/>
    <w:rsid w:val="00BD48FE"/>
    <w:rsid w:val="00BD7BD8"/>
    <w:rsid w:val="00BE6ADC"/>
    <w:rsid w:val="00C05BFE"/>
    <w:rsid w:val="00C23CD4"/>
    <w:rsid w:val="00C61C0C"/>
    <w:rsid w:val="00C744BB"/>
    <w:rsid w:val="00C921EA"/>
    <w:rsid w:val="00C941CB"/>
    <w:rsid w:val="00CC2357"/>
    <w:rsid w:val="00CF071A"/>
    <w:rsid w:val="00D058B8"/>
    <w:rsid w:val="00D56C11"/>
    <w:rsid w:val="00D834A0"/>
    <w:rsid w:val="00D872DF"/>
    <w:rsid w:val="00D91E21"/>
    <w:rsid w:val="00DA00DE"/>
    <w:rsid w:val="00DA7FCD"/>
    <w:rsid w:val="00E2355F"/>
    <w:rsid w:val="00E365E1"/>
    <w:rsid w:val="00E57E33"/>
    <w:rsid w:val="00E820A4"/>
    <w:rsid w:val="00EB006A"/>
    <w:rsid w:val="00EB4772"/>
    <w:rsid w:val="00ED169E"/>
    <w:rsid w:val="00ED4235"/>
    <w:rsid w:val="00F04346"/>
    <w:rsid w:val="00F06F15"/>
    <w:rsid w:val="00F075DC"/>
    <w:rsid w:val="00F149E9"/>
    <w:rsid w:val="00F40A8E"/>
    <w:rsid w:val="00F5134D"/>
    <w:rsid w:val="00F650EF"/>
    <w:rsid w:val="00F74202"/>
    <w:rsid w:val="00F87713"/>
    <w:rsid w:val="00FB4360"/>
    <w:rsid w:val="00FD0C70"/>
  </w:rsids>
  <w:docVars>
    <w:docVar w:name="dvdocse" w:val="A10-0119/2026"/>
    <w:docVar w:name="dvlangue" w:val="SL"/>
    <w:docVar w:name="dvnumam" w:val="0"/>
    <w:docVar w:name="dvpe" w:val="784.496"/>
    <w:docVar w:name="dvrapporteur" w:val="Poročevalec: "/>
    <w:docVar w:name="dvtitre" w:val="Sklep Evropskega parlamenta z dne xx. aprila 2026 o zahtevi za odvzem imunitete Alviseju Pérezu(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D26624"/>
  <w15:chartTrackingRefBased/>
  <w15:docId w15:val="{7CE2C446-DF07-427C-86B0-7914AEF8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57E33"/>
    <w:pPr>
      <w:spacing w:after="240"/>
    </w:pPr>
  </w:style>
  <w:style w:type="paragraph" w:customStyle="1" w:styleId="NormalHanging12a">
    <w:name w:val="NormalHanging12a"/>
    <w:basedOn w:val="Normal"/>
    <w:rsid w:val="00E57E33"/>
    <w:pPr>
      <w:spacing w:after="240"/>
      <w:ind w:left="567" w:hanging="567"/>
    </w:pPr>
  </w:style>
  <w:style w:type="paragraph" w:customStyle="1" w:styleId="EPComma">
    <w:name w:val="EPComma"/>
    <w:basedOn w:val="Normal"/>
    <w:rsid w:val="00E57E33"/>
    <w:pPr>
      <w:spacing w:before="480" w:after="240"/>
    </w:pPr>
  </w:style>
  <w:style w:type="paragraph" w:customStyle="1" w:styleId="Normal12Hanging">
    <w:name w:val="Normal12Hanging"/>
    <w:basedOn w:val="Normal"/>
    <w:rsid w:val="00E57E33"/>
    <w:pPr>
      <w:spacing w:after="240"/>
      <w:ind w:left="567" w:hanging="567"/>
    </w:pPr>
  </w:style>
  <w:style w:type="paragraph" w:styleId="Revision">
    <w:name w:val="Revision"/>
    <w:hidden/>
    <w:uiPriority w:val="99"/>
    <w:semiHidden/>
    <w:rsid w:val="00F650E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2026-04-28T10:52:00Z</dcterms:created>
  <dcterms:modified xsi:type="dcterms:W3CDTF">2026-04-28T10:52:00Z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A10-0119/2026</vt:lpwstr>
  </property>
  <property fmtid="{D5CDD505-2E9C-101B-9397-08002B2CF9AE}" pid="4" name="&lt;Type&gt;">
    <vt:lpwstr>RR</vt:lpwstr>
  </property>
</Properties>
</file>