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224963" w14:textId="77777777" w:rsidTr="0010095E">
        <w:tblPrEx>
          <w:tblW w:w="9072" w:type="dxa"/>
          <w:tblLook w:val="01E0"/>
        </w:tblPrEx>
        <w:trPr>
          <w:trHeight w:hRule="exact" w:val="1418"/>
        </w:trPr>
        <w:tc>
          <w:tcPr>
            <w:tcW w:w="6804" w:type="dxa"/>
            <w:shd w:val="clear" w:color="auto" w:fill="auto"/>
            <w:vAlign w:val="center"/>
          </w:tcPr>
          <w:p w:rsidR="00751A4A" w:rsidRPr="004D5FAE" w:rsidP="0010095E" w14:paraId="1AF1D3C1" w14:textId="77777777">
            <w:pPr>
              <w:pStyle w:val="EPName"/>
            </w:pPr>
            <w:r w:rsidRPr="004D5FAE">
              <w:t>Europaparlamentet</w:t>
            </w:r>
          </w:p>
          <w:p w:rsidR="00751A4A" w:rsidRPr="004D5FAE" w:rsidP="005F1B17" w14:paraId="4A554491" w14:textId="77777777">
            <w:pPr>
              <w:pStyle w:val="EPTerm"/>
              <w:rPr>
                <w:rStyle w:val="HideTWBExt"/>
                <w:noProof w:val="0"/>
                <w:vanish w:val="0"/>
                <w:color w:val="auto"/>
              </w:rPr>
            </w:pPr>
            <w:r w:rsidRPr="004D5FAE">
              <w:t>2024</w:t>
            </w:r>
            <w:r w:rsidRPr="004D5FAE" w:rsidR="00817416">
              <w:t>-202</w:t>
            </w:r>
            <w:r w:rsidRPr="004D5FAE">
              <w:t>9</w:t>
            </w:r>
          </w:p>
        </w:tc>
        <w:tc>
          <w:tcPr>
            <w:tcW w:w="2268" w:type="dxa"/>
            <w:shd w:val="clear" w:color="auto" w:fill="auto"/>
          </w:tcPr>
          <w:p w:rsidR="00751A4A" w:rsidRPr="004D5FAE" w:rsidP="0010095E" w14:paraId="44344405" w14:textId="77777777">
            <w:pPr>
              <w:pStyle w:val="EPLogo"/>
            </w:pPr>
            <w:r w:rsidRPr="004D5FA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D5FAE" w:rsidP="004C5D52" w14:paraId="52661F13" w14:textId="77777777">
      <w:pPr>
        <w:pStyle w:val="LineTop"/>
      </w:pPr>
    </w:p>
    <w:p w:rsidR="00680577" w:rsidRPr="004D5FAE" w:rsidP="00680577" w14:paraId="32C2FA03" w14:textId="77777777">
      <w:pPr>
        <w:pStyle w:val="EPBodyTA1"/>
      </w:pPr>
      <w:r w:rsidRPr="004D5FAE">
        <w:t>ANTAGNA TEXTER</w:t>
      </w:r>
    </w:p>
    <w:p w:rsidR="00D058B8" w:rsidRPr="004D5FAE" w:rsidP="00D058B8" w14:paraId="7CFE2452" w14:textId="77777777">
      <w:pPr>
        <w:pStyle w:val="LineBottom"/>
      </w:pPr>
    </w:p>
    <w:p w:rsidR="00751E7F" w:rsidRPr="004D5FAE" w:rsidP="00751E7F" w14:paraId="3CC458D2" w14:textId="2CA8CAC7">
      <w:pPr>
        <w:pStyle w:val="ATHeading1"/>
      </w:pPr>
      <w:bookmarkStart w:id="0" w:name="TANumber"/>
      <w:r w:rsidRPr="004D5FAE">
        <w:t>P10_TA(2026)0</w:t>
      </w:r>
      <w:bookmarkEnd w:id="0"/>
      <w:r w:rsidR="00F05EAF">
        <w:t>110</w:t>
      </w:r>
    </w:p>
    <w:p w:rsidR="00751E7F" w:rsidRPr="004D5FAE" w:rsidP="00751E7F" w14:paraId="53905405" w14:textId="4C230604">
      <w:pPr>
        <w:pStyle w:val="ATHeading2"/>
      </w:pPr>
      <w:bookmarkStart w:id="1" w:name="title"/>
      <w:r>
        <w:t>B</w:t>
      </w:r>
      <w:r w:rsidRPr="009524F1">
        <w:t xml:space="preserve">egäran om upphävande av </w:t>
      </w:r>
      <w:r w:rsidRPr="009524F1">
        <w:t>Alvise</w:t>
      </w:r>
      <w:r w:rsidRPr="009524F1">
        <w:t xml:space="preserve"> Pérez immunitet</w:t>
      </w:r>
      <w:bookmarkEnd w:id="1"/>
    </w:p>
    <w:p w:rsidR="00751E7F" w:rsidRPr="004D5FAE" w:rsidP="00751E7F" w14:paraId="62F41496" w14:textId="77777777">
      <w:pPr>
        <w:rPr>
          <w:i/>
          <w:vanish/>
        </w:rPr>
      </w:pPr>
      <w:r>
        <w:rPr>
          <w:i/>
        </w:rPr>
        <w:fldChar w:fldCharType="begin"/>
      </w:r>
      <w:r w:rsidRPr="004D5FAE">
        <w:rPr>
          <w:i/>
        </w:rPr>
        <w:instrText xml:space="preserve"> TC"(</w:instrText>
      </w:r>
      <w:bookmarkStart w:id="2" w:name="DocNumber"/>
      <w:r w:rsidRPr="004D5FAE">
        <w:rPr>
          <w:i/>
        </w:rPr>
        <w:instrText>A10-0119/2026</w:instrText>
      </w:r>
      <w:bookmarkEnd w:id="2"/>
      <w:r w:rsidRPr="004D5FAE">
        <w:rPr>
          <w:i/>
        </w:rPr>
        <w:instrText xml:space="preserve"> - Föredragande: Mario Furore)"\l3 \n&gt; \* MERGEFORMAT </w:instrText>
      </w:r>
      <w:r>
        <w:rPr>
          <w:i/>
        </w:rPr>
        <w:fldChar w:fldCharType="end"/>
      </w:r>
    </w:p>
    <w:p w:rsidR="00751E7F" w:rsidRPr="004D5FAE" w:rsidP="00751E7F" w14:paraId="48C6B75A" w14:textId="77777777">
      <w:pPr>
        <w:rPr>
          <w:vanish/>
        </w:rPr>
      </w:pPr>
      <w:bookmarkStart w:id="3" w:name="Commission"/>
      <w:r w:rsidRPr="004D5FAE">
        <w:rPr>
          <w:vanish/>
        </w:rPr>
        <w:t>Utskottet för rättsliga frågor</w:t>
      </w:r>
      <w:bookmarkEnd w:id="3"/>
    </w:p>
    <w:p w:rsidR="00751E7F" w:rsidRPr="004D5FAE" w:rsidP="00751E7F" w14:paraId="0A74D103" w14:textId="77777777">
      <w:pPr>
        <w:rPr>
          <w:vanish/>
        </w:rPr>
      </w:pPr>
      <w:bookmarkStart w:id="4" w:name="PE"/>
      <w:r w:rsidRPr="004D5FAE">
        <w:rPr>
          <w:vanish/>
        </w:rPr>
        <w:t>PE784.496</w:t>
      </w:r>
      <w:bookmarkEnd w:id="4"/>
    </w:p>
    <w:p w:rsidR="00751E7F" w:rsidRPr="004D5FAE" w:rsidP="00811628" w14:paraId="48895135" w14:textId="223BFBD1">
      <w:pPr>
        <w:pStyle w:val="ATHeading3"/>
      </w:pPr>
      <w:bookmarkStart w:id="5" w:name="Sujet"/>
      <w:r w:rsidRPr="004D5FAE">
        <w:t xml:space="preserve">Europaparlamentets beslut av den </w:t>
      </w:r>
      <w:r w:rsidR="009524F1">
        <w:t>28</w:t>
      </w:r>
      <w:r w:rsidRPr="004D5FAE" w:rsidR="009524F1">
        <w:t xml:space="preserve"> </w:t>
      </w:r>
      <w:r w:rsidR="009524F1">
        <w:t>april</w:t>
      </w:r>
      <w:r w:rsidRPr="004D5FAE" w:rsidR="009524F1">
        <w:t xml:space="preserve"> </w:t>
      </w:r>
      <w:r w:rsidRPr="004D5FAE">
        <w:t xml:space="preserve">2026 om begäran om upphävande av </w:t>
      </w:r>
      <w:r w:rsidRPr="004D5FAE">
        <w:t>Alvise</w:t>
      </w:r>
      <w:r w:rsidRPr="004D5FAE">
        <w:t xml:space="preserve"> Pérez immunitet</w:t>
      </w:r>
      <w:bookmarkEnd w:id="5"/>
      <w:r w:rsidRPr="004D5FAE">
        <w:t xml:space="preserve"> </w:t>
      </w:r>
      <w:bookmarkStart w:id="6" w:name="References"/>
      <w:r w:rsidRPr="004D5FAE">
        <w:t>(2025/2222(IMM))</w:t>
      </w:r>
      <w:bookmarkEnd w:id="6"/>
    </w:p>
    <w:p w:rsidR="00475F94" w:rsidRPr="004D5FAE" w:rsidP="00475F94" w14:paraId="2AAAEA30" w14:textId="77777777">
      <w:pPr>
        <w:pStyle w:val="EPComma"/>
      </w:pPr>
      <w:bookmarkStart w:id="7" w:name="TextBodyBegin"/>
      <w:bookmarkEnd w:id="7"/>
      <w:r w:rsidRPr="004D5FAE">
        <w:rPr>
          <w:i/>
          <w:iCs/>
        </w:rPr>
        <w:t>Europaparlamentet fattar detta beslut</w:t>
      </w:r>
    </w:p>
    <w:p w:rsidR="00475F94" w:rsidRPr="004D5FAE" w:rsidP="00475F94" w14:paraId="79E6F106" w14:textId="1634CAFB">
      <w:pPr>
        <w:pStyle w:val="NormalHanging12a"/>
      </w:pPr>
      <w:r w:rsidRPr="004D5FAE">
        <w:t>–</w:t>
      </w:r>
      <w:r w:rsidRPr="004D5FAE">
        <w:tab/>
        <w:t xml:space="preserve">med beaktande av den begäran om upphävande av </w:t>
      </w:r>
      <w:r w:rsidRPr="004D5FAE">
        <w:t>Alvise</w:t>
      </w:r>
      <w:r w:rsidRPr="004D5FAE">
        <w:t xml:space="preserve"> Pérez (Luis Pérez Fernández) immunitet som Spaniens högsta domstol </w:t>
      </w:r>
      <w:r w:rsidR="001D6E49">
        <w:t>inkom med</w:t>
      </w:r>
      <w:r w:rsidRPr="004D5FAE">
        <w:t xml:space="preserve"> genom en skrivelse av den 7 oktober 2025</w:t>
      </w:r>
      <w:r w:rsidR="001D6E49">
        <w:t>,</w:t>
      </w:r>
      <w:r w:rsidRPr="004D5FAE">
        <w:t xml:space="preserve"> med anledning av det brottmålsförfarande som sk</w:t>
      </w:r>
      <w:r w:rsidR="001D6E49">
        <w:t>a</w:t>
      </w:r>
      <w:r w:rsidRPr="004D5FAE">
        <w:t xml:space="preserve"> inledas mot honom, </w:t>
      </w:r>
      <w:r w:rsidR="001D6E49">
        <w:t>vilken</w:t>
      </w:r>
      <w:r w:rsidRPr="004D5FAE">
        <w:t xml:space="preserve"> tillkännagavs i </w:t>
      </w:r>
      <w:r w:rsidR="001D6E49">
        <w:t>kammaren</w:t>
      </w:r>
      <w:r w:rsidRPr="004D5FAE" w:rsidR="001D6E49">
        <w:t xml:space="preserve"> </w:t>
      </w:r>
      <w:r w:rsidRPr="004D5FAE">
        <w:t>den 22 oktober 2025,</w:t>
      </w:r>
    </w:p>
    <w:p w:rsidR="00475F94" w:rsidRPr="004D5FAE" w:rsidP="00475F94" w14:paraId="2BB97F39" w14:textId="77777777">
      <w:pPr>
        <w:pStyle w:val="NormalHanging12a"/>
      </w:pPr>
      <w:r w:rsidRPr="004D5FAE">
        <w:t>–</w:t>
      </w:r>
      <w:r w:rsidRPr="004D5FAE">
        <w:tab/>
        <w:t xml:space="preserve">efter att ha hört </w:t>
      </w:r>
      <w:r w:rsidRPr="004D5FAE">
        <w:t>Alvise</w:t>
      </w:r>
      <w:r w:rsidRPr="004D5FAE">
        <w:t xml:space="preserve"> Pérez den 24 mars 2026 i enlighet med artikel 9.6 i arbetsordningen,</w:t>
      </w:r>
    </w:p>
    <w:p w:rsidR="00475F94" w:rsidRPr="004D5FAE" w:rsidP="00475F94" w14:paraId="065273EB" w14:textId="77777777">
      <w:pPr>
        <w:pStyle w:val="NormalHanging12a"/>
      </w:pPr>
      <w:r w:rsidRPr="004D5FAE">
        <w:t>–</w:t>
      </w:r>
      <w:r w:rsidRPr="004D5FAE">
        <w:tab/>
        <w:t>med beaktande av artiklarna 8 och 9 i protokoll nr 7 om Europeiska unionens immunitet och privilegier och artikel 6.2 i akten av den 20 september 1976 om allmänna direkta val av ledamöter av Europaparlamentet,</w:t>
      </w:r>
    </w:p>
    <w:p w:rsidR="00475F94" w:rsidRPr="004D5FAE" w:rsidP="00475F94" w14:paraId="2435B96B" w14:textId="77777777">
      <w:pPr>
        <w:pStyle w:val="NormalHanging12a"/>
      </w:pPr>
      <w:r w:rsidRPr="004D5FAE">
        <w:t>–</w:t>
      </w:r>
      <w:r w:rsidRPr="004D5FAE">
        <w:tab/>
        <w:t>med beaktande av Europeiska unionens domstols domar av den 21 oktober 2008, 19 mars 2010, 6 september 2011, 17 januari 2013 och 19 december 2019</w:t>
      </w:r>
      <w:r>
        <w:rPr>
          <w:rStyle w:val="FootnoteReference"/>
          <w:color w:val="000000"/>
        </w:rPr>
        <w:footnoteReference w:id="2"/>
      </w:r>
      <w:r w:rsidRPr="004D5FAE">
        <w:t>,</w:t>
      </w:r>
    </w:p>
    <w:p w:rsidR="00475F94" w:rsidRPr="004D5FAE" w:rsidP="00475F94" w14:paraId="3C16F671" w14:textId="77777777">
      <w:pPr>
        <w:pStyle w:val="NormalHanging12a"/>
      </w:pPr>
      <w:r w:rsidRPr="004D5FAE">
        <w:t>–</w:t>
      </w:r>
      <w:r w:rsidRPr="004D5FAE">
        <w:tab/>
        <w:t>med beaktande av artikel 71.1 och 71.2 i den spanska konstitutionen,</w:t>
      </w:r>
    </w:p>
    <w:p w:rsidR="00475F94" w:rsidRPr="004D5FAE" w:rsidP="00475F94" w14:paraId="57F92C35" w14:textId="77777777">
      <w:pPr>
        <w:pStyle w:val="NormalHanging12a"/>
      </w:pPr>
      <w:r w:rsidRPr="004D5FAE">
        <w:t>–</w:t>
      </w:r>
      <w:r w:rsidRPr="004D5FAE">
        <w:tab/>
        <w:t>med beaktande av artiklarna 5.2, 6.1 och 9 i arbetsordningen,</w:t>
      </w:r>
    </w:p>
    <w:p w:rsidR="00475F94" w:rsidRPr="004D5FAE" w:rsidP="00475F94" w14:paraId="0D21E152" w14:textId="77777777">
      <w:pPr>
        <w:pStyle w:val="NormalHanging12a"/>
      </w:pPr>
      <w:r w:rsidRPr="004D5FAE">
        <w:t>–</w:t>
      </w:r>
      <w:r w:rsidRPr="004D5FAE">
        <w:tab/>
        <w:t>med beaktande av betänkandet från utskottet för rättsliga frågor (A10-0119/2026), och av följande skäl:</w:t>
      </w:r>
    </w:p>
    <w:p w:rsidR="00475F94" w:rsidRPr="004D5FAE" w:rsidP="00475F94" w14:paraId="67CDC820" w14:textId="1FB3BFD0">
      <w:pPr>
        <w:pStyle w:val="NormalHanging12a"/>
      </w:pPr>
      <w:r w:rsidRPr="004D5FAE">
        <w:t>A.</w:t>
      </w:r>
      <w:r w:rsidRPr="004D5FAE">
        <w:tab/>
      </w:r>
      <w:r w:rsidR="001D6E49">
        <w:t>Genom</w:t>
      </w:r>
      <w:r w:rsidRPr="004D5FAE">
        <w:t xml:space="preserve"> en skrivelse av den 7 oktober 2025 </w:t>
      </w:r>
      <w:r w:rsidR="001D6E49">
        <w:t>begärde</w:t>
      </w:r>
      <w:r w:rsidRPr="004D5FAE" w:rsidR="001D6E49">
        <w:t xml:space="preserve"> </w:t>
      </w:r>
      <w:r w:rsidRPr="004D5FAE">
        <w:t xml:space="preserve">ordföranden för Spaniens högsta domstol </w:t>
      </w:r>
      <w:r w:rsidR="001D6E49">
        <w:t>att</w:t>
      </w:r>
      <w:r w:rsidRPr="004D5FAE">
        <w:t xml:space="preserve"> immuniteten för </w:t>
      </w:r>
      <w:r w:rsidRPr="004D5FAE">
        <w:t>Alvise</w:t>
      </w:r>
      <w:r w:rsidRPr="004D5FAE">
        <w:t xml:space="preserve"> Pérez, ledamot av Europaparlamentet vald i Spanien, </w:t>
      </w:r>
      <w:r w:rsidR="001D6E49">
        <w:t xml:space="preserve">skulle upphävas på grund av </w:t>
      </w:r>
      <w:r w:rsidRPr="004D5FAE">
        <w:t>brott han påstås ha begått under 2024.</w:t>
      </w:r>
    </w:p>
    <w:p w:rsidR="00475F94" w:rsidRPr="004D5FAE" w:rsidP="00475F94" w14:paraId="5C835C73" w14:textId="687F5239">
      <w:pPr>
        <w:pStyle w:val="Normal12a"/>
        <w:widowControl/>
        <w:ind w:left="567" w:hanging="567"/>
      </w:pPr>
      <w:r w:rsidRPr="004D5FAE">
        <w:rPr>
          <w:shd w:val="clear" w:color="auto" w:fill="FFFFFF"/>
        </w:rPr>
        <w:t>B.</w:t>
      </w:r>
      <w:r w:rsidRPr="004D5FAE">
        <w:rPr>
          <w:shd w:val="clear" w:color="auto" w:fill="FFFFFF"/>
        </w:rPr>
        <w:tab/>
      </w:r>
      <w:r w:rsidRPr="004D5FAE">
        <w:t xml:space="preserve">I begäran anges att administratören för Telegramkanalen </w:t>
      </w:r>
      <w:r w:rsidRPr="004D5FAE">
        <w:rPr>
          <w:i/>
          <w:iCs/>
        </w:rPr>
        <w:t>Alvise</w:t>
      </w:r>
      <w:r w:rsidRPr="004D5FAE">
        <w:rPr>
          <w:i/>
          <w:iCs/>
        </w:rPr>
        <w:t xml:space="preserve"> Pérez Chat</w:t>
      </w:r>
      <w:r w:rsidRPr="004D5FAE">
        <w:t xml:space="preserve"> i januari och februari 2024 påstås ha publicerat uttalanden med namnen på ”de som är ansvariga för den ideologiska förföljelse som kallas hatbrott”, med särskild hänvisning till åklagaren</w:t>
      </w:r>
      <w:r w:rsidR="001D6E49">
        <w:t xml:space="preserve"> </w:t>
      </w:r>
      <w:r w:rsidRPr="004D5FAE">
        <w:t>med ansvar för hatbrott</w:t>
      </w:r>
      <w:r w:rsidR="00302B27">
        <w:t xml:space="preserve"> i Valencia</w:t>
      </w:r>
      <w:r w:rsidRPr="004D5FAE">
        <w:t xml:space="preserve">. De uttalanden som publicerades på kanalen väckte omedelbart reaktioner hos många av kanalens följare, som skickade fler än 1 500 kommentarer till nämnda åklagare, främst av förolämpande karaktär. Det påstådda </w:t>
      </w:r>
      <w:r w:rsidR="00302B27">
        <w:t>agerandet</w:t>
      </w:r>
      <w:r w:rsidRPr="004D5FAE" w:rsidR="00302B27">
        <w:t xml:space="preserve"> </w:t>
      </w:r>
      <w:r w:rsidR="00CA590A">
        <w:t>skulle kunna</w:t>
      </w:r>
      <w:r w:rsidRPr="004D5FAE" w:rsidR="00CA590A">
        <w:t xml:space="preserve"> </w:t>
      </w:r>
      <w:r w:rsidRPr="004D5FAE">
        <w:t xml:space="preserve">utgöra trakasserier eller </w:t>
      </w:r>
      <w:r w:rsidRPr="004D5FAE">
        <w:t>stalkning</w:t>
      </w:r>
      <w:r w:rsidRPr="004D5FAE">
        <w:t xml:space="preserve">, anstiftan till </w:t>
      </w:r>
      <w:r w:rsidR="00302B27">
        <w:t>angrepp mot</w:t>
      </w:r>
      <w:r w:rsidRPr="004D5FAE">
        <w:t xml:space="preserve"> myndighet eller offentlig tjänsteman, tvång och/eller hatbrott via sociala medier, i enlighet med artiklarna 172b och 18.1 i den spanska strafflagen, jämförda med artikel 553 i den spanska strafflagen.</w:t>
      </w:r>
    </w:p>
    <w:p w:rsidR="00475F94" w:rsidRPr="004D5FAE" w:rsidP="00475F94" w14:paraId="367E860A" w14:textId="778236C9">
      <w:pPr>
        <w:pStyle w:val="NormalHanging12a"/>
        <w:rPr>
          <w:szCs w:val="24"/>
          <w:shd w:val="clear" w:color="auto" w:fill="FFFFFF"/>
        </w:rPr>
      </w:pPr>
      <w:r w:rsidRPr="004D5FAE">
        <w:t>C.</w:t>
      </w:r>
      <w:r w:rsidRPr="004D5FAE">
        <w:tab/>
      </w:r>
      <w:r w:rsidRPr="004D5FAE">
        <w:t>Alvise</w:t>
      </w:r>
      <w:r w:rsidRPr="004D5FAE">
        <w:t xml:space="preserve"> Pérez</w:t>
      </w:r>
      <w:r w:rsidRPr="004D5FAE">
        <w:rPr>
          <w:shd w:val="clear" w:color="auto" w:fill="FFFFFF"/>
        </w:rPr>
        <w:t xml:space="preserve"> valdes in i Europaparlamentet i EU-valet i juni 2024 och var </w:t>
      </w:r>
      <w:r w:rsidR="00302B27">
        <w:rPr>
          <w:shd w:val="clear" w:color="auto" w:fill="FFFFFF"/>
        </w:rPr>
        <w:t>således</w:t>
      </w:r>
      <w:r w:rsidRPr="004D5FAE" w:rsidR="00302B27">
        <w:rPr>
          <w:shd w:val="clear" w:color="auto" w:fill="FFFFFF"/>
        </w:rPr>
        <w:t xml:space="preserve"> </w:t>
      </w:r>
      <w:r w:rsidRPr="004D5FAE">
        <w:rPr>
          <w:shd w:val="clear" w:color="auto" w:fill="FFFFFF"/>
        </w:rPr>
        <w:t xml:space="preserve">inte ledamot av Europaparlamentet vid tidpunkten för de påstådda brotten. </w:t>
      </w:r>
    </w:p>
    <w:p w:rsidR="00475F94" w:rsidRPr="004D5FAE" w:rsidP="00475F94" w14:paraId="2EE8F471" w14:textId="201DF4C5">
      <w:pPr>
        <w:pStyle w:val="NormalHanging12a"/>
      </w:pPr>
      <w:r w:rsidRPr="004D5FAE">
        <w:t>D.</w:t>
      </w:r>
      <w:r w:rsidRPr="004D5FAE">
        <w:tab/>
        <w:t xml:space="preserve">De påstådda brotten och den därav följande begäran om upphävande av </w:t>
      </w:r>
      <w:r w:rsidRPr="004D5FAE">
        <w:t>Alvise</w:t>
      </w:r>
      <w:r w:rsidRPr="004D5FAE">
        <w:t xml:space="preserve"> Pérez immunitet har inget samband med yttranden han gjort eller röster han avlagt under utövandet av sitt ämbete i den mening som avses i artikel 8 i protokoll nr 7 om Europeiska unionens immunitet och privilegier.</w:t>
      </w:r>
    </w:p>
    <w:p w:rsidR="00475F94" w:rsidRPr="004D5FAE" w:rsidP="00475F94" w14:paraId="39F65F7A" w14:textId="22F32D96">
      <w:pPr>
        <w:pStyle w:val="NormalHanging12a"/>
      </w:pPr>
      <w:r w:rsidRPr="004D5FAE">
        <w:t>E.</w:t>
      </w:r>
      <w:r w:rsidRPr="004D5FAE">
        <w:tab/>
        <w:t>I artikel 9 första stycket a i protokoll nr 7 om Europeiska unionens immunitet och privilegier anges att under Europaparlamentets sessioner</w:t>
      </w:r>
      <w:r w:rsidR="00302B27">
        <w:t xml:space="preserve"> ska dess ledamöter åtnjuta</w:t>
      </w:r>
      <w:r w:rsidRPr="004D5FAE">
        <w:t xml:space="preserve">, vad avser deras egen </w:t>
      </w:r>
      <w:r w:rsidR="00CA590A">
        <w:t>medlems</w:t>
      </w:r>
      <w:r w:rsidRPr="004D5FAE">
        <w:t>stats territorium, den immunitet som beviljas parlamentsledamöter i deras land.</w:t>
      </w:r>
    </w:p>
    <w:p w:rsidR="00475F94" w:rsidRPr="004D5FAE" w:rsidP="00475F94" w14:paraId="3BB9AFA6" w14:textId="77777777">
      <w:pPr>
        <w:pStyle w:val="Normal12Hanging"/>
      </w:pPr>
      <w:r w:rsidRPr="004D5FAE">
        <w:t>F.</w:t>
      </w:r>
      <w:r w:rsidRPr="004D5FAE">
        <w:tab/>
        <w:t>I artikel 71.1 och 71.2 i den spanska konstitutionen anges följande:</w:t>
      </w:r>
    </w:p>
    <w:p w:rsidR="00475F94" w:rsidRPr="004D5FAE" w:rsidP="00811628" w14:paraId="5D945576" w14:textId="46B7806E">
      <w:pPr>
        <w:pStyle w:val="Normal12Hanging"/>
        <w:ind w:left="1134"/>
        <w:rPr>
          <w:iCs/>
        </w:rPr>
      </w:pPr>
      <w:r w:rsidRPr="004D5FAE">
        <w:t>”1.</w:t>
      </w:r>
      <w:r w:rsidR="0086627C">
        <w:tab/>
      </w:r>
      <w:r w:rsidRPr="00CA590A" w:rsidR="00CA590A">
        <w:t>Deputerade</w:t>
      </w:r>
      <w:r w:rsidR="00CA590A">
        <w:t xml:space="preserve"> </w:t>
      </w:r>
      <w:r w:rsidRPr="004D5FAE">
        <w:t xml:space="preserve">och senatorer åtnjuter </w:t>
      </w:r>
      <w:r w:rsidRPr="004C4531" w:rsidR="004C4531">
        <w:t>okränkbarhet för de åsikter som de ger uttryck för i utövandet av sitt uppdrag</w:t>
      </w:r>
      <w:r w:rsidRPr="004D5FAE">
        <w:t>.</w:t>
      </w:r>
    </w:p>
    <w:p w:rsidR="00475F94" w:rsidRPr="004D5FAE" w:rsidP="00811628" w14:paraId="1E9F67C3" w14:textId="51C80B54">
      <w:pPr>
        <w:pStyle w:val="NormalHanging12a"/>
        <w:ind w:left="1134"/>
        <w:rPr>
          <w:iCs/>
          <w:color w:val="000000"/>
        </w:rPr>
      </w:pPr>
      <w:r w:rsidRPr="004D5FAE">
        <w:t>2.</w:t>
      </w:r>
      <w:r w:rsidR="0086627C">
        <w:tab/>
      </w:r>
      <w:r w:rsidRPr="00AF7A4E" w:rsidR="00AF7A4E">
        <w:t xml:space="preserve">Under uppdragsperioden åtnjuter deputerade och senatorer även immunitet och de får endast gripas </w:t>
      </w:r>
      <w:r w:rsidRPr="00AF7A4E" w:rsidR="00AF7A4E">
        <w:t>i fall</w:t>
      </w:r>
      <w:r w:rsidRPr="00AF7A4E" w:rsidR="00AF7A4E">
        <w:t xml:space="preserve"> då de ertappats på bar gärning. Ingen lagföring eller annat straffrättsligt förfarande får inledas mot dem om inte deras respektive kammare först har gett sitt medgivande</w:t>
      </w:r>
      <w:r w:rsidRPr="004D5FAE">
        <w:t>.”</w:t>
      </w:r>
    </w:p>
    <w:p w:rsidR="00475F94" w:rsidRPr="004D5FAE" w:rsidP="00475F94" w14:paraId="645C59C9" w14:textId="77777777">
      <w:pPr>
        <w:pStyle w:val="NormalHanging12a"/>
        <w:rPr>
          <w:color w:val="000000"/>
        </w:rPr>
      </w:pPr>
      <w:r w:rsidRPr="004D5FAE">
        <w:rPr>
          <w:color w:val="000000"/>
        </w:rPr>
        <w:t>G.</w:t>
      </w:r>
      <w:r w:rsidRPr="004D5FAE">
        <w:rPr>
          <w:color w:val="000000"/>
        </w:rPr>
        <w:tab/>
        <w:t>Syftet med den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rsidR="00475F94" w:rsidRPr="004D5FAE" w:rsidP="00475F94" w14:paraId="45ED6BD4" w14:textId="77777777">
      <w:pPr>
        <w:pStyle w:val="NormalHanging12a"/>
        <w:rPr>
          <w:color w:val="000000"/>
        </w:rPr>
      </w:pPr>
      <w:r w:rsidRPr="004D5FAE">
        <w:rPr>
          <w:color w:val="000000"/>
        </w:rPr>
        <w:t>H.</w:t>
      </w:r>
      <w:r w:rsidRPr="004D5FAE">
        <w:rPr>
          <w:color w:val="000000"/>
        </w:rPr>
        <w:tab/>
        <w:t>Enligt artikel 5.2 i arbetsordningen är parlamentarisk immunitet inte en ledamots personliga privilegium, utan en garanti för hela parlamentets och dess ledamöters oberoende.</w:t>
      </w:r>
    </w:p>
    <w:p w:rsidR="00475F94" w:rsidRPr="004D5FAE" w:rsidP="00475F94" w14:paraId="404E8EDD" w14:textId="730CD1C6">
      <w:pPr>
        <w:pStyle w:val="NormalHanging12a"/>
        <w:rPr>
          <w:color w:val="000000"/>
        </w:rPr>
      </w:pPr>
      <w:r w:rsidRPr="004D5FAE">
        <w:rPr>
          <w:color w:val="000000"/>
        </w:rPr>
        <w:t>I.</w:t>
      </w:r>
      <w:r w:rsidRPr="004D5FAE">
        <w:rPr>
          <w:color w:val="000000"/>
        </w:rPr>
        <w:tab/>
        <w:t xml:space="preserve">I detta fall har parlamentet inte funnit några belägg för </w:t>
      </w:r>
      <w:r w:rsidRPr="004D5FAE">
        <w:rPr>
          <w:i/>
          <w:iCs/>
          <w:color w:val="000000"/>
        </w:rPr>
        <w:t>fumus</w:t>
      </w:r>
      <w:r w:rsidRPr="004D5FAE">
        <w:rPr>
          <w:i/>
          <w:iCs/>
          <w:color w:val="000000"/>
        </w:rPr>
        <w:t xml:space="preserve"> </w:t>
      </w:r>
      <w:r w:rsidRPr="004D5FAE">
        <w:rPr>
          <w:i/>
          <w:iCs/>
          <w:color w:val="000000"/>
        </w:rPr>
        <w:t>persecutionis</w:t>
      </w:r>
      <w:r w:rsidRPr="004D5FAE">
        <w:rPr>
          <w:color w:val="000000"/>
        </w:rPr>
        <w:t xml:space="preserve">, det vill säga faktiska omständigheter som tyder på att </w:t>
      </w:r>
      <w:r w:rsidRPr="00AF7A4E" w:rsidR="00AF7A4E">
        <w:rPr>
          <w:color w:val="000000"/>
        </w:rPr>
        <w:t xml:space="preserve">avsikten med det rättsliga förfarandet i fråga är att </w:t>
      </w:r>
      <w:r w:rsidRPr="004D5FAE">
        <w:rPr>
          <w:color w:val="000000"/>
        </w:rPr>
        <w:t xml:space="preserve">skada </w:t>
      </w:r>
      <w:r w:rsidRPr="004D5FAE">
        <w:rPr>
          <w:color w:val="000000"/>
        </w:rPr>
        <w:t>Alvise</w:t>
      </w:r>
      <w:r w:rsidRPr="004D5FAE">
        <w:rPr>
          <w:color w:val="000000"/>
        </w:rPr>
        <w:t xml:space="preserve"> Pérez politiska verksamhet </w:t>
      </w:r>
      <w:r w:rsidR="00AF7A4E">
        <w:rPr>
          <w:color w:val="000000"/>
        </w:rPr>
        <w:t>i hans egenskap av</w:t>
      </w:r>
      <w:r w:rsidRPr="004D5FAE">
        <w:rPr>
          <w:color w:val="000000"/>
        </w:rPr>
        <w:t xml:space="preserve"> ledamot av Europaparlamentet</w:t>
      </w:r>
      <w:r w:rsidR="00AF7A4E">
        <w:rPr>
          <w:color w:val="000000"/>
        </w:rPr>
        <w:t xml:space="preserve"> </w:t>
      </w:r>
      <w:r w:rsidRPr="00AF7A4E" w:rsidR="00AF7A4E">
        <w:rPr>
          <w:color w:val="000000"/>
        </w:rPr>
        <w:t>och därmed parlamentets oberoende</w:t>
      </w:r>
      <w:r w:rsidRPr="004D5FAE">
        <w:rPr>
          <w:color w:val="000000"/>
        </w:rPr>
        <w:t>.</w:t>
      </w:r>
    </w:p>
    <w:p w:rsidR="00475F94" w:rsidRPr="004D5FAE" w:rsidP="00475F94" w14:paraId="20CB8EE0" w14:textId="77777777">
      <w:pPr>
        <w:pStyle w:val="NormalHanging12a"/>
        <w:rPr>
          <w:color w:val="000000"/>
        </w:rPr>
      </w:pPr>
      <w:r w:rsidRPr="004D5FAE">
        <w:rPr>
          <w:color w:val="000000"/>
        </w:rPr>
        <w:t>J.</w:t>
      </w:r>
      <w:r w:rsidRPr="004D5FAE">
        <w:rPr>
          <w:color w:val="000000"/>
        </w:rPr>
        <w:tab/>
        <w:t>Å ena sidan kan parlamentet inte likställas med en domstol, och å andra sidan kan parlamentsledamoten, inom ramen för ett förfarande för att upphäva immunitet, inte betraktas som ”anklagad”.</w:t>
      </w:r>
      <w:r>
        <w:rPr>
          <w:color w:val="000000"/>
          <w:vertAlign w:val="superscript"/>
        </w:rPr>
        <w:footnoteReference w:id="3"/>
      </w:r>
    </w:p>
    <w:p w:rsidR="00475F94" w:rsidRPr="004D5FAE" w:rsidP="00475F94" w14:paraId="3C34F201" w14:textId="77777777">
      <w:pPr>
        <w:pStyle w:val="NormalHanging12a"/>
        <w:rPr>
          <w:color w:val="000000"/>
        </w:rPr>
      </w:pPr>
      <w:r w:rsidRPr="004D5FAE">
        <w:rPr>
          <w:color w:val="000000"/>
        </w:rPr>
        <w:t>1.</w:t>
      </w:r>
      <w:r w:rsidRPr="004D5FAE">
        <w:rPr>
          <w:color w:val="000000"/>
        </w:rPr>
        <w:tab/>
        <w:t xml:space="preserve">Europaparlamentet beslutar att upphäva </w:t>
      </w:r>
      <w:r w:rsidRPr="004D5FAE">
        <w:rPr>
          <w:color w:val="000000"/>
        </w:rPr>
        <w:t>Alvise</w:t>
      </w:r>
      <w:r w:rsidRPr="004D5FAE">
        <w:rPr>
          <w:color w:val="000000"/>
        </w:rPr>
        <w:t xml:space="preserve"> Pérez immunitet.</w:t>
      </w:r>
    </w:p>
    <w:p w:rsidR="004D5FAE" w:rsidRPr="004D5FAE" w:rsidP="004D5FAE" w14:paraId="5634E6E8" w14:textId="2139C71D">
      <w:pPr>
        <w:pStyle w:val="NormalHanging12a"/>
      </w:pPr>
      <w:r w:rsidRPr="004D5FAE">
        <w:t>2.</w:t>
      </w:r>
      <w:r w:rsidRPr="004D5FAE">
        <w:tab/>
        <w:t xml:space="preserve">Europaparlamentet uppdrar åt talmannen att omedelbart översända detta beslut och det ansvariga utskottets betänkande till de behöriga myndigheterna i Konungariket Spanien och till </w:t>
      </w:r>
      <w:r w:rsidRPr="004D5FAE">
        <w:t>Alvise</w:t>
      </w:r>
      <w:r w:rsidRPr="004D5FAE">
        <w:t xml:space="preserve"> Pérez.</w:t>
      </w:r>
    </w:p>
    <w:p w:rsidR="00E365E1" w:rsidRPr="004D5FAE" w:rsidP="00751E7F" w14:paraId="493B9AF6" w14:textId="751F4C2D"/>
    <w:sectPr w:rsidSect="004D5FA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5FAE" w14:paraId="3FDB037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5FAE" w14:paraId="103F618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5FAE" w14:paraId="4D30E3E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51E7F" w:rsidRPr="004D5FAE" w14:paraId="0A84CB72" w14:textId="77777777">
      <w:r w:rsidRPr="004D5FAE">
        <w:separator/>
      </w:r>
    </w:p>
  </w:footnote>
  <w:footnote w:type="continuationSeparator" w:id="1">
    <w:p w:rsidR="00751E7F" w:rsidRPr="004D5FAE" w14:paraId="220C84EA" w14:textId="77777777">
      <w:r w:rsidRPr="004D5FAE">
        <w:continuationSeparator/>
      </w:r>
    </w:p>
  </w:footnote>
  <w:footnote w:id="2">
    <w:p w:rsidR="00475F94" w:rsidRPr="004D5FAE" w:rsidP="004D5FAE" w14:paraId="689D6AEA" w14:textId="093B2D48">
      <w:pPr>
        <w:pStyle w:val="FootnoteText"/>
        <w:ind w:left="567" w:hanging="567"/>
        <w:rPr>
          <w:sz w:val="24"/>
          <w:lang w:val="sv-SE"/>
        </w:rPr>
      </w:pPr>
      <w:r w:rsidRPr="004D5FAE">
        <w:rPr>
          <w:rStyle w:val="FootnoteReference"/>
          <w:sz w:val="24"/>
          <w:lang w:val="sv-SE"/>
        </w:rPr>
        <w:footnoteRef/>
      </w:r>
      <w:r w:rsidRPr="004D5FAE" w:rsidR="004D5FAE">
        <w:rPr>
          <w:sz w:val="24"/>
          <w:lang w:val="sv-SE"/>
        </w:rPr>
        <w:t xml:space="preserve"> </w:t>
      </w:r>
      <w:r w:rsidRPr="004D5FAE" w:rsidR="004D5FAE">
        <w:rPr>
          <w:sz w:val="24"/>
          <w:lang w:val="sv-SE"/>
        </w:rPr>
        <w:tab/>
      </w:r>
      <w:r w:rsidRPr="004D5FAE">
        <w:rPr>
          <w:sz w:val="24"/>
          <w:lang w:val="sv-SE"/>
        </w:rPr>
        <w:t xml:space="preserve">Domstolens dom av den 21 oktober 2008, Marra/De Gregorio och Clemente, C-200/07 och C-201/07, ECLI:EU:C:2008:579, tribunalens dom av den 19 mars 2010, Gollnisch/parlamentet, T-42/06, ECLI:EU:T:2010:102, domstolens dom av den 6 september 2011, Patriciello, C-163/10, ECLI: EU:C:2011:543; tribunalens dom av den 17 januari 2013, Gollnisch/parlamentet, T-346/11 och T-347/11, ECLI:EU:T:2013:23; domstolens dom av den 19 december 2019, </w:t>
      </w:r>
      <w:r w:rsidRPr="004D5FAE">
        <w:rPr>
          <w:sz w:val="24"/>
          <w:lang w:val="sv-SE"/>
        </w:rPr>
        <w:t>Jungqueras</w:t>
      </w:r>
      <w:r w:rsidRPr="004D5FAE">
        <w:rPr>
          <w:sz w:val="24"/>
          <w:lang w:val="sv-SE"/>
        </w:rPr>
        <w:t xml:space="preserve"> </w:t>
      </w:r>
      <w:r w:rsidRPr="004D5FAE">
        <w:rPr>
          <w:sz w:val="24"/>
          <w:lang w:val="sv-SE"/>
        </w:rPr>
        <w:t>Vies</w:t>
      </w:r>
      <w:r w:rsidRPr="004D5FAE">
        <w:rPr>
          <w:sz w:val="24"/>
          <w:lang w:val="sv-SE"/>
        </w:rPr>
        <w:t>, C-502/19, ECLI:EU:C:2019:1115.</w:t>
      </w:r>
    </w:p>
  </w:footnote>
  <w:footnote w:id="3">
    <w:p w:rsidR="00475F94" w:rsidRPr="004D5FAE" w:rsidP="004D5FAE" w14:paraId="7A1B7742" w14:textId="68886ABE">
      <w:pPr>
        <w:pStyle w:val="FootnoteText"/>
        <w:ind w:left="567" w:hanging="567"/>
        <w:rPr>
          <w:sz w:val="24"/>
          <w:lang w:val="sv-SE"/>
        </w:rPr>
      </w:pPr>
      <w:r w:rsidRPr="004D5FAE">
        <w:rPr>
          <w:rStyle w:val="FootnoteReference"/>
          <w:sz w:val="24"/>
          <w:lang w:val="sv-SE"/>
        </w:rPr>
        <w:footnoteRef/>
      </w:r>
      <w:r w:rsidRPr="004D5FAE" w:rsidR="004D5FAE">
        <w:rPr>
          <w:sz w:val="24"/>
          <w:lang w:val="sv-SE"/>
        </w:rPr>
        <w:t xml:space="preserve"> </w:t>
      </w:r>
      <w:r w:rsidRPr="004D5FAE" w:rsidR="004D5FAE">
        <w:rPr>
          <w:sz w:val="24"/>
          <w:lang w:val="sv-SE"/>
        </w:rPr>
        <w:tab/>
      </w:r>
      <w:r w:rsidRPr="004D5FAE">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5FAE" w14:paraId="536AF15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5FAE" w14:paraId="64A9A8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5FAE" w14:paraId="634A7FB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7999444">
    <w:abstractNumId w:val="9"/>
  </w:num>
  <w:num w:numId="2" w16cid:durableId="1779911489">
    <w:abstractNumId w:val="9"/>
  </w:num>
  <w:num w:numId="3" w16cid:durableId="528568939">
    <w:abstractNumId w:val="7"/>
  </w:num>
  <w:num w:numId="4" w16cid:durableId="2073697150">
    <w:abstractNumId w:val="7"/>
  </w:num>
  <w:num w:numId="5" w16cid:durableId="649872597">
    <w:abstractNumId w:val="6"/>
  </w:num>
  <w:num w:numId="6" w16cid:durableId="920144890">
    <w:abstractNumId w:val="6"/>
  </w:num>
  <w:num w:numId="7" w16cid:durableId="1244610324">
    <w:abstractNumId w:val="5"/>
  </w:num>
  <w:num w:numId="8" w16cid:durableId="1023750892">
    <w:abstractNumId w:val="5"/>
  </w:num>
  <w:num w:numId="9" w16cid:durableId="1793287478">
    <w:abstractNumId w:val="4"/>
  </w:num>
  <w:num w:numId="10" w16cid:durableId="1820686258">
    <w:abstractNumId w:val="4"/>
  </w:num>
  <w:num w:numId="11" w16cid:durableId="367678968">
    <w:abstractNumId w:val="8"/>
  </w:num>
  <w:num w:numId="12" w16cid:durableId="1959682950">
    <w:abstractNumId w:val="8"/>
  </w:num>
  <w:num w:numId="13" w16cid:durableId="428165640">
    <w:abstractNumId w:val="3"/>
  </w:num>
  <w:num w:numId="14" w16cid:durableId="1794710679">
    <w:abstractNumId w:val="3"/>
  </w:num>
  <w:num w:numId="15" w16cid:durableId="886795964">
    <w:abstractNumId w:val="2"/>
  </w:num>
  <w:num w:numId="16" w16cid:durableId="97725457">
    <w:abstractNumId w:val="2"/>
  </w:num>
  <w:num w:numId="17" w16cid:durableId="1263955566">
    <w:abstractNumId w:val="1"/>
  </w:num>
  <w:num w:numId="18" w16cid:durableId="527303352">
    <w:abstractNumId w:val="1"/>
  </w:num>
  <w:num w:numId="19" w16cid:durableId="1060397286">
    <w:abstractNumId w:val="0"/>
  </w:num>
  <w:num w:numId="20" w16cid:durableId="2103993159">
    <w:abstractNumId w:val="0"/>
  </w:num>
  <w:num w:numId="21" w16cid:durableId="173540722">
    <w:abstractNumId w:val="9"/>
  </w:num>
  <w:num w:numId="22" w16cid:durableId="1420951628">
    <w:abstractNumId w:val="7"/>
  </w:num>
  <w:num w:numId="23" w16cid:durableId="582684717">
    <w:abstractNumId w:val="6"/>
  </w:num>
  <w:num w:numId="24" w16cid:durableId="307242969">
    <w:abstractNumId w:val="5"/>
  </w:num>
  <w:num w:numId="25" w16cid:durableId="1077023160">
    <w:abstractNumId w:val="4"/>
  </w:num>
  <w:num w:numId="26" w16cid:durableId="532573599">
    <w:abstractNumId w:val="8"/>
  </w:num>
  <w:num w:numId="27" w16cid:durableId="435096667">
    <w:abstractNumId w:val="3"/>
  </w:num>
  <w:num w:numId="28" w16cid:durableId="2008634445">
    <w:abstractNumId w:val="2"/>
  </w:num>
  <w:num w:numId="29" w16cid:durableId="177476577">
    <w:abstractNumId w:val="1"/>
  </w:num>
  <w:num w:numId="30" w16cid:durableId="1235505399">
    <w:abstractNumId w:val="0"/>
  </w:num>
  <w:num w:numId="31" w16cid:durableId="98332154">
    <w:abstractNumId w:val="9"/>
  </w:num>
  <w:num w:numId="32" w16cid:durableId="320549672">
    <w:abstractNumId w:val="7"/>
  </w:num>
  <w:num w:numId="33" w16cid:durableId="2096895370">
    <w:abstractNumId w:val="6"/>
  </w:num>
  <w:num w:numId="34" w16cid:durableId="95835192">
    <w:abstractNumId w:val="5"/>
  </w:num>
  <w:num w:numId="35" w16cid:durableId="2061006630">
    <w:abstractNumId w:val="4"/>
  </w:num>
  <w:num w:numId="36" w16cid:durableId="615795185">
    <w:abstractNumId w:val="8"/>
  </w:num>
  <w:num w:numId="37" w16cid:durableId="186405591">
    <w:abstractNumId w:val="3"/>
  </w:num>
  <w:num w:numId="38" w16cid:durableId="1548763381">
    <w:abstractNumId w:val="2"/>
  </w:num>
  <w:num w:numId="39" w16cid:durableId="225461178">
    <w:abstractNumId w:val="1"/>
  </w:num>
  <w:num w:numId="40" w16cid:durableId="427851478">
    <w:abstractNumId w:val="0"/>
  </w:num>
  <w:num w:numId="41" w16cid:durableId="1697004719">
    <w:abstractNumId w:val="10"/>
  </w:num>
  <w:num w:numId="42" w16cid:durableId="164367404">
    <w:abstractNumId w:val="10"/>
  </w:num>
  <w:num w:numId="43" w16cid:durableId="730228183">
    <w:abstractNumId w:val="10"/>
  </w:num>
  <w:num w:numId="44" w16cid:durableId="20866045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7F"/>
    <w:rsid w:val="00002272"/>
    <w:rsid w:val="00064002"/>
    <w:rsid w:val="000677B9"/>
    <w:rsid w:val="000831BA"/>
    <w:rsid w:val="000A42CC"/>
    <w:rsid w:val="000E7DD9"/>
    <w:rsid w:val="0010095E"/>
    <w:rsid w:val="00125B37"/>
    <w:rsid w:val="00187494"/>
    <w:rsid w:val="001D6E49"/>
    <w:rsid w:val="001F1011"/>
    <w:rsid w:val="001F32AE"/>
    <w:rsid w:val="00266853"/>
    <w:rsid w:val="002767FF"/>
    <w:rsid w:val="002B18FE"/>
    <w:rsid w:val="002B5493"/>
    <w:rsid w:val="00302B27"/>
    <w:rsid w:val="00343214"/>
    <w:rsid w:val="00361C00"/>
    <w:rsid w:val="00395FA1"/>
    <w:rsid w:val="003E15D4"/>
    <w:rsid w:val="004002C0"/>
    <w:rsid w:val="00411CCE"/>
    <w:rsid w:val="0041666E"/>
    <w:rsid w:val="00421060"/>
    <w:rsid w:val="00471C19"/>
    <w:rsid w:val="00475F94"/>
    <w:rsid w:val="004867E3"/>
    <w:rsid w:val="00494A28"/>
    <w:rsid w:val="004C0004"/>
    <w:rsid w:val="004C4531"/>
    <w:rsid w:val="004C5D52"/>
    <w:rsid w:val="004D5FAE"/>
    <w:rsid w:val="0050519A"/>
    <w:rsid w:val="005072A1"/>
    <w:rsid w:val="00514517"/>
    <w:rsid w:val="00545827"/>
    <w:rsid w:val="00560270"/>
    <w:rsid w:val="005C2568"/>
    <w:rsid w:val="005F1B17"/>
    <w:rsid w:val="006037C0"/>
    <w:rsid w:val="006631B6"/>
    <w:rsid w:val="00671BBD"/>
    <w:rsid w:val="00680577"/>
    <w:rsid w:val="006F74FA"/>
    <w:rsid w:val="00731ADD"/>
    <w:rsid w:val="00734777"/>
    <w:rsid w:val="00747932"/>
    <w:rsid w:val="00751A4A"/>
    <w:rsid w:val="00751E7F"/>
    <w:rsid w:val="00756632"/>
    <w:rsid w:val="00762C74"/>
    <w:rsid w:val="00786EC0"/>
    <w:rsid w:val="007D1690"/>
    <w:rsid w:val="007E22AD"/>
    <w:rsid w:val="00811628"/>
    <w:rsid w:val="00817416"/>
    <w:rsid w:val="00842779"/>
    <w:rsid w:val="00865F67"/>
    <w:rsid w:val="0086627C"/>
    <w:rsid w:val="00881A7B"/>
    <w:rsid w:val="008840E5"/>
    <w:rsid w:val="00887B3E"/>
    <w:rsid w:val="008C2AC6"/>
    <w:rsid w:val="00930C23"/>
    <w:rsid w:val="0093193B"/>
    <w:rsid w:val="009509D8"/>
    <w:rsid w:val="00950B64"/>
    <w:rsid w:val="009524F1"/>
    <w:rsid w:val="00981893"/>
    <w:rsid w:val="00A1687D"/>
    <w:rsid w:val="00A43E52"/>
    <w:rsid w:val="00A4678D"/>
    <w:rsid w:val="00A778C7"/>
    <w:rsid w:val="00AB441E"/>
    <w:rsid w:val="00AB6293"/>
    <w:rsid w:val="00AE0928"/>
    <w:rsid w:val="00AF3B82"/>
    <w:rsid w:val="00AF7A4E"/>
    <w:rsid w:val="00B12E95"/>
    <w:rsid w:val="00B22876"/>
    <w:rsid w:val="00B558F0"/>
    <w:rsid w:val="00BD48FE"/>
    <w:rsid w:val="00BD7BD8"/>
    <w:rsid w:val="00BE6ADC"/>
    <w:rsid w:val="00C05BFE"/>
    <w:rsid w:val="00C23CD4"/>
    <w:rsid w:val="00C61C0C"/>
    <w:rsid w:val="00C941CB"/>
    <w:rsid w:val="00CA590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EAF"/>
    <w:rsid w:val="00F075DC"/>
    <w:rsid w:val="00F149E9"/>
    <w:rsid w:val="00F5134D"/>
    <w:rsid w:val="00F74202"/>
    <w:rsid w:val="00F87713"/>
    <w:rsid w:val="00FB4360"/>
    <w:rsid w:val="00FD0C70"/>
  </w:rsids>
  <w:docVars>
    <w:docVar w:name="dvdocse" w:val="A10-0119/2026"/>
    <w:docVar w:name="dvlangue" w:val="SV"/>
    <w:docVar w:name="dvnumam" w:val="0"/>
    <w:docVar w:name="dvpe" w:val="784.496"/>
    <w:docVar w:name="dvrapporteur" w:val="Föredragande: "/>
    <w:docVar w:name="dvtitre" w:val="Europaparlamentets beslut av den xx xx 2026 om begäran om upphävande av Alvise Pérez immunitet(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35E5DF9"/>
  <w15:chartTrackingRefBased/>
  <w15:docId w15:val="{DC59BAD2-7B74-4301-8959-08F449A0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5F9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75F94"/>
    <w:pPr>
      <w:spacing w:after="240"/>
    </w:pPr>
  </w:style>
  <w:style w:type="paragraph" w:customStyle="1" w:styleId="NormalHanging12a">
    <w:name w:val="NormalHanging12a"/>
    <w:basedOn w:val="Normal"/>
    <w:rsid w:val="00475F94"/>
    <w:pPr>
      <w:spacing w:after="240"/>
      <w:ind w:left="567" w:hanging="567"/>
    </w:pPr>
  </w:style>
  <w:style w:type="paragraph" w:styleId="Header">
    <w:name w:val="header"/>
    <w:basedOn w:val="Normal"/>
    <w:link w:val="HeaderChar"/>
    <w:rsid w:val="00475F94"/>
    <w:pPr>
      <w:tabs>
        <w:tab w:val="center" w:pos="4513"/>
        <w:tab w:val="right" w:pos="9026"/>
      </w:tabs>
    </w:pPr>
  </w:style>
  <w:style w:type="character" w:customStyle="1" w:styleId="HeaderChar">
    <w:name w:val="Header Char"/>
    <w:basedOn w:val="DefaultParagraphFont"/>
    <w:link w:val="Header"/>
    <w:rsid w:val="00475F94"/>
    <w:rPr>
      <w:sz w:val="24"/>
      <w:lang w:val="sv-SE"/>
    </w:rPr>
  </w:style>
  <w:style w:type="paragraph" w:customStyle="1" w:styleId="EPFooter">
    <w:name w:val="EPFooter"/>
    <w:basedOn w:val="Normal"/>
    <w:rsid w:val="00475F94"/>
    <w:pPr>
      <w:tabs>
        <w:tab w:val="center" w:pos="4535"/>
        <w:tab w:val="right" w:pos="9071"/>
      </w:tabs>
      <w:spacing w:before="240" w:after="240"/>
    </w:pPr>
    <w:rPr>
      <w:color w:val="010000"/>
      <w:sz w:val="22"/>
    </w:rPr>
  </w:style>
  <w:style w:type="paragraph" w:customStyle="1" w:styleId="EPComma">
    <w:name w:val="EPComma"/>
    <w:basedOn w:val="Normal"/>
    <w:rsid w:val="00475F94"/>
    <w:pPr>
      <w:spacing w:before="480" w:after="240"/>
    </w:pPr>
  </w:style>
  <w:style w:type="paragraph" w:customStyle="1" w:styleId="Normal12Hanging">
    <w:name w:val="Normal12Hanging"/>
    <w:basedOn w:val="Normal"/>
    <w:rsid w:val="00475F94"/>
    <w:pPr>
      <w:spacing w:after="240"/>
      <w:ind w:left="567" w:hanging="567"/>
    </w:pPr>
  </w:style>
  <w:style w:type="paragraph" w:styleId="Revision">
    <w:name w:val="Revision"/>
    <w:hidden/>
    <w:uiPriority w:val="99"/>
    <w:semiHidden/>
    <w:rsid w:val="009524F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713</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2026-04-28T10:53:00Z</dcterms:created>
  <dcterms:modified xsi:type="dcterms:W3CDTF">2026-04-28T10:53:00Z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A10-0119/2026</vt:lpwstr>
  </property>
  <property fmtid="{D5CDD505-2E9C-101B-9397-08002B2CF9AE}" pid="4" name="&lt;Type&gt;">
    <vt:lpwstr>RR</vt:lpwstr>
  </property>
</Properties>
</file>