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A6812F" w14:textId="77777777" w:rsidTr="0010095E">
        <w:tblPrEx>
          <w:tblW w:w="9072" w:type="dxa"/>
          <w:tblLook w:val="01E0"/>
        </w:tblPrEx>
        <w:trPr>
          <w:trHeight w:hRule="exact" w:val="1418"/>
        </w:trPr>
        <w:tc>
          <w:tcPr>
            <w:tcW w:w="6804" w:type="dxa"/>
            <w:shd w:val="clear" w:color="auto" w:fill="auto"/>
            <w:vAlign w:val="center"/>
          </w:tcPr>
          <w:p w:rsidR="00751A4A" w:rsidRPr="00BA183C" w:rsidP="0010095E" w14:paraId="6E9D4F58" w14:textId="77777777">
            <w:pPr>
              <w:pStyle w:val="EPName"/>
            </w:pPr>
            <w:r w:rsidRPr="00BA183C">
              <w:t>European Parliament</w:t>
            </w:r>
          </w:p>
          <w:p w:rsidR="00751A4A" w:rsidRPr="00BA183C" w:rsidP="005F1B17" w14:paraId="23F9E2A6" w14:textId="77777777">
            <w:pPr>
              <w:pStyle w:val="EPTerm"/>
              <w:rPr>
                <w:rStyle w:val="HideTWBExt"/>
                <w:noProof w:val="0"/>
                <w:vanish w:val="0"/>
                <w:color w:val="auto"/>
              </w:rPr>
            </w:pPr>
            <w:r w:rsidRPr="00BA183C">
              <w:t>2024</w:t>
            </w:r>
            <w:r w:rsidRPr="00BA183C" w:rsidR="00817416">
              <w:t>-202</w:t>
            </w:r>
            <w:r w:rsidRPr="00BA183C">
              <w:t>9</w:t>
            </w:r>
          </w:p>
        </w:tc>
        <w:tc>
          <w:tcPr>
            <w:tcW w:w="2268" w:type="dxa"/>
            <w:shd w:val="clear" w:color="auto" w:fill="auto"/>
          </w:tcPr>
          <w:p w:rsidR="00751A4A" w:rsidRPr="00BA183C" w:rsidP="0010095E" w14:paraId="4478C190" w14:textId="77777777">
            <w:pPr>
              <w:pStyle w:val="EPLogo"/>
            </w:pPr>
            <w:r w:rsidRPr="00BA18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A183C" w:rsidP="004C5D52" w14:paraId="79B6DA09" w14:textId="77777777">
      <w:pPr>
        <w:pStyle w:val="LineTop"/>
      </w:pPr>
    </w:p>
    <w:p w:rsidR="00680577" w:rsidRPr="00BA183C" w:rsidP="00680577" w14:paraId="76D79609" w14:textId="77777777">
      <w:pPr>
        <w:pStyle w:val="EPBodyTA1"/>
      </w:pPr>
      <w:r w:rsidRPr="00BA183C">
        <w:t>TEXTS ADOPTED</w:t>
      </w:r>
    </w:p>
    <w:p w:rsidR="00D058B8" w:rsidRPr="00BA183C" w:rsidP="00D058B8" w14:paraId="47A3C065" w14:textId="77777777">
      <w:pPr>
        <w:pStyle w:val="LineBottom"/>
      </w:pPr>
    </w:p>
    <w:p w:rsidR="00AC3760" w:rsidRPr="00BA183C" w:rsidP="00AC3760" w14:paraId="7018B689" w14:textId="3F80B903">
      <w:pPr>
        <w:pStyle w:val="ATHeading1"/>
      </w:pPr>
      <w:bookmarkStart w:id="0" w:name="TANumber"/>
      <w:r w:rsidRPr="00BA183C">
        <w:t>P10_TA(2026)</w:t>
      </w:r>
      <w:bookmarkEnd w:id="0"/>
      <w:r w:rsidR="00A32501">
        <w:t>0111</w:t>
      </w:r>
    </w:p>
    <w:p w:rsidR="00AC3760" w:rsidRPr="00BA183C" w:rsidP="00AC3760" w14:paraId="7F1F896C" w14:textId="2C74FF00">
      <w:pPr>
        <w:pStyle w:val="ATHeading2"/>
      </w:pPr>
      <w:bookmarkStart w:id="1" w:name="title"/>
      <w:r w:rsidRPr="0012486E">
        <w:t>Interim report on the proposal for the multiannual financial framework for 2028-2034</w:t>
      </w:r>
      <w:bookmarkEnd w:id="1"/>
    </w:p>
    <w:p w:rsidR="00AC3760" w:rsidRPr="00BA183C" w:rsidP="00AC3760" w14:paraId="77E7E48C" w14:textId="77777777">
      <w:pPr>
        <w:rPr>
          <w:i/>
          <w:vanish/>
        </w:rPr>
      </w:pPr>
      <w:r>
        <w:rPr>
          <w:i/>
        </w:rPr>
        <w:fldChar w:fldCharType="begin"/>
      </w:r>
      <w:r w:rsidRPr="00BA183C">
        <w:rPr>
          <w:i/>
        </w:rPr>
        <w:instrText xml:space="preserve"> TC"(</w:instrText>
      </w:r>
      <w:bookmarkStart w:id="2" w:name="DocNumber"/>
      <w:r w:rsidRPr="00BA183C">
        <w:rPr>
          <w:i/>
        </w:rPr>
        <w:instrText>A10-0105/2026</w:instrText>
      </w:r>
      <w:bookmarkEnd w:id="2"/>
      <w:r w:rsidRPr="00BA183C">
        <w:rPr>
          <w:i/>
        </w:rPr>
        <w:instrText xml:space="preserve"> - Rapporteur: Siegfried Mureşan, Carla Tavares)"\l3 \n&gt; \* MERGEFORMAT </w:instrText>
      </w:r>
      <w:r>
        <w:rPr>
          <w:i/>
        </w:rPr>
        <w:fldChar w:fldCharType="end"/>
      </w:r>
    </w:p>
    <w:p w:rsidR="00AC3760" w:rsidRPr="00BA183C" w:rsidP="00AC3760" w14:paraId="1637D9DB" w14:textId="77777777">
      <w:pPr>
        <w:rPr>
          <w:vanish/>
        </w:rPr>
      </w:pPr>
      <w:bookmarkStart w:id="3" w:name="Commission"/>
      <w:r w:rsidRPr="00BA183C">
        <w:rPr>
          <w:vanish/>
        </w:rPr>
        <w:t>Committee on Budgets</w:t>
      </w:r>
      <w:bookmarkEnd w:id="3"/>
    </w:p>
    <w:p w:rsidR="00AC3760" w:rsidRPr="00BA183C" w:rsidP="00AC3760" w14:paraId="77AD57EF" w14:textId="77777777">
      <w:pPr>
        <w:rPr>
          <w:vanish/>
        </w:rPr>
      </w:pPr>
      <w:bookmarkStart w:id="4" w:name="PE"/>
      <w:r w:rsidRPr="00BA183C">
        <w:rPr>
          <w:vanish/>
        </w:rPr>
        <w:t>PE779.351</w:t>
      </w:r>
      <w:bookmarkEnd w:id="4"/>
    </w:p>
    <w:p w:rsidR="00AC3760" w:rsidRPr="00BA183C" w:rsidP="00AC3760" w14:paraId="50136090" w14:textId="458EC504">
      <w:pPr>
        <w:pStyle w:val="ATHeading3"/>
      </w:pPr>
      <w:bookmarkStart w:id="5" w:name="Sujet"/>
      <w:r w:rsidRPr="00BA183C">
        <w:t xml:space="preserve">European Parliament resolution of </w:t>
      </w:r>
      <w:r w:rsidR="0012486E">
        <w:t>28</w:t>
      </w:r>
      <w:r w:rsidRPr="00BA183C">
        <w:t xml:space="preserve"> </w:t>
      </w:r>
      <w:r w:rsidR="0012486E">
        <w:t>April</w:t>
      </w:r>
      <w:r w:rsidRPr="00BA183C">
        <w:t xml:space="preserve"> 2026 on the proposal for a Council regulation laying down the Multiannual Financial Framework for the years 2028 to 2034</w:t>
      </w:r>
      <w:bookmarkEnd w:id="5"/>
      <w:r w:rsidRPr="00BA183C">
        <w:t xml:space="preserve"> </w:t>
      </w:r>
      <w:bookmarkStart w:id="6" w:name="References"/>
      <w:r w:rsidRPr="00BA183C">
        <w:t>(COM(2025)0571 – C10-0000/2025 – 2025/0571R(APP))</w:t>
      </w:r>
      <w:bookmarkEnd w:id="6"/>
    </w:p>
    <w:p w:rsidR="002A6758" w:rsidRPr="00BA183C" w:rsidP="002A6758" w14:paraId="6D1F60E4" w14:textId="77777777">
      <w:pPr>
        <w:pStyle w:val="EPComma"/>
      </w:pPr>
      <w:r w:rsidRPr="00BA183C">
        <w:rPr>
          <w:i/>
        </w:rPr>
        <w:t>The European Parliament</w:t>
      </w:r>
      <w:r w:rsidRPr="00BA183C">
        <w:t>,</w:t>
      </w:r>
    </w:p>
    <w:p w:rsidR="002A6758" w:rsidRPr="00BA183C" w:rsidP="002A6758" w14:paraId="67D4FB5E" w14:textId="77777777">
      <w:pPr>
        <w:pStyle w:val="NormalHanging12a"/>
      </w:pPr>
      <w:r w:rsidRPr="00BA183C">
        <w:t>–</w:t>
      </w:r>
      <w:r w:rsidRPr="00BA183C">
        <w:tab/>
        <w:t>having regard to Articles 8, 285, 287, 311, 312, 323 and 349 of the Treaty on the Functioning of the European Union (TFEU),</w:t>
      </w:r>
    </w:p>
    <w:p w:rsidR="002A6758" w:rsidRPr="00BA183C" w:rsidP="002A6758" w14:paraId="70BC3EC1" w14:textId="77777777">
      <w:pPr>
        <w:pStyle w:val="NormalHanging12a"/>
      </w:pPr>
      <w:r w:rsidRPr="00BA183C">
        <w:t>–</w:t>
      </w:r>
      <w:r w:rsidRPr="00BA183C">
        <w:tab/>
        <w:t>having regard to the Commission communication of 16 July 2025 entitled ‘A dynamic EU budget for the priorities of the future – The Multiannual Financial Framework 2028-2034’ (COM(2025)0570),</w:t>
      </w:r>
    </w:p>
    <w:p w:rsidR="002A6758" w:rsidRPr="00BA183C" w:rsidP="002A6758" w14:paraId="00C06AC1" w14:textId="77777777">
      <w:pPr>
        <w:pStyle w:val="NormalHanging12a"/>
      </w:pPr>
      <w:r w:rsidRPr="00BA183C">
        <w:t>–</w:t>
      </w:r>
      <w:r w:rsidRPr="00BA183C">
        <w:tab/>
        <w:t>having regard to the Commission proposal of 16 July 2025 for a Council regulation laying down the multiannual financial framework for the years 2028 to 2034 (COM(2025)0571),</w:t>
      </w:r>
    </w:p>
    <w:p w:rsidR="002A6758" w:rsidRPr="00BA183C" w:rsidP="002A6758" w14:paraId="70CC0C4F" w14:textId="77777777">
      <w:pPr>
        <w:pStyle w:val="NormalHanging12a"/>
      </w:pPr>
      <w:r w:rsidRPr="00BA183C">
        <w:t>–</w:t>
      </w:r>
      <w:r w:rsidRPr="00BA183C">
        <w:tab/>
        <w:t xml:space="preserve">having regard to the Commission proposal of 16 July 2025 for a Council decision on the system of own resources of the European Union and repealing Decision (EU, Euratom) 2020/2053 (COM(2025)0574), </w:t>
      </w:r>
    </w:p>
    <w:p w:rsidR="002A6758" w:rsidRPr="00BA183C" w:rsidP="002A6758" w14:paraId="5F011441" w14:textId="6184E1E2">
      <w:pPr>
        <w:pStyle w:val="NormalHanging12a"/>
      </w:pPr>
      <w:r w:rsidRPr="00BA183C">
        <w:t>–</w:t>
      </w:r>
      <w:r w:rsidRPr="00BA183C">
        <w:tab/>
        <w:t>having regard to the Commission proposal of 16 July 2025 for an Interinstitutional Agreement between the European Parliament, the Council and the Commission on budgetary discipline, on cooperation in budgetary matters and on sound financial management (COM(2025)</w:t>
      </w:r>
      <w:r w:rsidR="004C145F">
        <w:t>0</w:t>
      </w:r>
      <w:r w:rsidRPr="00BA183C">
        <w:t>572),</w:t>
      </w:r>
    </w:p>
    <w:p w:rsidR="002A6758" w:rsidRPr="00BA183C" w:rsidP="002A6758" w14:paraId="4772FA06" w14:textId="77777777">
      <w:pPr>
        <w:pStyle w:val="NormalHanging12a"/>
      </w:pPr>
      <w:r w:rsidRPr="00BA183C">
        <w:t>–</w:t>
      </w:r>
      <w:r w:rsidRPr="00BA183C">
        <w:tab/>
        <w:t>having regard to its resolution of 7 May 2025 on a revamped long-term budget for the Union in a changing world</w:t>
      </w:r>
      <w:r>
        <w:rPr>
          <w:rStyle w:val="FootnoteReference"/>
        </w:rPr>
        <w:footnoteReference w:id="2"/>
      </w:r>
      <w:r w:rsidRPr="00BA183C">
        <w:t>,</w:t>
      </w:r>
    </w:p>
    <w:p w:rsidR="002A6758" w:rsidRPr="00BA183C" w:rsidP="002A6758" w14:paraId="20EE8E0D" w14:textId="77777777">
      <w:pPr>
        <w:pStyle w:val="NormalHanging12a"/>
      </w:pPr>
      <w:r w:rsidRPr="00BA183C">
        <w:t>–</w:t>
      </w:r>
      <w:r w:rsidRPr="00BA183C">
        <w:tab/>
        <w:t>having regard to its resolution of 10 September 2025 on the role of cohesion policy investment in resolving the current housing crisis</w:t>
      </w:r>
      <w:r>
        <w:rPr>
          <w:rStyle w:val="FootnoteReference"/>
        </w:rPr>
        <w:footnoteReference w:id="3"/>
      </w:r>
      <w:r w:rsidRPr="00BA183C">
        <w:t>,</w:t>
      </w:r>
    </w:p>
    <w:p w:rsidR="002A6758" w:rsidRPr="00BA183C" w:rsidP="002A6758" w14:paraId="7ACC4257" w14:textId="77777777">
      <w:pPr>
        <w:pStyle w:val="NormalHanging12a"/>
      </w:pPr>
      <w:r w:rsidRPr="00BA183C">
        <w:t>–</w:t>
      </w:r>
      <w:r w:rsidRPr="00BA183C">
        <w:tab/>
        <w:t>having regard to its resolution of 21 January 2026 on the implementation of the common security and defence policy – annual report 2025</w:t>
      </w:r>
      <w:r>
        <w:rPr>
          <w:rStyle w:val="FootnoteReference"/>
        </w:rPr>
        <w:footnoteReference w:id="4"/>
      </w:r>
      <w:r w:rsidRPr="00BA183C">
        <w:t>,</w:t>
      </w:r>
    </w:p>
    <w:p w:rsidR="002A6758" w:rsidRPr="00BA183C" w:rsidP="002A6758" w14:paraId="0919F799" w14:textId="77777777">
      <w:pPr>
        <w:pStyle w:val="NormalHanging12a"/>
      </w:pPr>
      <w:r w:rsidRPr="00BA183C">
        <w:t>–</w:t>
      </w:r>
      <w:r w:rsidRPr="00BA183C">
        <w:tab/>
        <w:t>having regard to Regulation (EU, Euratom) 2024/2509 of the European Parliament and of the Council of 23 September 2024 on the financial rules applicable to the general budget of the Union</w:t>
      </w:r>
      <w:r>
        <w:rPr>
          <w:rStyle w:val="FootnoteReference"/>
        </w:rPr>
        <w:footnoteReference w:id="5"/>
      </w:r>
      <w:r w:rsidRPr="00BA183C">
        <w:t>,</w:t>
      </w:r>
    </w:p>
    <w:p w:rsidR="002A6758" w:rsidRPr="00BA183C" w:rsidP="002A6758" w14:paraId="443C62F4" w14:textId="77777777">
      <w:pPr>
        <w:pStyle w:val="NormalHanging12a"/>
      </w:pPr>
      <w:r w:rsidRPr="00BA183C">
        <w:t>–</w:t>
      </w:r>
      <w:r w:rsidRPr="00BA183C">
        <w:tab/>
        <w:t>having regard to Regulation (EU, Euratom) 2020/2092 of the European Parliament and of the Council of 16 December 2020 on a general regime of conditionality for the protection of the Union budget (the Rule of Law Conditionality Regulation)</w:t>
      </w:r>
      <w:r>
        <w:rPr>
          <w:rStyle w:val="FootnoteReference"/>
        </w:rPr>
        <w:footnoteReference w:id="6"/>
      </w:r>
      <w:r w:rsidRPr="00BA183C">
        <w:t>,</w:t>
      </w:r>
    </w:p>
    <w:p w:rsidR="002A6758" w:rsidRPr="00BA183C" w:rsidP="002A6758" w14:paraId="5BACF139" w14:textId="77777777">
      <w:pPr>
        <w:pStyle w:val="NormalHanging12a"/>
      </w:pPr>
      <w:r w:rsidRPr="00BA183C">
        <w:t>–</w:t>
      </w:r>
      <w:r w:rsidRPr="00BA183C">
        <w:tab/>
        <w:t>having regard to the report of 10 April 2024 by Enrico Letta entitled ‘Much More than a Market’ (the Letta report),</w:t>
      </w:r>
    </w:p>
    <w:p w:rsidR="002A6758" w:rsidRPr="00BA183C" w:rsidP="002A6758" w14:paraId="14AEF598" w14:textId="77777777">
      <w:pPr>
        <w:pStyle w:val="NormalHanging12a"/>
      </w:pPr>
      <w:r w:rsidRPr="00BA183C">
        <w:t>–</w:t>
      </w:r>
      <w:r w:rsidRPr="00BA183C">
        <w:tab/>
        <w:t>having regard to the report of 9 September 2024 by Mario Draghi entitled ‘The future of European competitiveness’ (the Draghi report),</w:t>
      </w:r>
    </w:p>
    <w:p w:rsidR="002A6758" w:rsidRPr="00BA183C" w:rsidP="002A6758" w14:paraId="1710928D" w14:textId="77777777">
      <w:pPr>
        <w:pStyle w:val="NormalHanging12a"/>
      </w:pPr>
      <w:r w:rsidRPr="00BA183C">
        <w:t>–</w:t>
      </w:r>
      <w:r w:rsidRPr="00BA183C">
        <w:tab/>
        <w:t>having regard to the report of 30 October 2024 by Sauli Niinistö entitled ‘Safer together – strengthening Europe’s civilian and military preparedness and readiness’ (the Niinistö report),</w:t>
      </w:r>
    </w:p>
    <w:p w:rsidR="002A6758" w:rsidRPr="00BA183C" w:rsidP="002A6758" w14:paraId="71D2E5E4" w14:textId="77777777">
      <w:pPr>
        <w:pStyle w:val="NormalHanging12a"/>
      </w:pPr>
      <w:r w:rsidRPr="00BA183C">
        <w:t>–</w:t>
      </w:r>
      <w:r w:rsidRPr="00BA183C">
        <w:tab/>
        <w:t>having regard to the Commission communication of 18 February 2026 on the EU’s eastern regions bordering Russia, Belarus and Ukraine – Strong regions for a safe Europe COM(2026)0082,</w:t>
      </w:r>
    </w:p>
    <w:p w:rsidR="002A6758" w:rsidRPr="00BA183C" w:rsidP="002A6758" w14:paraId="42CA3E49" w14:textId="77777777">
      <w:pPr>
        <w:pStyle w:val="NormalHanging12a"/>
      </w:pPr>
      <w:r w:rsidRPr="00BA183C">
        <w:t>–</w:t>
      </w:r>
      <w:r w:rsidRPr="00BA183C">
        <w:tab/>
        <w:t xml:space="preserve">having regard to its resolutions on the outermost regions and overseas countries and territories, to the related policies that are in place and to the publications of the Commission related to the support specific to those regions, including </w:t>
      </w:r>
      <w:r w:rsidRPr="00BA183C">
        <w:t>in the area of</w:t>
      </w:r>
      <w:r w:rsidRPr="00BA183C">
        <w:t xml:space="preserve"> agriculture,</w:t>
      </w:r>
    </w:p>
    <w:p w:rsidR="002A6758" w:rsidRPr="00BA183C" w:rsidP="002A6758" w14:paraId="63C44412" w14:textId="77777777">
      <w:pPr>
        <w:pStyle w:val="NormalHanging12a"/>
      </w:pPr>
      <w:r w:rsidRPr="00BA183C">
        <w:t>–</w:t>
      </w:r>
      <w:r w:rsidRPr="00BA183C">
        <w:tab/>
        <w:t>having regard to the Commission communication of 11 December 2019 on the European Green Deal (COM(2019)0640),</w:t>
      </w:r>
    </w:p>
    <w:p w:rsidR="002A6758" w:rsidRPr="00BA183C" w:rsidP="002A6758" w14:paraId="7B74404D" w14:textId="77777777">
      <w:pPr>
        <w:pStyle w:val="NormalHanging12a"/>
      </w:pPr>
      <w:r w:rsidRPr="00BA183C">
        <w:t>–</w:t>
      </w:r>
      <w:r w:rsidRPr="00BA183C">
        <w:tab/>
        <w:t>having regard to the Commission communication of 12 November 2025 entitled ‘A Culture Compass for Europe’ (COM(2025)0785),</w:t>
      </w:r>
    </w:p>
    <w:p w:rsidR="002A6758" w:rsidRPr="00BA183C" w:rsidP="002A6758" w14:paraId="35D3BB0A" w14:textId="77777777">
      <w:pPr>
        <w:pStyle w:val="NormalHanging12a"/>
      </w:pPr>
      <w:r w:rsidRPr="00BA183C">
        <w:t>-</w:t>
      </w:r>
      <w:r w:rsidRPr="00BA183C">
        <w:tab/>
        <w:t>having regard to the opinion of the European Economic and Social Committee of 22 January 2026 on the multiannual financial framework 2028-2034,</w:t>
      </w:r>
    </w:p>
    <w:p w:rsidR="002A6758" w:rsidRPr="00BA183C" w:rsidP="002A6758" w14:paraId="16BB4C39" w14:textId="77777777">
      <w:pPr>
        <w:pStyle w:val="NormalHanging12a"/>
      </w:pPr>
      <w:r w:rsidRPr="00BA183C">
        <w:t>-</w:t>
      </w:r>
      <w:r w:rsidRPr="00BA183C">
        <w:tab/>
        <w:t>having regard to the opinion of the European Economic and Social Committee of 22 January 2026 on the 2025 proposal for own resources,</w:t>
      </w:r>
    </w:p>
    <w:p w:rsidR="002A6758" w:rsidRPr="00BA183C" w:rsidP="002A6758" w14:paraId="2A67D52A" w14:textId="77777777">
      <w:pPr>
        <w:pStyle w:val="NormalHanging12a"/>
      </w:pPr>
      <w:r w:rsidRPr="00BA183C">
        <w:t>–</w:t>
      </w:r>
      <w:r w:rsidRPr="00BA183C">
        <w:tab/>
        <w:t>having regard to the resolution of the European Committee of the Regions of 15 October 2025 on the proposal for the multiannual financial framework 2028-2034,</w:t>
      </w:r>
    </w:p>
    <w:p w:rsidR="002A6758" w:rsidRPr="00BA183C" w:rsidP="002A6758" w14:paraId="6C697769" w14:textId="77777777">
      <w:pPr>
        <w:pStyle w:val="NormalHanging12a"/>
      </w:pPr>
      <w:r w:rsidRPr="00BA183C">
        <w:t>–</w:t>
      </w:r>
      <w:r w:rsidRPr="00BA183C">
        <w:tab/>
        <w:t>having regard to the opinion of the European Committee of the Regions of 4 March 2026 entitled ‘Multiannual Financial Framework (MFF) post 2027, including own resources package’,</w:t>
      </w:r>
    </w:p>
    <w:p w:rsidR="002A6758" w:rsidRPr="00BA183C" w:rsidP="002A6758" w14:paraId="2516D81B" w14:textId="77777777">
      <w:pPr>
        <w:pStyle w:val="NormalHanging12a"/>
      </w:pPr>
      <w:r w:rsidRPr="00BA183C">
        <w:t>–</w:t>
      </w:r>
      <w:r w:rsidRPr="00BA183C">
        <w:tab/>
        <w:t>having regard to the relevant reports of the European Court of Auditors related to the multiannual financial framework,</w:t>
      </w:r>
    </w:p>
    <w:p w:rsidR="002A6758" w:rsidRPr="00BA183C" w:rsidP="002A6758" w14:paraId="786D3914" w14:textId="77777777">
      <w:pPr>
        <w:pStyle w:val="NormalHanging12a"/>
      </w:pPr>
      <w:r w:rsidRPr="00BA183C">
        <w:t>–</w:t>
      </w:r>
      <w:r w:rsidRPr="00BA183C">
        <w:tab/>
        <w:t>having regard to the agreement adopted at the 15th Conference of the Parties to the Convention on Biological Diversity (COP 15) in Montreal on 19 December 2022 (Kunming-Montreal Global Biodiversity Framework),</w:t>
      </w:r>
    </w:p>
    <w:p w:rsidR="002A6758" w:rsidRPr="00BA183C" w:rsidP="002A6758" w14:paraId="1133BA17" w14:textId="77777777">
      <w:pPr>
        <w:pStyle w:val="NormalHanging12a"/>
      </w:pPr>
      <w:r w:rsidRPr="00BA183C">
        <w:t>–</w:t>
      </w:r>
      <w:r w:rsidRPr="00BA183C">
        <w:tab/>
        <w:t>having regard to the agreement adopted at the 21st Conference of the Parties to the UNFCCC (COP 21) in Paris on 12 December 2015 (the Paris Agreement),</w:t>
      </w:r>
    </w:p>
    <w:p w:rsidR="002A6758" w:rsidRPr="00BA183C" w:rsidP="002A6758" w14:paraId="0876C7B8" w14:textId="77777777">
      <w:pPr>
        <w:pStyle w:val="NormalHanging12a"/>
      </w:pPr>
      <w:r w:rsidRPr="00BA183C">
        <w:t>–</w:t>
      </w:r>
      <w:r w:rsidRPr="00BA183C">
        <w:tab/>
        <w:t>having regard to the United Nations Sustainable Development Goals,</w:t>
      </w:r>
    </w:p>
    <w:p w:rsidR="002A6758" w:rsidRPr="00BA183C" w:rsidP="002A6758" w14:paraId="4FD89CA2" w14:textId="77777777">
      <w:pPr>
        <w:pStyle w:val="NormalHanging12a"/>
      </w:pPr>
      <w:r w:rsidRPr="00BA183C">
        <w:t>–</w:t>
      </w:r>
      <w:r w:rsidRPr="00BA183C">
        <w:tab/>
        <w:t xml:space="preserve">having regards to the UN Convention on the Rights of Persons with Disabilities, </w:t>
      </w:r>
    </w:p>
    <w:p w:rsidR="002A6758" w:rsidRPr="00BA183C" w:rsidP="002A6758" w14:paraId="43FDD4EF" w14:textId="77777777">
      <w:pPr>
        <w:pStyle w:val="NormalHanging12a"/>
      </w:pPr>
      <w:r w:rsidRPr="00BA183C">
        <w:t>–</w:t>
      </w:r>
      <w:r w:rsidRPr="00BA183C">
        <w:tab/>
        <w:t>having regard to the meeting(s) between the Presidents under Article 324 TFEU,</w:t>
      </w:r>
    </w:p>
    <w:p w:rsidR="002A6758" w:rsidRPr="00BA183C" w:rsidP="002A6758" w14:paraId="7BDEA5BE" w14:textId="77777777">
      <w:pPr>
        <w:pStyle w:val="NormalHanging12a"/>
      </w:pPr>
      <w:r w:rsidRPr="00BA183C">
        <w:t>–</w:t>
      </w:r>
      <w:r w:rsidRPr="00BA183C">
        <w:tab/>
        <w:t>having regard to the letter from the President of the European Commission, Ursula von der Leyen, to the President of Cyprus, Nikos Christodoulides, as the holder of the rotating presidency of the Council, and the President of the European Parliament, Roberta Metsola, of 6 January 2026 on the common agricultural policy in the 2028-2034 multiannual financial framework,</w:t>
      </w:r>
    </w:p>
    <w:p w:rsidR="002A6758" w:rsidRPr="00BA183C" w:rsidP="002A6758" w14:paraId="278970D2" w14:textId="77777777">
      <w:pPr>
        <w:pStyle w:val="NormalHanging12a"/>
      </w:pPr>
      <w:r w:rsidRPr="00BA183C">
        <w:t>–</w:t>
      </w:r>
      <w:r w:rsidRPr="00BA183C">
        <w:tab/>
        <w:t>having regard to Rule 107(5) of its Rules of Procedure,</w:t>
      </w:r>
    </w:p>
    <w:p w:rsidR="002A6758" w:rsidRPr="00BA183C" w:rsidP="002A6758" w14:paraId="5EB9F96F" w14:textId="77777777">
      <w:pPr>
        <w:pStyle w:val="NormalHanging12a"/>
      </w:pPr>
      <w:r w:rsidRPr="00BA183C">
        <w:t>–</w:t>
      </w:r>
      <w:r w:rsidRPr="00BA183C">
        <w:tab/>
        <w:t>having regard to the interim report of the Committee on Budgets (A10-0105/2026),</w:t>
      </w:r>
    </w:p>
    <w:p w:rsidR="002A6758" w:rsidRPr="00BA183C" w:rsidP="002A6758" w14:paraId="4D299A77" w14:textId="77777777">
      <w:pPr>
        <w:pStyle w:val="NormalHanging12a"/>
      </w:pPr>
      <w:r w:rsidRPr="00BA183C">
        <w:t>A.</w:t>
      </w:r>
      <w:r w:rsidRPr="00BA183C">
        <w:tab/>
        <w:t>whereas, pursuant to Article 311 TFEU, the Union must provide itself with the necessary means to attain its objectives and carry through its policies;</w:t>
      </w:r>
    </w:p>
    <w:p w:rsidR="002A6758" w:rsidRPr="00BA183C" w:rsidP="002A6758" w14:paraId="5017B6B9" w14:textId="77777777">
      <w:pPr>
        <w:pStyle w:val="NormalHanging12a"/>
      </w:pPr>
      <w:r w:rsidRPr="00BA183C">
        <w:t>B.</w:t>
      </w:r>
      <w:r w:rsidRPr="00BA183C">
        <w:tab/>
        <w:t>whereas the current MFF quickly proved its inadequacy in responding to a series of crises, inflation and new political challenges that were not and could not have been anticipated at the time of its adoption; whereas, for the purpose of securing the necessary funding, the MFF was pushed to its limits including an unprecedented recourse to the flexibility provisions and special instruments, after exhausting the available margins as well as several amendments to the MFF; whereas these tools are not meant to be used as substitutes for sound long-term budgetary planning; whereas this led to programmes such as cohesion policy being repeatedly used to respond to emergencies, thereby making it difficult to achieve their initial long-term objectives;</w:t>
      </w:r>
    </w:p>
    <w:p w:rsidR="002A6758" w:rsidRPr="00BA183C" w:rsidP="002A6758" w14:paraId="38C9BBD6" w14:textId="77777777">
      <w:pPr>
        <w:pStyle w:val="NormalHanging12a"/>
      </w:pPr>
      <w:r w:rsidRPr="00BA183C">
        <w:t>C.</w:t>
      </w:r>
      <w:r w:rsidRPr="00BA183C">
        <w:tab/>
        <w:t>whereas the MFF mid-term revision agreed in 2024 proved to be imperative to address emerging priorities and challenges, and whereas the lack of resources continues to undermine the current MFF to this day;</w:t>
      </w:r>
    </w:p>
    <w:p w:rsidR="002A6758" w:rsidRPr="00BA183C" w:rsidP="002A6758" w14:paraId="2E37D869" w14:textId="77777777">
      <w:pPr>
        <w:pStyle w:val="NormalHanging12a"/>
      </w:pPr>
      <w:r w:rsidRPr="00BA183C">
        <w:t>D.</w:t>
      </w:r>
      <w:r w:rsidRPr="00BA183C">
        <w:tab/>
        <w:t>whereas the establishment of the new MFF will be a critical moment for the Union, as it will provide for the possibility to endorse a common vision and decide on the future political priorities as well as the ability of the Union to deliver them; whereas the funding of new priorities and traditional priorities should be balanced in order to safeguard the common policies of the Union that underlie its political project; whereas the next MFF should respect the principle of subsidiarity;</w:t>
      </w:r>
    </w:p>
    <w:p w:rsidR="002A6758" w:rsidRPr="00BA183C" w:rsidP="002A6758" w14:paraId="2F75FB8D" w14:textId="77777777">
      <w:pPr>
        <w:pStyle w:val="NormalHanging12a"/>
      </w:pPr>
      <w:r w:rsidRPr="00BA183C">
        <w:t>E.</w:t>
      </w:r>
      <w:r w:rsidRPr="00BA183C">
        <w:tab/>
        <w:t>whereas the global environment is marked by geopolitical tensions, economic volatility, energy security risks, climate-related disasters and evolving security threats, including the return of high intensity warfare in the EU’s neighbourhood, underscoring the need for an EU budget capable of adapting to both internal and external shocks, notably through investment in industry, the twin transition, connectivity and infrastructure, as well as civil preparedness and protection and investment in social policies;</w:t>
      </w:r>
    </w:p>
    <w:p w:rsidR="002A6758" w:rsidRPr="00BA183C" w:rsidP="002A6758" w14:paraId="5C402E08" w14:textId="77777777">
      <w:pPr>
        <w:pStyle w:val="NormalHanging12a"/>
      </w:pPr>
      <w:r w:rsidRPr="00BA183C">
        <w:t>F.</w:t>
      </w:r>
      <w:r w:rsidRPr="00BA183C">
        <w:tab/>
        <w:t>whereas the next MFF must guarantee that the EU budget continues to be an investment tool and remains central in responding to our people’s needs and supporting European companies, particularly small and medium-sized enterprises (SMEs);</w:t>
      </w:r>
    </w:p>
    <w:p w:rsidR="002A6758" w:rsidRPr="00BA183C" w:rsidP="002A6758" w14:paraId="2532D2A2" w14:textId="77777777">
      <w:pPr>
        <w:pStyle w:val="NormalHanging12a"/>
      </w:pPr>
      <w:r w:rsidRPr="00BA183C">
        <w:t>G.</w:t>
      </w:r>
      <w:r w:rsidRPr="00BA183C">
        <w:tab/>
        <w:t xml:space="preserve">whereas the EU’s long-standing policies covered under the national and regional partnership plans (NRPP) proposal are core policies of the European project and contribute to the resilience, cohesion, convergence and autonomy of the European Union while being central to its security and sovereignty in the current international context as well as to its economic, social and territorial stability and to its sustainability objectives; </w:t>
      </w:r>
    </w:p>
    <w:p w:rsidR="002A6758" w:rsidRPr="00BA183C" w:rsidP="002A6758" w14:paraId="29C74FA5" w14:textId="77777777">
      <w:pPr>
        <w:pStyle w:val="NormalHanging12a"/>
      </w:pPr>
      <w:r w:rsidRPr="00BA183C">
        <w:t>H.</w:t>
      </w:r>
      <w:r w:rsidRPr="00BA183C">
        <w:tab/>
        <w:t>whereas the Union faces a growing competitiveness gap in a changing geopolitical and economic reality, which undermines its long-term productivity, strategic autonomy, resilience and capacity to act; whereas the Union must significantly strengthen its investment capacity to compete globally;</w:t>
      </w:r>
    </w:p>
    <w:p w:rsidR="002A6758" w:rsidRPr="00BA183C" w:rsidP="002A6758" w14:paraId="5E4728A8" w14:textId="77777777">
      <w:pPr>
        <w:pStyle w:val="NormalHanging12a"/>
      </w:pPr>
      <w:r w:rsidRPr="00BA183C">
        <w:t xml:space="preserve">I. </w:t>
      </w:r>
      <w:r w:rsidRPr="00BA183C">
        <w:tab/>
        <w:t xml:space="preserve">whereas new technological realities should be adequately supported in the next MFF; </w:t>
      </w:r>
    </w:p>
    <w:p w:rsidR="002A6758" w:rsidRPr="00BA183C" w:rsidP="002A6758" w14:paraId="6AEFAC51" w14:textId="77777777">
      <w:pPr>
        <w:pStyle w:val="NormalHanging12a"/>
      </w:pPr>
      <w:r w:rsidRPr="00BA183C">
        <w:t>J.</w:t>
      </w:r>
      <w:r w:rsidRPr="00BA183C">
        <w:tab/>
        <w:t xml:space="preserve">whereas </w:t>
      </w:r>
      <w:r w:rsidRPr="00BA183C">
        <w:t>in light of</w:t>
      </w:r>
      <w:r w:rsidRPr="00BA183C">
        <w:t xml:space="preserve"> the drastic cuts to the USAID budget, the EU budget must uphold the Union’s role as the world’s leading provider of development aid and climate finance in line with the Union’s global obligations and commitments;</w:t>
      </w:r>
    </w:p>
    <w:p w:rsidR="002A6758" w:rsidRPr="00BA183C" w:rsidP="002A6758" w14:paraId="07B27FDD" w14:textId="77777777">
      <w:pPr>
        <w:pStyle w:val="NormalHanging12a"/>
      </w:pPr>
      <w:r w:rsidRPr="00BA183C">
        <w:t>K.</w:t>
      </w:r>
      <w:r w:rsidRPr="00BA183C">
        <w:tab/>
        <w:t>whereas the Union is founded on the values of respect for human dignity, freedom, democracy, equality, the rule of law and respect for human rights, including the rights of persons belonging to minorities; whereas breaches of those values undermine the cohesion of the Union, erode the rights of EU citizens and weaken mutual trust among Member States;</w:t>
      </w:r>
    </w:p>
    <w:p w:rsidR="002A6758" w:rsidRPr="00BA183C" w:rsidP="002A6758" w14:paraId="65DFEC11" w14:textId="77777777">
      <w:pPr>
        <w:pStyle w:val="NormalHanging12a"/>
      </w:pPr>
      <w:r w:rsidRPr="00BA183C">
        <w:t>L.</w:t>
      </w:r>
      <w:r w:rsidRPr="00BA183C">
        <w:tab/>
        <w:t>whereas Article 8 TFEU establishes the principle of gender mainstreaming;</w:t>
      </w:r>
    </w:p>
    <w:p w:rsidR="002A6758" w:rsidRPr="00BA183C" w:rsidP="002A6758" w14:paraId="5A703D83" w14:textId="77777777">
      <w:pPr>
        <w:pStyle w:val="NormalHanging12a"/>
      </w:pPr>
      <w:r w:rsidRPr="00BA183C">
        <w:t>M.</w:t>
      </w:r>
      <w:r w:rsidRPr="00BA183C">
        <w:tab/>
        <w:t>whereas the Commission estimates the additional investment needed to achieve climate neutrality by 2050 at 1.5 % of gross domestic product per year compared to the decade 2011-2020 and the EU budget cannot cover this gap alone; whereas the climate change, biodiversity loss and pollution crisis creates severe health and economic costs; whereas it is essential for the EU to invest in programmes with climate and environment objectives;</w:t>
      </w:r>
    </w:p>
    <w:p w:rsidR="002A6758" w:rsidRPr="00BA183C" w:rsidP="002A6758" w14:paraId="1EF4B5AA" w14:textId="77777777">
      <w:pPr>
        <w:pStyle w:val="NormalHanging12a"/>
      </w:pPr>
      <w:r w:rsidRPr="00BA183C">
        <w:t>N.</w:t>
      </w:r>
      <w:r w:rsidRPr="00BA183C">
        <w:tab/>
        <w:t>whereas, pursuant to Article 191 TFEU, the EU policy on the environment must be based on the precautionary principle;</w:t>
      </w:r>
    </w:p>
    <w:p w:rsidR="002A6758" w:rsidRPr="00BA183C" w:rsidP="002A6758" w14:paraId="2CEA03E4" w14:textId="77777777">
      <w:pPr>
        <w:pStyle w:val="NormalHanging12a"/>
      </w:pPr>
      <w:r w:rsidRPr="00BA183C">
        <w:t>O.</w:t>
      </w:r>
      <w:r w:rsidRPr="00BA183C">
        <w:tab/>
        <w:t>whereas pursuant to Article 349 TFEU, the Union must support the outermost regions; whereas the programme of options specifically relating to remoteness and insularity (POSEI) has proved to be important in this regard;</w:t>
      </w:r>
    </w:p>
    <w:p w:rsidR="002A6758" w:rsidRPr="00BA183C" w:rsidP="002A6758" w14:paraId="28A40018" w14:textId="77777777">
      <w:pPr>
        <w:pStyle w:val="NormalHanging12a"/>
      </w:pPr>
      <w:r w:rsidRPr="00BA183C">
        <w:t>P.</w:t>
      </w:r>
      <w:r w:rsidRPr="00BA183C">
        <w:tab/>
        <w:t>whereas it remains the right of Member States to determine their energy mix;</w:t>
      </w:r>
    </w:p>
    <w:p w:rsidR="002A6758" w:rsidRPr="00BA183C" w:rsidP="002A6758" w14:paraId="36A47063" w14:textId="77777777">
      <w:pPr>
        <w:pStyle w:val="NormalHanging12a"/>
      </w:pPr>
      <w:r w:rsidRPr="00BA183C">
        <w:t>Q.</w:t>
      </w:r>
      <w:r w:rsidRPr="00BA183C">
        <w:tab/>
        <w:t xml:space="preserve">whereas the Pact for the Mediterranean is a comprehensive EU framework intended to strengthen structured and lasting partnerships with the Southern Mediterranean partners; </w:t>
      </w:r>
    </w:p>
    <w:p w:rsidR="002A6758" w:rsidRPr="00BA183C" w:rsidP="002A6758" w14:paraId="5D784D5F" w14:textId="77777777">
      <w:pPr>
        <w:pStyle w:val="NormalHanging12a"/>
      </w:pPr>
      <w:r w:rsidRPr="00BA183C">
        <w:t>R.</w:t>
      </w:r>
      <w:r w:rsidRPr="00BA183C">
        <w:tab/>
        <w:t xml:space="preserve">whereas, pursuant to Protocol No 10 on Cyprus, the application of the EU </w:t>
      </w:r>
      <w:r w:rsidRPr="00BA183C">
        <w:rPr>
          <w:i/>
          <w:iCs/>
        </w:rPr>
        <w:t>acquis</w:t>
      </w:r>
      <w:r w:rsidRPr="00BA183C">
        <w:t xml:space="preserve"> is suspended in those areas of the Republic of Cyprus in which the Government of the Republic of Cyprus does not exercise effective control; whereas this exceptional situation has, for decades, prevented lawful land owners from accessing, using, and enjoying their properties; whereas the right to property is protected under Article 17 of the Charter of Fundamental Rights of the European Union;</w:t>
      </w:r>
    </w:p>
    <w:p w:rsidR="002A6758" w:rsidRPr="00BA183C" w:rsidP="002A6758" w14:paraId="6B3D1352" w14:textId="77777777">
      <w:pPr>
        <w:pStyle w:val="NormalHanging12a"/>
      </w:pPr>
      <w:r w:rsidRPr="00BA183C">
        <w:t>S.</w:t>
      </w:r>
      <w:r w:rsidRPr="00BA183C">
        <w:tab/>
        <w:t xml:space="preserve">whereas payments linked to NextGenerationEU (NGEU) had a significant impact on the annual budgetary procedure under the current MFF </w:t>
      </w:r>
      <w:r w:rsidRPr="00BA183C">
        <w:t>due to the fact that</w:t>
      </w:r>
      <w:r w:rsidRPr="00BA183C">
        <w:t xml:space="preserve"> borrowing costs were not intended to be covered over and above the ceilings as Parliament had proposed; whereas NGEU repayment will affect the next MFF, with both interest and principal repayment to cater for;</w:t>
      </w:r>
    </w:p>
    <w:p w:rsidR="002A6758" w:rsidRPr="00BA183C" w:rsidP="002A6758" w14:paraId="211B1A84" w14:textId="77777777">
      <w:pPr>
        <w:pStyle w:val="NormalHanging12a"/>
      </w:pPr>
      <w:r w:rsidRPr="00BA183C">
        <w:t>T.</w:t>
      </w:r>
      <w:r w:rsidRPr="00BA183C">
        <w:tab/>
        <w:t>whereas on 16 July 2025, the Commission presented a set of proposals on the 2028-2034 MFF Regulation and the EU Own Resources Decision, followed by legislative proposals for the setting up of new EU programmes, funds and instruments;</w:t>
      </w:r>
    </w:p>
    <w:p w:rsidR="002A6758" w:rsidRPr="00BA183C" w:rsidP="002A6758" w14:paraId="305A52FA" w14:textId="77777777">
      <w:pPr>
        <w:pStyle w:val="NormalHanging12a"/>
      </w:pPr>
      <w:r w:rsidRPr="00BA183C">
        <w:t>1.</w:t>
      </w:r>
      <w:r w:rsidRPr="00BA183C">
        <w:tab/>
        <w:t>Underlines that the next MFF must equip the Union with the necessary financial means to respond to a rapidly evolving geopolitical, economic and social environment, while delivering on both long-standing policies and emerging priorities; insists that the EU budget must remain an investment budget capable of supporting citizens, regions and businesses, in particular SMEs, while strengthening the Union’s resilience, competitiveness and social cohesion;</w:t>
      </w:r>
    </w:p>
    <w:p w:rsidR="002A6758" w:rsidRPr="00BA183C" w:rsidP="002A6758" w14:paraId="142E0DA0" w14:textId="3EEF714F">
      <w:pPr>
        <w:pStyle w:val="NormalHanging12a"/>
      </w:pPr>
      <w:r w:rsidRPr="00BA183C">
        <w:t>2.</w:t>
      </w:r>
      <w:r w:rsidRPr="00BA183C">
        <w:tab/>
        <w:t>Calls for the 2028-2034 MFF to be set at 1</w:t>
      </w:r>
      <w:r w:rsidR="00052D10">
        <w:t>,</w:t>
      </w:r>
      <w:r w:rsidRPr="00BA183C">
        <w:t>27 % of EU gross national income (GNI), while the NGEU debt servicing – equivalent to an additional 0</w:t>
      </w:r>
      <w:r w:rsidR="00052D10">
        <w:t>,</w:t>
      </w:r>
      <w:r w:rsidRPr="00BA183C">
        <w:t>11 % of EU GNI – should be excluded from the 1</w:t>
      </w:r>
      <w:r w:rsidR="00052D10">
        <w:t>,</w:t>
      </w:r>
      <w:r w:rsidRPr="00BA183C">
        <w:t xml:space="preserve">27 % and accounted for over and above the ceilings; reiterates that the next MFF must be more ambitious in size, as the current level of financing does not match the Union’s political ambitions, and must be protected from inflationary shocks; stresses that this level constitutes the minimum necessary to enable the Union to deliver on its Treaty commitments, respond to citizens’ expectations, and address major challenges, including the return of large-scale warfare in the EU’s neighbourhood, evolving security threats, a highly challenging economic and social backdrop, a competitiveness gap and the worsening climate and biodiversity crises; </w:t>
      </w:r>
    </w:p>
    <w:p w:rsidR="002A6758" w:rsidRPr="00BA183C" w:rsidP="002A6758" w14:paraId="45CD6D92" w14:textId="77777777">
      <w:pPr>
        <w:pStyle w:val="NormalHanging12a"/>
      </w:pPr>
      <w:r w:rsidRPr="00BA183C">
        <w:t>3.</w:t>
      </w:r>
      <w:r w:rsidRPr="00BA183C">
        <w:tab/>
        <w:t xml:space="preserve">Strongly opposes any approach leading to the fragmentation of the single market or re-nationalisation of the EU budget and firmly rejects any move towards an ‘à la carte’ Union; considers that the Commission’s approach of ‘one plan per Member State’ undermines the EU policies enshrined in the Treaties, creates unnecessary competition between beneficiaries, jeopardises the European dimension of spending, weakens multilevel governance, challenges the principles of subsidiarity and proportionality, and reduces transparency; </w:t>
      </w:r>
    </w:p>
    <w:p w:rsidR="002A6758" w:rsidRPr="00BA183C" w:rsidP="002A6758" w14:paraId="74F14796" w14:textId="77777777">
      <w:pPr>
        <w:pStyle w:val="NormalHanging12a"/>
      </w:pPr>
      <w:r w:rsidRPr="00BA183C">
        <w:t>4.</w:t>
      </w:r>
      <w:r w:rsidRPr="00BA183C">
        <w:tab/>
        <w:t xml:space="preserve">Calls for an increased envelope for heading 1 to at least maintain funding at the level of the current MFF; calls, therefore, for strong, distinct and adequate funding for the common agricultural policy (CAP), the common fisheries policy, the cohesion policy, the European Social Fund and home affairs; insists, in this context, on fully allocating the non-ringfenced amounts under the NRPPs to these policies, thereby ensuring greater predictability for final beneficiaries; reiterates the need to maintain a horizontal </w:t>
      </w:r>
      <w:r w:rsidRPr="00BA183C">
        <w:t xml:space="preserve">implementation framework and rules for these policies, including rule of law conditionality, in order to ensure coherence and avoid fragmentation; calls for the establishment of regional chapters in accordance with Member States’ institutional frameworks, and for the full involvement of regional and local authorities in the design, implementation, monitoring and evaluation of programmes under heading 1, based on the principles of shared management, multilevel governance and partnership; </w:t>
      </w:r>
    </w:p>
    <w:p w:rsidR="002A6758" w:rsidRPr="00BA183C" w:rsidP="002A6758" w14:paraId="6754459E" w14:textId="77777777">
      <w:pPr>
        <w:pStyle w:val="NormalHanging12a"/>
      </w:pPr>
      <w:r w:rsidRPr="00BA183C">
        <w:t>5.</w:t>
      </w:r>
      <w:r w:rsidRPr="00BA183C">
        <w:tab/>
        <w:t>Welcomes the significant reinforcement of the policies included in heading 2, in line with Parliament’s long-standing calls, which represents a doubling compared to the current period and which will better equip the Union to respond to future challenges in an increasingly unpredictable global environment; recognises the need to reinforce the Union’s capacity to act in key strategic areas, including competitiveness, defence and security, research and innovation, the twin transition, infrastructure, health and crisis preparedness, education and culture;</w:t>
      </w:r>
    </w:p>
    <w:p w:rsidR="002A6758" w:rsidRPr="00BA183C" w:rsidP="002A6758" w14:paraId="26FFAF9E" w14:textId="77777777">
      <w:pPr>
        <w:pStyle w:val="NormalHanging12a"/>
      </w:pPr>
      <w:r w:rsidRPr="00BA183C">
        <w:t xml:space="preserve">6. </w:t>
      </w:r>
      <w:r w:rsidRPr="00BA183C">
        <w:tab/>
        <w:t xml:space="preserve">Calls, therefore, for an adequate reinforcement of priority programmes under heading 2, including the European Competitiveness Fund (ECF), Horizon Europe, the Connecting Europe Facility (CEF), Erasmus+, AgoraEU, EU Civil Protection Mechanism (UCPM+), with earmarking for EU4Health and LIFE-related actions under the ECF; </w:t>
      </w:r>
    </w:p>
    <w:p w:rsidR="002A6758" w:rsidRPr="00BA183C" w:rsidP="002A6758" w14:paraId="3A01057C" w14:textId="77777777">
      <w:pPr>
        <w:pStyle w:val="NormalHanging12a"/>
      </w:pPr>
      <w:r w:rsidRPr="00BA183C">
        <w:t>7.</w:t>
      </w:r>
      <w:r w:rsidRPr="00BA183C">
        <w:tab/>
        <w:t xml:space="preserve">Welcomes the increase in resources for heading 3 as a signal of the Union’s commitment to strengthening its role as a global actor; considers, however, that the proposed level remains insufficient given the scale of global challenges; </w:t>
      </w:r>
    </w:p>
    <w:p w:rsidR="002A6758" w:rsidRPr="00BA183C" w:rsidP="002A6758" w14:paraId="543C2BA8" w14:textId="77777777">
      <w:pPr>
        <w:pStyle w:val="NormalHanging12a"/>
      </w:pPr>
      <w:r w:rsidRPr="00BA183C">
        <w:t>8.</w:t>
      </w:r>
      <w:r w:rsidRPr="00BA183C">
        <w:tab/>
        <w:t>Calls, therefore, for an adequate reinforcement of heading 3 that allows the EU to support future enlargement, address rising needs related to development, humanitarian crises and peace-building, provide support to Ukraine and other partners, and uphold Union values, human rights and democracy worldwide while strengthening multilateralism; insists that humanitarian aid must continue to be ring-fenced, delivered through a coherent framework with an adequately resourced annual baseline; calls for a reinforcement of the envelope for overseas countries and territories, taking into consideration the recent threats to the territorial integrity of Greenland and the broader geopolitical context;</w:t>
      </w:r>
    </w:p>
    <w:p w:rsidR="002A6758" w:rsidRPr="00BA183C" w:rsidP="002A6758" w14:paraId="23639C0F" w14:textId="77777777">
      <w:pPr>
        <w:pStyle w:val="NormalHanging12a"/>
      </w:pPr>
      <w:r w:rsidRPr="00BA183C">
        <w:t>9.</w:t>
      </w:r>
      <w:r w:rsidRPr="00BA183C">
        <w:tab/>
        <w:t>Underscores that the next MFF must focus on financing European public goods with discernible added value compared to national spending, such as cross-border projects; recalls that European citizens and businesses are demanding EU action; calls for targeted, strategic investment of EU funds to meet their needs in priority areas such as housing, energy and security;</w:t>
      </w:r>
    </w:p>
    <w:p w:rsidR="002A6758" w:rsidRPr="00BA183C" w:rsidP="002A6758" w14:paraId="3F669EA0" w14:textId="77777777">
      <w:pPr>
        <w:pStyle w:val="NormalHanging12a"/>
      </w:pPr>
      <w:r w:rsidRPr="00BA183C">
        <w:t>10.</w:t>
      </w:r>
      <w:r w:rsidRPr="00BA183C">
        <w:tab/>
        <w:t>Welcomes the Commission’s proposal for an enhanced Flexibility Instrument and calls for it to be supplemented by additional sources including unspent margins and reflows from financial instruments, without prejudice to sector-specific rules; calls for a dedicated solidarity reserve for natural disasters to be mobilised over and above the MFF ceilings as a last resort to finance the Union’s response to specific needs within the EU following damage caused by natural disasters;</w:t>
      </w:r>
    </w:p>
    <w:p w:rsidR="002A6758" w:rsidRPr="00BA183C" w:rsidP="002A6758" w14:paraId="5EE03C49" w14:textId="77777777">
      <w:pPr>
        <w:pStyle w:val="NormalHanging12a"/>
      </w:pPr>
      <w:r w:rsidRPr="00BA183C">
        <w:t>11.</w:t>
      </w:r>
      <w:r w:rsidRPr="00BA183C">
        <w:tab/>
        <w:t xml:space="preserve">Expresses serious concern that the Commission’s proposals shift key policy and budgetary decisions to Commission work programmes adopted without co-legislative involvement; insists that all substantive policy choices must be determined in the relevant basic acts, in full respect of Parliament’s prerogatives as co-legislator and budgetary authority; stresses that simplification must not come at the expense of </w:t>
      </w:r>
      <w:r w:rsidRPr="00BA183C">
        <w:t xml:space="preserve">transparency, democratic accountability or Parliament’s oversight role; is extremely concerned about the widespread use of financing not linked to costs for a substantial portion of programmes under the next MFF and warns that without adequate safeguards this approach entails substantial risks and weakens auditability; </w:t>
      </w:r>
    </w:p>
    <w:p w:rsidR="002A6758" w:rsidRPr="00BA183C" w:rsidP="002A6758" w14:paraId="5B75A664" w14:textId="77777777">
      <w:pPr>
        <w:pStyle w:val="NormalHanging12a"/>
      </w:pPr>
      <w:r w:rsidRPr="00BA183C">
        <w:t>12.</w:t>
      </w:r>
      <w:r w:rsidRPr="00BA183C">
        <w:tab/>
        <w:t xml:space="preserve">Underlines that compliance with Union values and the rule of law is an essential prerequisite for access to EU funds; insists on the importance of a seamless and coherent EU values toolbox covering democracy, the rule of law and fundamental rights across the entire EU budget; insists on a robust approach to ensure that legitimate final recipients are not penalised for rule of law breaches by their governments; </w:t>
      </w:r>
    </w:p>
    <w:p w:rsidR="002A6758" w:rsidRPr="00BA183C" w:rsidP="002A6758" w14:paraId="4B7D3D6B" w14:textId="77777777">
      <w:pPr>
        <w:pStyle w:val="NormalHanging12a"/>
      </w:pPr>
      <w:r w:rsidRPr="00BA183C">
        <w:t>13.</w:t>
      </w:r>
      <w:r w:rsidRPr="00BA183C">
        <w:tab/>
        <w:t>Strongly reiterates the crucial need for sustainable, predictable and resilient revenue for the EU budget pursuant to Article 310 TFEU that should match the expenditure side and the strategic priorities and identified financing needs of the EU; reaffirms Parliament’s strong commitment to the introduction of new own resources, not only for NGEU debt repayment but also to finance the Union’s enhanced policy ambitions; welcomes the Commission’s efforts to identify new own resources and to put forward certain calibrations to traditional own resources; supports the broader ‘basket approach’ proposed by the Commission and calls on the Council to unblock the stalemate observed since 2020 on a basket of new genuine own resources to reach a level of revenue of at least EUR 60 billion per year; underlines the importance of the Commission’s proposal for a novel type of crisis mechanism which could offer the Union the ability to respond swiftly to unexpected developments; underlines that Parliament will only approve a long-term budget, including the revenue side, that is fit for purpose for the Union in a changing world;</w:t>
      </w:r>
    </w:p>
    <w:p w:rsidR="002A6758" w:rsidRPr="00BA183C" w:rsidP="002A6758" w14:paraId="1EAA0BB6" w14:textId="77777777">
      <w:pPr>
        <w:pStyle w:val="NormalHanging12a"/>
      </w:pPr>
      <w:r w:rsidRPr="00BA183C">
        <w:t>14.</w:t>
      </w:r>
      <w:r w:rsidRPr="00BA183C">
        <w:tab/>
        <w:t>Considers that the positions set out in this interim report constitute Parliament’s mandate for the MFF negotiations and are to be taken into account by the Council in accordance with Article 312(5) TFEU in order to obtain Parliament’s consent; stands ready to work constructively and engage in meaningful negotiations with the Council to deliver a long-term budget that addresses the Union’s needs; calls for a swift agreement to be reached between the institutions by the end of 2026 to allow for a timely adoption of the MFF and to enable the implementation of spending programmes from 1 January 2028;</w:t>
      </w:r>
    </w:p>
    <w:p w:rsidR="002A6758" w:rsidRPr="00BA183C" w:rsidP="002A6758" w14:paraId="7C9016C9" w14:textId="77777777">
      <w:pPr>
        <w:pStyle w:val="NormalHanging12a"/>
        <w:rPr>
          <w:b/>
          <w:i/>
          <w:iCs/>
        </w:rPr>
      </w:pPr>
      <w:r w:rsidRPr="00BA183C">
        <w:rPr>
          <w:b/>
          <w:i/>
          <w:iCs/>
        </w:rPr>
        <w:t>MFF related matters</w:t>
      </w:r>
    </w:p>
    <w:p w:rsidR="002A6758" w:rsidRPr="00BA183C" w:rsidP="002A6758" w14:paraId="3EC71CC6" w14:textId="77777777">
      <w:pPr>
        <w:pStyle w:val="NormalHanging12a"/>
        <w:widowControl w:val="0"/>
      </w:pPr>
      <w:bookmarkStart w:id="7" w:name="_Hlk213948705"/>
      <w:r w:rsidRPr="00BA183C">
        <w:t>15.</w:t>
      </w:r>
      <w:r w:rsidRPr="00BA183C">
        <w:tab/>
        <w:t>Demands that the European Parliament be involved in all the stages of the MFF process, as required by the Treaties in Article 312(5) TFEU; considers that the Council must take due account of Parliament’s position set out here to secure Parliament’s consent in accordance with Article 312 TFEU;</w:t>
      </w:r>
    </w:p>
    <w:bookmarkEnd w:id="7"/>
    <w:p w:rsidR="002A6758" w:rsidRPr="00BA183C" w:rsidP="002A6758" w14:paraId="77A7A63A" w14:textId="77777777">
      <w:pPr>
        <w:pStyle w:val="NormalHanging12a"/>
        <w:widowControl w:val="0"/>
        <w:ind w:left="0" w:firstLine="0"/>
        <w:jc w:val="both"/>
        <w:rPr>
          <w:i/>
          <w:iCs/>
        </w:rPr>
      </w:pPr>
      <w:r w:rsidRPr="00BA183C">
        <w:rPr>
          <w:i/>
          <w:iCs/>
        </w:rPr>
        <w:t>Overall size</w:t>
      </w:r>
    </w:p>
    <w:p w:rsidR="002A6758" w:rsidRPr="00BA183C" w:rsidP="002A6758" w14:paraId="75A0F827" w14:textId="436A9BE7">
      <w:pPr>
        <w:pStyle w:val="NormalHanging12a"/>
      </w:pPr>
      <w:r w:rsidRPr="00BA183C">
        <w:t>16.</w:t>
      </w:r>
      <w:r w:rsidRPr="00BA183C">
        <w:tab/>
        <w:t>Recalls its position that, ‘in a fast changing world where people rightly expect more from the Union and where the Union is confronted with a growing number of crises and global challenges, the next MFF must be endowed with increased resources compared to the 2021-2027 period, moving away from the historically restrictive, self-imposed level of 1 % of EU GNI’; regrets that the Commission, instead of presenting a genuinely ambitious proposal, hides behind a headline figure of EUR 2 trillion in current prices, which in reality amounts to only EUR 1</w:t>
      </w:r>
      <w:r w:rsidR="00052D10">
        <w:t>,</w:t>
      </w:r>
      <w:r w:rsidRPr="00BA183C">
        <w:t>763 trillion in 2025 constant prices, equal to 1</w:t>
      </w:r>
      <w:r w:rsidR="00052D10">
        <w:t>,</w:t>
      </w:r>
      <w:r w:rsidRPr="00BA183C">
        <w:t>26 % of EU GNI, with 0</w:t>
      </w:r>
      <w:r w:rsidR="00052D10">
        <w:t>,</w:t>
      </w:r>
      <w:r w:rsidRPr="00BA183C">
        <w:t xml:space="preserve">11 % being allocated to NGEU repayments; deplores that </w:t>
      </w:r>
      <w:r w:rsidRPr="00BA183C">
        <w:t>this results in a token increase for EU programmes of less than 0</w:t>
      </w:r>
      <w:r w:rsidR="00052D10">
        <w:t>,</w:t>
      </w:r>
      <w:r w:rsidRPr="00BA183C">
        <w:t>01 percentage points of EU GNI, effectively freezing the budget in real terms; highlights that the phasing-out of the Recovery and Resilience Facility (RRF) will further substantially reduce the Union’s overall spending power; considers that this proposed level will neither enable the Union to deliver on its commitments enshrined in the Treaties nor respond to the significant geopolitical challenges ahead, including the climate and biodiversity crisis which is best dealt with at Union level, as well as the cost of living crisis;</w:t>
      </w:r>
    </w:p>
    <w:p w:rsidR="002A6758" w:rsidRPr="00BA183C" w:rsidP="002A6758" w14:paraId="3B5CDE63" w14:textId="4E407D24">
      <w:pPr>
        <w:pStyle w:val="NormalHanging12a"/>
      </w:pPr>
      <w:r w:rsidRPr="00BA183C">
        <w:t>17.</w:t>
      </w:r>
      <w:r w:rsidRPr="00BA183C">
        <w:tab/>
        <w:t>Calls for the 2028-2034 MFF to be set at 1</w:t>
      </w:r>
      <w:r w:rsidR="00052D10">
        <w:t>,</w:t>
      </w:r>
      <w:r w:rsidRPr="00BA183C">
        <w:t>27 % of EU GNI, excluding NGEU repayments; considers that NGEU debt servicing should be treated separately from appropriations for EU programmes within the future MFF architecture bringing the total amount to 1</w:t>
      </w:r>
      <w:r w:rsidR="00052D10">
        <w:t>,</w:t>
      </w:r>
      <w:r w:rsidRPr="00BA183C">
        <w:t>38 % of EU GNI; stresses that this level is the absolute minimum to enable the Union to deliver on its commitments, respond to geopolitical challenges and achieve its strategic objectives;</w:t>
      </w:r>
    </w:p>
    <w:p w:rsidR="002A6758" w:rsidRPr="00BA183C" w:rsidP="002A6758" w14:paraId="74CC5D4B" w14:textId="77777777">
      <w:pPr>
        <w:pStyle w:val="NormalHanging12a"/>
      </w:pPr>
      <w:r w:rsidRPr="00BA183C">
        <w:t>18.</w:t>
      </w:r>
      <w:r w:rsidRPr="00BA183C">
        <w:tab/>
        <w:t>Regrets that the NGEU repayment as presented by the Commission integrates annual instalments under the MFF ceilings from 2028 onwards; stresses that the repayment plan must ensure that NGEU debt servicing does not crowd out essential EU spending or compromise the Union’s ability to address future crises; therefore, recalls its long-standing position that appropriations linked to the repayment of NGEU should be accounted for over and above the ceilings;</w:t>
      </w:r>
    </w:p>
    <w:p w:rsidR="002A6758" w:rsidRPr="00BA183C" w:rsidP="002A6758" w14:paraId="5F240493" w14:textId="77777777">
      <w:pPr>
        <w:pStyle w:val="NormalHanging12a"/>
      </w:pPr>
      <w:r w:rsidRPr="00BA183C">
        <w:t>19.</w:t>
      </w:r>
      <w:r w:rsidRPr="00BA183C">
        <w:tab/>
        <w:t>Strongly supports the proposed technical adjustment method that accounts for actual inflation, which is essential to safeguard the EU budget’s purchasing power in periods of inflationary shocks; welcomes this mechanism, which is critical to protect EU programmes so that citizens do not suffer from inflation;</w:t>
      </w:r>
    </w:p>
    <w:p w:rsidR="002A6758" w:rsidRPr="00BA183C" w:rsidP="002A6758" w14:paraId="03D05ED6" w14:textId="77777777">
      <w:pPr>
        <w:pStyle w:val="NormalHanging12a"/>
        <w:widowControl w:val="0"/>
      </w:pPr>
      <w:r w:rsidRPr="00BA183C">
        <w:t>20.</w:t>
      </w:r>
      <w:r w:rsidRPr="00BA183C">
        <w:tab/>
        <w:t>Calls, in this context, for the level of funding to be secured for EU programmes and policies, as set out in Annexes I and II to the present resolution; calls for the relevant commitment and payment ceilings to be adjusted accordingly;</w:t>
      </w:r>
    </w:p>
    <w:p w:rsidR="002A6758" w:rsidRPr="00BA183C" w:rsidP="002A6758" w14:paraId="15CD3290" w14:textId="77777777">
      <w:pPr>
        <w:pStyle w:val="NormalHanging12a"/>
        <w:widowControl w:val="0"/>
        <w:rPr>
          <w:i/>
          <w:iCs/>
        </w:rPr>
      </w:pPr>
      <w:r w:rsidRPr="00BA183C">
        <w:rPr>
          <w:i/>
          <w:iCs/>
        </w:rPr>
        <w:t>Heading 1</w:t>
      </w:r>
    </w:p>
    <w:p w:rsidR="002A6758" w:rsidRPr="00BA183C" w:rsidP="002A6758" w14:paraId="7C196FD6" w14:textId="76A1EC06">
      <w:pPr>
        <w:pStyle w:val="NormalHanging12a"/>
      </w:pPr>
      <w:r w:rsidRPr="00BA183C">
        <w:t>21.</w:t>
      </w:r>
      <w:r w:rsidRPr="00BA183C">
        <w:tab/>
        <w:t>Notes that heading 1 on ‘Europe’s social model and quality of life’ is allocated EUR 797</w:t>
      </w:r>
      <w:r w:rsidR="00052D10">
        <w:t>,</w:t>
      </w:r>
      <w:r w:rsidRPr="00BA183C">
        <w:t>2 billion in 2025 prices, after excluding the amount provided for the repayment of NGEU, representing 45 % of the total 2028-2034 MFF; expresses deep concern that this is a decrease compared to the EUR 810</w:t>
      </w:r>
      <w:r w:rsidR="00052D10">
        <w:t>,</w:t>
      </w:r>
      <w:r w:rsidRPr="00BA183C">
        <w:t>1 billion allocated in the 2021-2027 MFF, which amounted to 65 % of the total; considers this substantial cut unacceptable given the critical importance of maintaining the Union’s long-standing policies;</w:t>
      </w:r>
    </w:p>
    <w:p w:rsidR="002A6758" w:rsidRPr="00BA183C" w:rsidP="002A6758" w14:paraId="76E4676A" w14:textId="77777777">
      <w:pPr>
        <w:pStyle w:val="NormalHanging12a"/>
      </w:pPr>
      <w:r w:rsidRPr="00BA183C">
        <w:t>22.</w:t>
      </w:r>
      <w:r w:rsidRPr="00BA183C">
        <w:tab/>
        <w:t xml:space="preserve">Regrets that the proposed NRPP Regulation (COM(2025)0558), which merges different policies into one plan per Member State, generates significant uncertainty regarding funding predictability for final beneficiaries, creates unnecessary competition for financial resources between beneficiaries and policies and politicises the distribution of EU funds, risking increased complexity and trade-offs between priorities; insists that the ‘one plan per Member State’ approach implicitly erodes the European dimension of the EU budget and the objectives of common EU policies, leads to excessive centralisation challenging the principles of subsidiarity and proportionality, excludes regional and local authorities and relevant stakeholders from a meaningful role in shaping priorities, and undermines multilevel governance and the territorial dimension of spending; considers that the non-ringfenced amounts under the NRPPs should be fully allocated to </w:t>
      </w:r>
      <w:r w:rsidRPr="00BA183C">
        <w:t>offer predictability to final beneficiaries; warns, in addition, that the significant reduction in funding for heading 1 also threatens to undermine EU policies enshrined in the Treaties and the Union’s objectives of strengthening its economic, social and territorial cohesion, safeguarding its democratic processes, the rule of law  and social rights, and ensuring food security and a fair standard of living for farmers and fishers as well as the protection of the environment and biodiversity; reiterates the need to avoid fragmentation and maintain the horizontal implementing framework, including overarching rules and principles such as respect for the rule of law and fundamental rights, which should apply uniformly across the policies covered under the NRPP, while ensuring coherent and consistent implementation provisions;</w:t>
      </w:r>
    </w:p>
    <w:p w:rsidR="002A6758" w:rsidRPr="00BA183C" w:rsidP="002A6758" w14:paraId="33604552" w14:textId="77777777">
      <w:pPr>
        <w:pStyle w:val="NormalHanging12a"/>
      </w:pPr>
      <w:r w:rsidRPr="00BA183C">
        <w:t>23.</w:t>
      </w:r>
      <w:r w:rsidRPr="00BA183C">
        <w:tab/>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avoiding fragmentation or the re-nationalisation of key Union policies, promoting territorial, economic and social cohesion across all EU regions, including by addressing persistent structural constraints affecting peripheral, insular and outermost regions, and ensuring fair competition and equal opportunities for all territories across Member States, leaving no one and no region behind; considers, furthermore, that the EU budget should contribute to tackling the cost of living crisis and growing inequalities as well as to achieving the EU’s climate and biodiversity objectives, through investments in relevant key areas;</w:t>
      </w:r>
    </w:p>
    <w:p w:rsidR="002A6758" w:rsidRPr="00BA183C" w:rsidP="002A6758" w14:paraId="0F501F5A" w14:textId="77777777">
      <w:pPr>
        <w:pStyle w:val="NormalHanging12a"/>
        <w:widowControl w:val="0"/>
      </w:pPr>
      <w:r w:rsidRPr="00BA183C">
        <w:t>24.</w:t>
      </w:r>
      <w:r w:rsidRPr="00BA183C">
        <w:tab/>
        <w:t>Rejects any move towards an ‘à la carte’ Europe where differentiated participation and a combination of policies which have different objectives, time horizons and delivery logics undermines the unity and coherence of EU policies and programmes; is deeply concerned that a single instrument with multiple layers of objectives, safeguards and reporting requirements may increase complexity, weaken accountability and undermine effective implementation; warns that such an approach whereby Member States decides on the specific allocation of EU funds would fragment the single market, create unfair competitive advantages, and erode the principle of solidarity that underpins European integration and upwards convergence;</w:t>
      </w:r>
    </w:p>
    <w:p w:rsidR="002A6758" w:rsidRPr="00BA183C" w:rsidP="002A6758" w14:paraId="0FCF7AE4" w14:textId="77777777">
      <w:pPr>
        <w:pStyle w:val="NormalHanging12a"/>
        <w:widowControl w:val="0"/>
      </w:pPr>
      <w:r w:rsidRPr="00BA183C">
        <w:t>25.</w:t>
      </w:r>
      <w:r w:rsidRPr="00BA183C">
        <w:tab/>
        <w:t>Calls for separate, sufficient and clearly ringfenced funding for the CAP, the common fisheries policy, the cohesion policy and the European Social Fund to enhance long-term territorial resilience, social cohesion and trust in the European project as well as upwards convergence;</w:t>
      </w:r>
    </w:p>
    <w:p w:rsidR="002A6758" w:rsidRPr="00BA183C" w:rsidP="002A6758" w14:paraId="25AA4356" w14:textId="3FCD87D6">
      <w:pPr>
        <w:pStyle w:val="NormalHanging12a"/>
        <w:widowControl w:val="0"/>
      </w:pPr>
      <w:r w:rsidRPr="00BA183C">
        <w:t>26.</w:t>
      </w:r>
      <w:r w:rsidRPr="00BA183C">
        <w:tab/>
        <w:t>Deplores the proposed reduction in funding for the post-2027 CAP; calls for a dedicated and robust budget for the CAP in the next MFF to be ring-fenced with an amount of EUR 433</w:t>
      </w:r>
      <w:r w:rsidR="00052D10">
        <w:t>,</w:t>
      </w:r>
      <w:r w:rsidRPr="00BA183C">
        <w:t>01 billion in current prices (equivalent to EUR 385</w:t>
      </w:r>
      <w:r w:rsidR="00052D10">
        <w:t>,</w:t>
      </w:r>
      <w:r w:rsidRPr="00BA183C">
        <w:t xml:space="preserve">12 billion in 2025 constant prices) to ensure food security and sovereignty, competitiveness and a fair standard of living for farmers, and to enable them to transition to more sustainable practices, including sustainable land and water management; calls for a reinforced, accountable and more agile unity safety net under the horizontal framework of the NRPP; stresses the need to fully preserve the integrity of the internal market and ensure a level playing field between farmers in different Member States; calls for the continuation and reinforcement of measures that guarantee the viability of rural areas, also through LEADER and community-led local development; underlines that addressing climate, environmental, biodiversity loss and other challenges affecting rural areas, the agricultural sector and food security, contributes to the economic viability and </w:t>
      </w:r>
      <w:r w:rsidRPr="00BA183C">
        <w:t>competitiveness of the sector and of rural areas and to the long-term stability of agricultural production; emphasises the need to support tailored investments, including those fostering social inclusion that make agriculture more attractive to young people, women and new farmers;</w:t>
      </w:r>
    </w:p>
    <w:p w:rsidR="002A6758" w:rsidRPr="00BA183C" w:rsidP="002A6758" w14:paraId="0FE6112A" w14:textId="15CD314A">
      <w:pPr>
        <w:pStyle w:val="NormalHanging12a"/>
        <w:widowControl w:val="0"/>
      </w:pPr>
      <w:r w:rsidRPr="00BA183C">
        <w:t>27.</w:t>
      </w:r>
      <w:r w:rsidRPr="00BA183C">
        <w:tab/>
        <w:t>Regrets the significant reduction in the budget as well as the diffusion of fisheries funding into several budgetary headings; calls for assurances that the ring-fenced allocation for fisheries and aquaculture in the MFF amounts to at least EUR 7</w:t>
      </w:r>
      <w:r w:rsidR="00052D10">
        <w:t>,</w:t>
      </w:r>
      <w:r w:rsidRPr="00BA183C">
        <w:t>29 billion in current prices (equivalent to EUR 6</w:t>
      </w:r>
      <w:r w:rsidR="00052D10">
        <w:t>,</w:t>
      </w:r>
      <w:r w:rsidRPr="00BA183C">
        <w:t>50 billion in 2025 constant prices), with a view to addressing the challenges of these sectors; underlines, furthermore, that the additional financing for the external dimension of fisheries under heading 3 should amount to EUR 1</w:t>
      </w:r>
      <w:r w:rsidR="00052D10">
        <w:t>,</w:t>
      </w:r>
      <w:r w:rsidRPr="00BA183C">
        <w:t>69 billion in current prices (equivalent to EUR 1</w:t>
      </w:r>
      <w:r w:rsidR="00052D10">
        <w:t>,</w:t>
      </w:r>
      <w:r w:rsidRPr="00BA183C">
        <w:t xml:space="preserve">50 billion in 2025 constant prices) including for sustainable fisheries partnership agreements and regional fisheries management organisations; reiterates that the common fisheries policy contributes to a stable income and long-term prospects for fishers, while protecting sustainable marine ecosystems, which underpin the sector’s competitiveness; calls for particular attention to be paid to the EU fishing fleet to improve safety and security, including by tackling illegal fishing and improving working conditions, energy efficiency and sustainability and allowing for the modernisation of the Union’s fleet and generational renewal; calls, furthermore, for the next MFF to ensure dedicated and visible financing, over and above the funding for fisheries, for Union ocean-related policies, including the Ocean Pact; </w:t>
      </w:r>
    </w:p>
    <w:p w:rsidR="002A6758" w:rsidRPr="00BA183C" w:rsidP="002A6758" w14:paraId="082D2059" w14:textId="2426200E">
      <w:pPr>
        <w:pStyle w:val="NormalHanging12a"/>
        <w:widowControl w:val="0"/>
      </w:pPr>
      <w:r w:rsidRPr="00BA183C">
        <w:t>28.</w:t>
      </w:r>
      <w:r w:rsidRPr="00BA183C">
        <w:tab/>
        <w:t>Recalls that cohesion policy is a legally enshrined Treaty-based priority of the Union; stresses that cohesion policy must continue to act as the Union’s main territorial investment instrument and as a pillar of the EU growth model, based on the effective involvement of regional and local authorities through their full participation in the preparation, implementation, monitoring and evaluation of national plans and the tailoring of investments to their needs and implemented under a model based on the partnership principle, with the involvement of economic and civil society actors and multilevel governance with a total budget of EUR 306</w:t>
      </w:r>
      <w:r w:rsidR="00052D10">
        <w:t>,</w:t>
      </w:r>
      <w:r w:rsidRPr="00BA183C">
        <w:t>93 billion in current prices (equivalent to EUR 274</w:t>
      </w:r>
      <w:r w:rsidR="00052D10">
        <w:t>,</w:t>
      </w:r>
      <w:r w:rsidRPr="00BA183C">
        <w:t xml:space="preserve">34 billion in 2025 constant prices) for structural and investment funds; </w:t>
      </w:r>
    </w:p>
    <w:p w:rsidR="002A6758" w:rsidRPr="00BA183C" w:rsidP="002A6758" w14:paraId="463EB0A0" w14:textId="69693BC7">
      <w:pPr>
        <w:pStyle w:val="NormalHanging12a"/>
        <w:widowControl w:val="0"/>
      </w:pPr>
      <w:r w:rsidRPr="00BA183C">
        <w:t>29.</w:t>
      </w:r>
      <w:r w:rsidRPr="00BA183C">
        <w:tab/>
        <w:t>Calls for cohesion policy to remain a distinct policy with a dedicated and robust budget ring-fenced in the next MFF with a total amount of EUR 248</w:t>
      </w:r>
      <w:r w:rsidR="00052D10">
        <w:t>,</w:t>
      </w:r>
      <w:r w:rsidRPr="00BA183C">
        <w:t>37 billion in current prices (equivalent to EUR 222</w:t>
      </w:r>
      <w:r w:rsidR="00052D10">
        <w:t>,</w:t>
      </w:r>
      <w:r w:rsidRPr="00BA183C">
        <w:t>00 billion in 2025 constant prices) for the European Regional Development Fund (ERDF), EUR 46</w:t>
      </w:r>
      <w:r w:rsidR="00052D10">
        <w:t>,</w:t>
      </w:r>
      <w:r w:rsidRPr="00BA183C">
        <w:t>99 billion in current prices (equivalent to EUR 42</w:t>
      </w:r>
      <w:r w:rsidR="00052D10">
        <w:t>,</w:t>
      </w:r>
      <w:r w:rsidRPr="00BA183C">
        <w:t>00 billion in 2025 constant prices) for the Cohesion Fund and EUR 11</w:t>
      </w:r>
      <w:r w:rsidR="00052D10">
        <w:t>,</w:t>
      </w:r>
      <w:r w:rsidRPr="00BA183C">
        <w:t>57 billion in current prices (equivalent to EUR 10</w:t>
      </w:r>
      <w:r w:rsidR="00052D10">
        <w:t>,</w:t>
      </w:r>
      <w:r w:rsidRPr="00BA183C">
        <w:t>34 billion in 2025 constant prices) for Interreg; underlines that allocating this amount to cohesion policy is a necessary condition not only for ensuring the financing of long-term cohesion objectives and fostering convergence, but also for funding the new objectives and priorities within this policy;</w:t>
      </w:r>
    </w:p>
    <w:p w:rsidR="002A6758" w:rsidRPr="00BA183C" w:rsidP="002A6758" w14:paraId="6E0AD01A" w14:textId="77777777">
      <w:pPr>
        <w:pStyle w:val="NormalHanging12a"/>
        <w:widowControl w:val="0"/>
      </w:pPr>
      <w:r w:rsidRPr="00BA183C">
        <w:t>30.</w:t>
      </w:r>
      <w:r w:rsidRPr="00BA183C">
        <w:tab/>
        <w:t xml:space="preserve">Regrets that the shortcomings of the RRF, which were also identified by the European Court of Auditors, were not addressed by the Commission when proposing the NRPP Regulation and calls for a shared management approach in which local and regional authorities take responsibility for designing, programming, implementing and monitoring actions; </w:t>
      </w:r>
    </w:p>
    <w:p w:rsidR="002A6758" w:rsidRPr="00BA183C" w:rsidP="002A6758" w14:paraId="2FDE5774" w14:textId="77777777">
      <w:pPr>
        <w:pStyle w:val="NormalHanging12a"/>
        <w:widowControl w:val="0"/>
      </w:pPr>
      <w:r w:rsidRPr="00BA183C">
        <w:t>31.</w:t>
      </w:r>
      <w:r w:rsidRPr="00BA183C">
        <w:tab/>
        <w:t xml:space="preserve">Calls for the establishment of regional chapters in accordance with the Member States’ institutional framework; calls for the full involvement of regional and local authorities </w:t>
      </w:r>
      <w:r w:rsidRPr="00BA183C">
        <w:t>in the design, monitoring and implementation of funds, based on shared management, multilevel governance and the partnership principle as they are currently understood; stresses the need for clearly defined resources, partnership rules and a strong territorial focus, with regions acting as managing authorities, including through direct negotiations with the Commission on the definition of milestones and targets and their implementation, as well as more direct access to EU funding for regional and local authorities;</w:t>
      </w:r>
    </w:p>
    <w:p w:rsidR="002A6758" w:rsidRPr="00BA183C" w:rsidP="002A6758" w14:paraId="7FCDC717" w14:textId="77777777">
      <w:pPr>
        <w:pStyle w:val="NormalHanging12a"/>
        <w:widowControl w:val="0"/>
      </w:pPr>
      <w:r w:rsidRPr="00BA183C">
        <w:t>32.</w:t>
      </w:r>
      <w:r w:rsidRPr="00BA183C">
        <w:tab/>
        <w:t xml:space="preserve">Stresses the need for adequate support for the Union’s response to demographic challenges; calls for adequate resources to be ensured, within the relevant programmes, for measures contributing to the tackling of such challenges, </w:t>
      </w:r>
      <w:r w:rsidRPr="00BA183C">
        <w:t>in particular for</w:t>
      </w:r>
      <w:r w:rsidRPr="00BA183C">
        <w:t xml:space="preserve"> regions and disadvantaged areas affected by regional disparities and an ageing population, in full respect of the Union’s competences and the principle of subsidiarity;</w:t>
      </w:r>
    </w:p>
    <w:p w:rsidR="002A6758" w:rsidRPr="00BA183C" w:rsidP="002A6758" w14:paraId="145BC847" w14:textId="77777777">
      <w:pPr>
        <w:pStyle w:val="NormalHanging12a"/>
        <w:widowControl w:val="0"/>
      </w:pPr>
      <w:r w:rsidRPr="00BA183C">
        <w:t>33.</w:t>
      </w:r>
      <w:r w:rsidRPr="00BA183C">
        <w:tab/>
        <w:t xml:space="preserve">Recalls the unique challenges that island, cross-border and mountain regions in the EU face and calls for tailored solutions to address these needs; calls for the Commission and the Member States to ensure that their distinct geographic constraints and economic and environmental realities are duly </w:t>
      </w:r>
      <w:r w:rsidRPr="00BA183C">
        <w:t>taken into account</w:t>
      </w:r>
      <w:r w:rsidRPr="00BA183C">
        <w:t xml:space="preserve"> in the design and implementation of the regional chapters; </w:t>
      </w:r>
    </w:p>
    <w:p w:rsidR="002A6758" w:rsidRPr="00BA183C" w:rsidP="002A6758" w14:paraId="201EF648" w14:textId="77777777">
      <w:pPr>
        <w:pStyle w:val="NormalHanging12a"/>
        <w:widowControl w:val="0"/>
      </w:pPr>
      <w:r w:rsidRPr="00BA183C">
        <w:t>34.</w:t>
      </w:r>
      <w:r w:rsidRPr="00BA183C">
        <w:tab/>
        <w:t xml:space="preserve">Notes that the financial programming of the EU Facility, which allows for additional flexibility for the policies it </w:t>
      </w:r>
      <w:r w:rsidRPr="00BA183C">
        <w:t>covers</w:t>
      </w:r>
      <w:r w:rsidRPr="00BA183C">
        <w:t xml:space="preserve"> and which falls entirely within the purview of the budgetary authority, will benefit from substantial financial resources allocated to it to face unforeseen crises;</w:t>
      </w:r>
    </w:p>
    <w:p w:rsidR="002A6758" w:rsidRPr="00BA183C" w:rsidP="002A6758" w14:paraId="5EDADB41" w14:textId="77777777">
      <w:pPr>
        <w:pStyle w:val="NormalHanging12a"/>
        <w:widowControl w:val="0"/>
      </w:pPr>
      <w:r w:rsidRPr="00BA183C">
        <w:t>35.</w:t>
      </w:r>
      <w:r w:rsidRPr="00BA183C">
        <w:tab/>
        <w:t>Notes the introduction of Catalyst Europe in the Commission’s proposal, which could mobilise up to EUR 150 billion in affordable EU-backed loans to enable Member States to undertake strategic investments beyond their allocated national envelopes; believes that this mechanism represents an important step towards addressing the investment gaps in decarbonisation, digitalisation, and economic resilience; emphasises that Catalyst Europe would be accessible to all Member States, thereby contributing to economic and social cohesion, as well as European competitiveness;</w:t>
      </w:r>
    </w:p>
    <w:p w:rsidR="002A6758" w:rsidRPr="00BA183C" w:rsidP="002A6758" w14:paraId="0D1A482C" w14:textId="77777777">
      <w:pPr>
        <w:pStyle w:val="NormalHanging12a"/>
        <w:widowControl w:val="0"/>
      </w:pPr>
      <w:r w:rsidRPr="00BA183C">
        <w:t>36.</w:t>
      </w:r>
      <w:r w:rsidRPr="00BA183C">
        <w:tab/>
        <w:t xml:space="preserve">Considers that, </w:t>
      </w:r>
      <w:r w:rsidRPr="00BA183C">
        <w:t>in order to</w:t>
      </w:r>
      <w:r w:rsidRPr="00BA183C">
        <w:t xml:space="preserve"> ensure the full and effective application of Article 349 TFEU, specific funding for the outermost regions must be established within the 2028-2034 MFF; calls, therefore, for a POSEI with a separate sufficient financial allocation for specific measures, including for aquaculture and fisheries that play a key role in food security, employment and local development; </w:t>
      </w:r>
    </w:p>
    <w:p w:rsidR="002A6758" w:rsidRPr="00BA183C" w:rsidP="002A6758" w14:paraId="444F879E" w14:textId="77777777">
      <w:pPr>
        <w:pStyle w:val="NormalHanging12a"/>
        <w:widowControl w:val="0"/>
      </w:pPr>
      <w:r w:rsidRPr="00BA183C">
        <w:t>37.</w:t>
      </w:r>
      <w:r w:rsidRPr="00BA183C">
        <w:tab/>
        <w:t>Emphasises that the 2028-2034 MFF should play a pivotal role in reducing inequality, poverty and social exclusion, by supporting the implementation of the European Pillar of Social Rights, its action plan and its headline targets; is deeply concerned that the availability and affordability of decent housing in Europe is decreasing at an alarming rate, in a context of declining overall investment in housing supply across many Member States, with public and private funding remaining below what is needed to meet demand; calls for a strategic, responsible and efficient deployment of investments in decent, sustainable and affordable housing, through the use of EU funds, including via measures under the ERDF, and the use of Catalyst Europe loans and targeted investments under the ECF, as well as InvestEU national compartments, enabling greater housing investment with a view to implementing the European Affordable Housing Plan;</w:t>
      </w:r>
    </w:p>
    <w:p w:rsidR="002A6758" w:rsidRPr="00BA183C" w:rsidP="002A6758" w14:paraId="3A1284C0" w14:textId="4C7608EA">
      <w:pPr>
        <w:pStyle w:val="NormalHanging12a"/>
        <w:widowControl w:val="0"/>
      </w:pPr>
      <w:r w:rsidRPr="00BA183C">
        <w:t>38.</w:t>
      </w:r>
      <w:r w:rsidRPr="00BA183C">
        <w:tab/>
        <w:t>Calls for the European Social Fund Plus (ESF+) to remain a stand-alone and separate programme with a dedicated financial envelope of EUR 124</w:t>
      </w:r>
      <w:r w:rsidR="00052D10">
        <w:t>,</w:t>
      </w:r>
      <w:r w:rsidRPr="00BA183C">
        <w:t>19 billion in current prices (equivalent to EUR 110</w:t>
      </w:r>
      <w:r w:rsidR="00052D10">
        <w:t>,</w:t>
      </w:r>
      <w:r w:rsidRPr="00BA183C">
        <w:t xml:space="preserve">73 billion in 2025 constant prices) for promoting upwards social convergence, quality employment and equal opportunities; stresses that the ESF remains a key financing instrument for investing in education, employment and skills development, fostering equality and providing for people in vulnerable situations and those most in need in our societies, delivering on the targets of the EPSR action plan; deeply regrets the narrow social dimension of the proposed NRPP Regulation; calls for clarity and predictability to be guaranteed for final beneficiaries and the responsible managing authorities; </w:t>
      </w:r>
    </w:p>
    <w:p w:rsidR="002A6758" w:rsidRPr="00BA183C" w:rsidP="002A6758" w14:paraId="737B971C" w14:textId="3D0DDEB2">
      <w:pPr>
        <w:pStyle w:val="NormalHanging12a"/>
        <w:widowControl w:val="0"/>
      </w:pPr>
      <w:r w:rsidRPr="00BA183C">
        <w:t>39.</w:t>
      </w:r>
      <w:r w:rsidRPr="00BA183C">
        <w:tab/>
        <w:t>Underlines that the MFF must support the complete and swift implementation of the EU Pact on Migration and Asylum to ensure adequate reception conditions, fast and efficient asylum procedures, integration, and return and readmission procedures, in full compliance with international human rights law; insists that the next MFF must provide the necessary resources to adequately address the major challenges of the Union in the field of asylum, migration, integration, border management and internal security, and the effective protection of the EU’s external borders, including for border infrastructure, as well as physical, electronic and intelligence measures, when and where relevant; considers that the proposal put forward by the Commission does not adequately respond to these requirements and calls for an increase in the amounts for asylum and migration policies, border management and security to EUR 38</w:t>
      </w:r>
      <w:r w:rsidR="00052D10">
        <w:t>,</w:t>
      </w:r>
      <w:r w:rsidRPr="00BA183C">
        <w:t>04 billion in current prices (equivalent to EUR 34</w:t>
      </w:r>
      <w:r w:rsidR="00052D10">
        <w:t>,</w:t>
      </w:r>
      <w:r w:rsidRPr="00BA183C">
        <w:t>00 billion in 2025 constant prices); calls for the expansion of direct funding streams within the EU Facility for local and regional authorities, building upon the model of the current thematic facility of the Asylum, Migration and Integration Fund;</w:t>
      </w:r>
    </w:p>
    <w:p w:rsidR="002A6758" w:rsidRPr="00BA183C" w:rsidP="002A6758" w14:paraId="6760F372" w14:textId="77777777">
      <w:pPr>
        <w:pStyle w:val="NormalHanging12a"/>
        <w:widowControl w:val="0"/>
      </w:pPr>
      <w:r w:rsidRPr="00BA183C">
        <w:t>40.</w:t>
      </w:r>
      <w:r w:rsidRPr="00BA183C">
        <w:tab/>
        <w:t>Recognises that all of the EU’s eastern border regions face heightened economic, social and security challenges due to Russia’s war of aggression against Ukraine and other geopolitical threats, including hybrid threats; stresses the need for comprehensive MFF support to strengthen their defence, preparedness, resilience and security, as well as their economic, social and territorial development; therefore calls for a comprehensive response across EU programmes and sustained EU level support, including financial assistance under the national plans;</w:t>
      </w:r>
    </w:p>
    <w:p w:rsidR="002A6758" w:rsidRPr="00BA183C" w:rsidP="002A6758" w14:paraId="775FAEF2" w14:textId="77777777">
      <w:pPr>
        <w:pStyle w:val="NormalHanging12a"/>
        <w:widowControl w:val="0"/>
        <w:rPr>
          <w:i/>
          <w:iCs/>
        </w:rPr>
      </w:pPr>
      <w:r w:rsidRPr="00BA183C">
        <w:rPr>
          <w:i/>
          <w:iCs/>
        </w:rPr>
        <w:t>Heading 2</w:t>
      </w:r>
    </w:p>
    <w:p w:rsidR="002A6758" w:rsidRPr="00BA183C" w:rsidP="002A6758" w14:paraId="2CC78236" w14:textId="223244AE">
      <w:pPr>
        <w:pStyle w:val="NormalHanging12a"/>
        <w:widowControl w:val="0"/>
      </w:pPr>
      <w:r w:rsidRPr="00BA183C">
        <w:t>41.</w:t>
      </w:r>
      <w:r w:rsidRPr="00BA183C">
        <w:tab/>
        <w:t>Welcomes the significant reinforcement of heading 2 on ‘Competitiveness, prosperity and security’, which is allocated EUR 522</w:t>
      </w:r>
      <w:r w:rsidR="00052D10">
        <w:t>,</w:t>
      </w:r>
      <w:r w:rsidRPr="00BA183C">
        <w:t>2 billion in 2025 prices in the 2028-2034 MFF, representing 30 % of the total MFF compared to EUR 224</w:t>
      </w:r>
      <w:r w:rsidR="00052D10">
        <w:t>,</w:t>
      </w:r>
      <w:r w:rsidRPr="00BA183C">
        <w:t xml:space="preserve">8 billion or 17 % in the current period; notes that this more than doubling of resources reflects the Union’s commitment to research, innovation, strategic autonomy, strategic industrial sectors and infrastructures, water resilience, emerging technologies, biotech, the green and digital transition, critical raw materials, energy security, space, defence, transport and military mobility, creative industries, education, culture, democracy and fundamental rights, economic and social resilience, technological sovereignty and support for SMEs, startups and scale-ups; acknowledges that this substantial increase responds to Parliament’s long-standing calls for greater investment in these areas and stresses that it should be implemented in a manner that ensures strategic coherence and maximises EU added-value; </w:t>
      </w:r>
    </w:p>
    <w:p w:rsidR="002A6758" w:rsidRPr="00BA183C" w:rsidP="002A6758" w14:paraId="7CDB14AD" w14:textId="6D4C2C96">
      <w:pPr>
        <w:pStyle w:val="NormalHanging12a"/>
        <w:widowControl w:val="0"/>
      </w:pPr>
      <w:r w:rsidRPr="00BA183C">
        <w:t>42.</w:t>
      </w:r>
      <w:r w:rsidRPr="00BA183C">
        <w:tab/>
        <w:t xml:space="preserve">Underscores that the ECF needs to be a targeted funding instrument to fill a funding gap </w:t>
      </w:r>
      <w:r w:rsidRPr="00BA183C">
        <w:t>in the current MFF; underlines the key role of the ECF in strengthening the Union’s competitiveness, as the capacity of the Union’s companies to compete on global markets, strengthening its economic and industrial sovereignty, long-term productivity, strategic autonomy and resilience, including access to critical raw materials, and in achieving the twin transition; calls, in this regard, for a budget of EUR 264</w:t>
      </w:r>
      <w:r w:rsidR="00052D10">
        <w:t>,</w:t>
      </w:r>
      <w:r w:rsidRPr="00BA183C">
        <w:t>35 billion in current prices (equivalent to EUR 234</w:t>
      </w:r>
      <w:r w:rsidR="00052D10">
        <w:t>,</w:t>
      </w:r>
      <w:r w:rsidRPr="00BA183C">
        <w:t>00 billion in 2025 constant prices) for the ECF; insists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considers it important to ensure that the ECF, including LIFE actions, are implemented through transparent governance arrangements enabling tracking of overall spending, objectives and results and avoiding unnecessary fragmentation; recalls its position that competitiveness must foster economic growth, as well as promote quality, stable and well-paid jobs as underlined in both the Draghi and Letta reports and that a well-trained workforce is key to a future-proof European economy and, therefore, funding for reskilling and upskilling of workforce is needed, including in sectors faced with significant transformations;</w:t>
      </w:r>
    </w:p>
    <w:p w:rsidR="002A6758" w:rsidRPr="00BA183C" w:rsidP="002A6758" w14:paraId="7BB5207D" w14:textId="77777777">
      <w:pPr>
        <w:pStyle w:val="NormalHanging12a"/>
        <w:widowControl w:val="0"/>
      </w:pPr>
      <w:r w:rsidRPr="00BA183C">
        <w:t>43.</w:t>
      </w:r>
      <w:r w:rsidRPr="00BA183C">
        <w:tab/>
        <w:t>Notes that the EU budget alone cannot fill the investment gap and, therefore, there is a need to maximise synergies between public and private investment,  use de-risking, financial instruments and budget guarantees as powerful and effective tools to achieve EU objectives and policy goals, and simplify and harmonise the EU investment architecture; strongly insists that it is necessary to have an InvestEU instrument larger in size than the current programme and available from the outset and that the budget should provide more flexible and accessible InvestEU national compartments, especially for SMEs, and calls for the establishment of robust EU-level financial instruments and risk-sharing mechanisms under the ECF that can ensure a stable flow of investment and crowd in private capital;</w:t>
      </w:r>
    </w:p>
    <w:p w:rsidR="002A6758" w:rsidRPr="00BA183C" w:rsidP="002A6758" w14:paraId="6EAC4E1F" w14:textId="77777777">
      <w:pPr>
        <w:pStyle w:val="NormalHanging12a"/>
        <w:widowControl w:val="0"/>
      </w:pPr>
      <w:r w:rsidRPr="00BA183C">
        <w:t>44.</w:t>
      </w:r>
      <w:r w:rsidRPr="00BA183C">
        <w:tab/>
        <w:t xml:space="preserve">Recalls the importance of supporting SMEs as they are the backbone of the European economy, have a strong territorial focus and are a main driver for growth across the Union; stresses the importance of an adequate investment level in SMEs; stresses that the EU budget should enable SMEs to access funding more swiftly and readily, close the innovation and investment gap with global competitors and contribute to sustainable growth, job creation and strategic autonomy; </w:t>
      </w:r>
    </w:p>
    <w:p w:rsidR="002A6758" w:rsidRPr="00BA183C" w:rsidP="002A6758" w14:paraId="633DFF0F" w14:textId="77777777">
      <w:pPr>
        <w:pStyle w:val="NormalHanging12a"/>
        <w:widowControl w:val="0"/>
      </w:pPr>
      <w:r w:rsidRPr="00BA183C">
        <w:t>45.</w:t>
      </w:r>
      <w:r w:rsidRPr="00BA183C">
        <w:tab/>
        <w:t xml:space="preserve">Highlights that the green and digital transition is inextricably linked to Europe’s long-term prosperity, well-being, sustainability, growth and competitiveness; underlines that the ultimate success of the twin transition will depend heavily on ensuring that transition is just and inclusive for workers, regions and businesses, and that it contributes to social justice for all, with particular focus on the most vulnerable, in order to ensure that no one is left behind; insists therefore, that the 2028-2034 MFF must continue to support the twin transition; regrets that the proposal for the 2028-2034 MFF does not include a stand-alone instrument and calls for relevant funds under the next MFF to nevertheless support a just transition; highlights in addition the need for synergies and complementarity among cohesion policy funds and the ECF; </w:t>
      </w:r>
    </w:p>
    <w:p w:rsidR="002A6758" w:rsidRPr="00BA183C" w:rsidP="002A6758" w14:paraId="5C6ECFC5" w14:textId="77777777">
      <w:pPr>
        <w:pStyle w:val="NormalHanging12a"/>
        <w:widowControl w:val="0"/>
      </w:pPr>
      <w:r w:rsidRPr="00BA183C">
        <w:t>46.</w:t>
      </w:r>
      <w:r w:rsidRPr="00BA183C">
        <w:tab/>
        <w:t xml:space="preserve">Stresses the need to step up Europe’s industrial and technological defence base; recalls that defence industrial policy must be open and foster competition, and that dual-use technologies, military mobility and critical infrastructures are pillars of the Union’s geopolitical projection and European deterrence; calls for clearly identifiable and </w:t>
      </w:r>
      <w:r w:rsidRPr="00BA183C">
        <w:t xml:space="preserve">adequately funded defence-related allocations; calls for any defence-relevant investments, including under the NRPP, to follow coherent eligibility criteria, including requirements related to clear European added value and coherent with the principles of European preference, interoperability, security of supply and industrial resilience; </w:t>
      </w:r>
    </w:p>
    <w:p w:rsidR="002A6758" w:rsidRPr="00BA183C" w:rsidP="002A6758" w14:paraId="222592EF" w14:textId="1E57719A">
      <w:pPr>
        <w:pStyle w:val="NormalHanging12a"/>
        <w:widowControl w:val="0"/>
      </w:pPr>
      <w:r w:rsidRPr="00BA183C">
        <w:t>47.</w:t>
      </w:r>
      <w:r w:rsidRPr="00BA183C">
        <w:tab/>
        <w:t>Notes that the proposed budget for Horizon Europe still falls short of the needed Union contribution to achieve the 3 % research and development (R&amp;D) spending target and calls for a budget for Horizon Europe of EUR 200 billion in current prices (equivalent to EUR 177</w:t>
      </w:r>
      <w:r w:rsidR="00052D10">
        <w:t>,</w:t>
      </w:r>
      <w:r w:rsidRPr="00BA183C">
        <w:t xml:space="preserve">01 billion in 2025 constant prices); underlines that increased investments in EU research and innovation, including much greater private investments, reflect the Union’s existential need to close the innovation gap with our global competitors and thereby bring sustainable growth and competitiveness back to Europe, since this remains the bedrock of our prosperity and is crucial for maintaining our social model; recalls that EU R&amp;D spending cannot substitute sustained national public investment in R&amp;D; stresses that collaborative research, open competition, and scientific and technological excellence must remain at the heart of the framework programme, and welcomes the Commission’s decision to continue dedicated support for widening actions and for transition countries in order to enhance geographical balance; underlines that the framework programme, including its widening actions, should primarily aim to foster excellence in research and innovation across the whole Union and to fully unlock Europe’s talent potential; </w:t>
      </w:r>
    </w:p>
    <w:p w:rsidR="002A6758" w:rsidRPr="00BA183C" w:rsidP="002A6758" w14:paraId="1682908D" w14:textId="1BADE535">
      <w:pPr>
        <w:pStyle w:val="NormalHanging12a"/>
        <w:widowControl w:val="0"/>
      </w:pPr>
      <w:r w:rsidRPr="00BA183C">
        <w:t>48.</w:t>
      </w:r>
      <w:r w:rsidRPr="00BA183C">
        <w:tab/>
        <w:t>Recalls the importance of the CEF in addressing the missing links in the European energy and transport sector and of its contribution to boosting economic growth, jobs, and competitiveness in the EU; notes that the clean energy transition, and cross-border structural investment to improve energy security and critical energy infrastructure in Europe are indispensable and constitute a prerequisite for ensuring a secure and affordable supply of energy across the Union; recalls the crucial importance and added value of EU investment in developing clean energy infrastructure and accelerating grid modernisation and cross-border interconnection, including for renewables; welcomes the highly necessary increase in CEF transport and military mobility; notes that funding for transport infrastructure, as well as decarbonisation and digitalisation solutions, is now dependent on close synchronisation between the CEF, ECF and NRPP; calls for a CEF allocation of EUR 91</w:t>
      </w:r>
      <w:r w:rsidR="00052D10">
        <w:t>,</w:t>
      </w:r>
      <w:r w:rsidRPr="00BA183C">
        <w:t>29 billion in current prices (equivalent to EUR 81 billion in 2025 constant prices) in order to adequately support energy, transport and military mobility;</w:t>
      </w:r>
    </w:p>
    <w:p w:rsidR="002A6758" w:rsidRPr="00BA183C" w:rsidP="002A6758" w14:paraId="29F02DC4" w14:textId="793EE7EF">
      <w:pPr>
        <w:pStyle w:val="NormalHanging12a"/>
        <w:widowControl w:val="0"/>
      </w:pPr>
      <w:r w:rsidRPr="00BA183C">
        <w:t>49.</w:t>
      </w:r>
      <w:r w:rsidRPr="00BA183C">
        <w:tab/>
        <w:t>Stresses that the LIFE programme plays a central role in mainstreaming the EU’s environmental objectives and commitments; considers, therefore, that actions currently supported under the LIFE programme, such as targeted, long-term and high-quality support for nature conservation, biodiversity restoration, climate adaptation, pollution prevention and environmental governance should continue in a clear manner, with dedicated funding of EUR 3</w:t>
      </w:r>
      <w:r w:rsidR="00052D10">
        <w:t>,</w:t>
      </w:r>
      <w:r w:rsidRPr="00BA183C">
        <w:t>39 billion in current prices (equivalent to EUR 3 billion in 2025 constant prices) under the ECF, so as to ensure predictability, stability and continuity of funding, including for local and regional authorities and so that the implementation on the ground remains effective and visible to beneficiaries and citizens; stresses, in addition, that the EU Facility should also implement LIFE-related actions to achieve the current level of financing of the LIFE programme;</w:t>
      </w:r>
    </w:p>
    <w:p w:rsidR="002A6758" w:rsidRPr="00BA183C" w:rsidP="002A6758" w14:paraId="7E18890C" w14:textId="3650EF34">
      <w:pPr>
        <w:pStyle w:val="NormalHanging12a"/>
        <w:widowControl w:val="0"/>
      </w:pPr>
      <w:r w:rsidRPr="00BA183C">
        <w:t>50.</w:t>
      </w:r>
      <w:r w:rsidRPr="00BA183C">
        <w:tab/>
        <w:t xml:space="preserve">Stresses that the health of European citizens remains a priority; highlights that a healthy population and a strong health sector are fundamental drivers of Europe’s competitiveness, economic resilience and well-being; underlines that sustained and </w:t>
      </w:r>
      <w:r w:rsidRPr="00BA183C">
        <w:t>predictable investment in health is essential to strengthen the resilience of health systems, support and retain a skilled health workforce, reduce inequalities in access to care across Member States and ensure the Union’s preparedness for future health crises; expresses strong concern about the dilution of the EU4Health programme, shifting most health policy, prevention, and health system-strengthening actions into the ECF; calls therefore for EUR 10</w:t>
      </w:r>
      <w:r w:rsidR="00052D10">
        <w:t>,</w:t>
      </w:r>
      <w:r w:rsidRPr="00BA183C">
        <w:t>05 billion in current prices (equivalent to EUR 8</w:t>
      </w:r>
      <w:r w:rsidR="00052D10">
        <w:t>,</w:t>
      </w:r>
      <w:r w:rsidRPr="00BA183C">
        <w:t>90 billion in 2025 constant prices) of funding to be earmarked under the ECF for specific EU4health priorities;</w:t>
      </w:r>
    </w:p>
    <w:p w:rsidR="002A6758" w:rsidRPr="00BA183C" w:rsidP="002A6758" w14:paraId="0E4E9131" w14:textId="77777777">
      <w:pPr>
        <w:pStyle w:val="NormalHanging12a"/>
        <w:widowControl w:val="0"/>
      </w:pPr>
      <w:r w:rsidRPr="00BA183C">
        <w:t>51.</w:t>
      </w:r>
      <w:r w:rsidRPr="00BA183C">
        <w:tab/>
        <w:t xml:space="preserve">Reiterates that adequate resources should be devoted to fighting gender-based violence and to supporting sexual and reproductive health and services, women’s rights organisations, and EU initiatives and bodies promoting true equality among people, regardless of their gender, age, sexual orientation or race; </w:t>
      </w:r>
      <w:bookmarkStart w:id="8" w:name="_Hlk227670980"/>
      <w:r w:rsidRPr="00BA183C">
        <w:t>points out, in this regard, the Commission’s communication</w:t>
      </w:r>
      <w:r>
        <w:rPr>
          <w:rStyle w:val="FootnoteReference"/>
        </w:rPr>
        <w:footnoteReference w:id="7"/>
      </w:r>
      <w:r w:rsidRPr="00BA183C">
        <w:t xml:space="preserve"> following Parliament’s resolution of December 2025</w:t>
      </w:r>
      <w:r>
        <w:rPr>
          <w:rStyle w:val="FootnoteReference"/>
        </w:rPr>
        <w:footnoteReference w:id="8"/>
      </w:r>
      <w:r w:rsidRPr="00BA183C">
        <w:t xml:space="preserve"> on the European Citizens’ Initiative (ECI) ‘My Voice, My Choice’;</w:t>
      </w:r>
      <w:bookmarkEnd w:id="8"/>
    </w:p>
    <w:p w:rsidR="002A6758" w:rsidRPr="00BA183C" w:rsidP="002A6758" w14:paraId="7724B3C7" w14:textId="21BC5034">
      <w:pPr>
        <w:pStyle w:val="NormalHanging12a"/>
        <w:widowControl w:val="0"/>
      </w:pPr>
      <w:r w:rsidRPr="00BA183C">
        <w:t>52.</w:t>
      </w:r>
      <w:r w:rsidRPr="00BA183C">
        <w:tab/>
        <w:t>Takes note of the proposal to shift the crisis preparedness and health emergency response from the current EU4Health programme into the more general crisis response capabilities of the EU, complemented by new cross-sectoral crisis coordination functions and actions relating to civil-military cooperation, creating integrated and resilient European civil protection; underlines the EU’s role as a hub for coordinating and improving the Member States’ preparedness and capacities to respond immediately to large-scale, high-impact emergencies and reiterates its call to ensure adequate funding for preparedness and rapid crisis response, ensuring the UCPM+ remains the primary EU-level framework for general-purpose crisis response; calls for a budget for UCPM+ of EUR 12</w:t>
      </w:r>
      <w:r w:rsidR="00052D10">
        <w:t>,</w:t>
      </w:r>
      <w:r w:rsidRPr="00BA183C">
        <w:t>42 billion in current prices (equivalent to EUR 11 billion in 2025 constant prices);</w:t>
      </w:r>
    </w:p>
    <w:p w:rsidR="002A6758" w:rsidRPr="00BA183C" w:rsidP="002A6758" w14:paraId="5611D539" w14:textId="505D9BB4">
      <w:pPr>
        <w:pStyle w:val="NormalHanging12a"/>
        <w:widowControl w:val="0"/>
      </w:pPr>
      <w:r w:rsidRPr="00BA183C">
        <w:t>53.</w:t>
      </w:r>
      <w:r w:rsidRPr="00BA183C">
        <w:tab/>
        <w:t>Reiterates that Erasmus+, as one of the flagship programmes of the Union, plays a central role in promoting European values, cross-border cooperation and youth engagement and recalls that, in the context of the Draghi and Letta reports, strengthening human capital, labour mobility and skills, including through university and apprenticeship exchanges, is identified as an essential component of Europe’s competitiveness and resilience; calls for an Erasmus+ budget of EUR 47</w:t>
      </w:r>
      <w:r w:rsidR="00052D10">
        <w:t>,</w:t>
      </w:r>
      <w:r w:rsidRPr="00BA183C">
        <w:t xml:space="preserve">39 billion in current prices (equivalent to EUR 42 billion in 2025 constant prices); </w:t>
      </w:r>
    </w:p>
    <w:p w:rsidR="002A6758" w:rsidRPr="00BA183C" w:rsidP="002A6758" w14:paraId="052DD655" w14:textId="322B26CD">
      <w:pPr>
        <w:pStyle w:val="NormalHanging12a"/>
        <w:widowControl w:val="0"/>
      </w:pPr>
      <w:r w:rsidRPr="00BA183C">
        <w:t>54.</w:t>
      </w:r>
      <w:r w:rsidRPr="00BA183C">
        <w:tab/>
        <w:t>Stresses that investment in democratic resilience and cultural vitality is an integral part of the Union’s strategic autonomy; welcomes, in this context, the proposal for the new AgoraEU programme, recognising its broadened scope and its unique European added value as the Union’s only programme dedicated to the cultural and creative sectors and media pluralism, as well as to supporting democratic participation and promoting European values; calls for a budget of EUR 10</w:t>
      </w:r>
      <w:r w:rsidR="00052D10">
        <w:t>,</w:t>
      </w:r>
      <w:r w:rsidRPr="00BA183C">
        <w:t>72 billion in current prices (equivalent to EUR 9.5 billion in 2025 constant prices) for AgoraEU;</w:t>
      </w:r>
    </w:p>
    <w:p w:rsidR="002A6758" w:rsidRPr="00BA183C" w:rsidP="002A6758" w14:paraId="4A844090" w14:textId="3C7C5B38">
      <w:pPr>
        <w:pStyle w:val="NormalHanging12a"/>
        <w:widowControl w:val="0"/>
      </w:pPr>
      <w:r w:rsidRPr="00BA183C">
        <w:t>55.</w:t>
      </w:r>
      <w:r w:rsidRPr="00BA183C">
        <w:tab/>
        <w:t>Calls for a budget of EUR 0.89 billion in current prices (equivalent to EUR 0</w:t>
      </w:r>
      <w:r w:rsidR="00052D10">
        <w:t>,</w:t>
      </w:r>
      <w:r w:rsidRPr="00BA183C">
        <w:t xml:space="preserve">79 billion in 2025 constant prices) for the Justice Programme, including support for the digitalisation of judicial cooperation and access to justice, the roll-out of new cross-border instruments, and emerging initiatives to reduce cross-border legal fragmentation, </w:t>
      </w:r>
      <w:r w:rsidRPr="00BA183C">
        <w:t>in particular in light of emerging challenges, including online crime and hate speech;</w:t>
      </w:r>
    </w:p>
    <w:p w:rsidR="002A6758" w:rsidRPr="00BA183C" w:rsidP="002A6758" w14:paraId="7791A4C0" w14:textId="77777777">
      <w:pPr>
        <w:pStyle w:val="NormalHanging12a"/>
        <w:widowControl w:val="0"/>
        <w:rPr>
          <w:i/>
          <w:iCs/>
        </w:rPr>
      </w:pPr>
      <w:r w:rsidRPr="00BA183C">
        <w:rPr>
          <w:i/>
          <w:iCs/>
        </w:rPr>
        <w:t xml:space="preserve">Heading 3 </w:t>
      </w:r>
    </w:p>
    <w:p w:rsidR="002A6758" w:rsidRPr="00BA183C" w:rsidP="002A6758" w14:paraId="296A5CA7" w14:textId="71844F5F">
      <w:pPr>
        <w:pStyle w:val="NormalHanging12a"/>
        <w:widowControl w:val="0"/>
      </w:pPr>
      <w:r w:rsidRPr="00BA183C">
        <w:t>56.</w:t>
      </w:r>
      <w:r w:rsidRPr="00BA183C">
        <w:tab/>
        <w:t>Notes that heading 3 ‘Global Europe’ is allocated EUR 190 billion in 2025 prices in the 2028-2034 MFF, representing a significant increase from EUR 121</w:t>
      </w:r>
      <w:r w:rsidR="00052D10">
        <w:t>,</w:t>
      </w:r>
      <w:r w:rsidRPr="00BA183C">
        <w:t>5 billion in the current period while maintaining its 10 % share of the total MFF; considers that this essential reinforcement of EUR 68</w:t>
      </w:r>
      <w:r w:rsidR="00052D10">
        <w:t>,</w:t>
      </w:r>
      <w:r w:rsidRPr="00BA183C">
        <w:t>5 billion is absolutely crucial, as it demonstrates the Union’s commitment to strengthening its role as a global actor and reliable partner in an increasingly complex geopolitical environment; expresses concern, however, that this level of funding remains insufficient to finance pre-accession support and external action given the scale of global challenges, including rising development needs and inequalities, humanitarian crises, an unprecedented number of crises, conflicts and overall fragilities, decarbonisation, global health and the need to support Ukraine and other partners; therefore considers it necessary to increase the budget allocation for the Global Europe instrument to EUR 225 billion in current prices (equivalent to EUR 198</w:t>
      </w:r>
      <w:r w:rsidR="00052D10">
        <w:t>,</w:t>
      </w:r>
      <w:r w:rsidRPr="00BA183C">
        <w:t>63 billion in 2025 constant prices);</w:t>
      </w:r>
    </w:p>
    <w:p w:rsidR="002A6758" w:rsidRPr="00BA183C" w:rsidP="002A6758" w14:paraId="707132BB" w14:textId="77777777">
      <w:pPr>
        <w:pStyle w:val="NormalHanging12a"/>
        <w:widowControl w:val="0"/>
      </w:pPr>
      <w:r w:rsidRPr="00BA183C">
        <w:t>57.</w:t>
      </w:r>
      <w:r w:rsidRPr="00BA183C">
        <w:tab/>
        <w:t>Regrets the lack of thematic targets covering critical areas which would allow the co-legislators to set strategic priorities; stresses the need to involve civil society partners as well as local and regional actors; stresses that this increased allocation is essential to secure the Union as a credible global actor; calls for the necessary funds to support enlargement and accession processes and to promote and uphold the Union’s values and interests worldwide, including through mutually beneficial partnerships; stresses that predictable and adequate funding supports stability, resilience and sustainable development and contributes to addressing the root causes of migration by fostering economic opportunities, quality education and vocational training, and job creation in partner countries, thereby strengthening long-term security; calls for provisions to be negotiated under the relevant legislative procedure to ensure that the implementation of EU funds under the Global Europe instrument does not ignore persistent human rights violations in partner countries, and recalls the principles of humanity, impartiality, neutrality and independence for humanitarian and development aid;</w:t>
      </w:r>
    </w:p>
    <w:p w:rsidR="002A6758" w:rsidRPr="00BA183C" w:rsidP="002A6758" w14:paraId="41B41563" w14:textId="77777777">
      <w:pPr>
        <w:pStyle w:val="NormalHanging12a"/>
        <w:widowControl w:val="0"/>
      </w:pPr>
      <w:r w:rsidRPr="00BA183C">
        <w:t>58.</w:t>
      </w:r>
      <w:r w:rsidRPr="00BA183C">
        <w:tab/>
        <w:t>Warns that the merger of programmes could lead, once again, to weakened parliamentary oversight and involvement and reduced funding visibility for specific priorities, as occurred with Neighbourhood, Development and International Cooperation Instrument (NDICI) – Global Europe; calls for clear and meaningful accountability and reporting mechanisms within the Global Europe framework; insists that the pillars, as well as thematic programmes, countries and instruments within them, including pre-accession funds, maintain clear and separate budget lines to ensure transparency in allocations and that requests for transfers within pillars of a significant amount be subject to prior approval by Parliament; considers it essential to allow de-commitments under Global Europe to return to the budget line of origin; deems it necessary for the Commission to provide a clear breakdown between programmable and non-programmable funding and recalls that Global Europe must be mainly composed of geographic programme actions;</w:t>
      </w:r>
    </w:p>
    <w:p w:rsidR="002A6758" w:rsidRPr="00BA183C" w:rsidP="002A6758" w14:paraId="34A54EB5" w14:textId="77777777">
      <w:pPr>
        <w:pStyle w:val="NormalHanging12a"/>
        <w:widowControl w:val="0"/>
      </w:pPr>
      <w:r w:rsidRPr="00BA183C">
        <w:t>59.</w:t>
      </w:r>
      <w:r w:rsidRPr="00BA183C">
        <w:tab/>
        <w:t>Recalls that humanitarian aid, with ring-fenced funding, safeguarded and implemented in line with Council Regulation (EC) No 1257/96 concerning humanitarian aid</w:t>
      </w:r>
      <w:r>
        <w:rPr>
          <w:rStyle w:val="FootnoteReference"/>
        </w:rPr>
        <w:footnoteReference w:id="9"/>
      </w:r>
      <w:r w:rsidRPr="00BA183C">
        <w:t xml:space="preserve">, </w:t>
      </w:r>
      <w:r w:rsidRPr="00BA183C">
        <w:t>remains Europe’s most visible and principled expression of solidarity and must continue to uphold the principles of humanity, impartiality, neutrality and independence; reiterates its position that the principled and needs-based nature of humanitarian aid requires that its predictable funding be delivered through a coherent framework with an adequately resourced annual baseline with a dedicated nomenclature, complemented by an adequate reserve to cater for emergency actions;</w:t>
      </w:r>
    </w:p>
    <w:p w:rsidR="002A6758" w:rsidRPr="00BA183C" w:rsidP="002A6758" w14:paraId="44C94421" w14:textId="77777777">
      <w:pPr>
        <w:pStyle w:val="NormalHanging12a"/>
        <w:widowControl w:val="0"/>
      </w:pPr>
      <w:r w:rsidRPr="00BA183C">
        <w:t>60.</w:t>
      </w:r>
      <w:r w:rsidRPr="00BA183C">
        <w:tab/>
        <w:t>Emphasises the importance of guaranteed access to the reserve of the Global Europe cushion, which should be available in addition to, and outside of, the EUR 25 billion indicative allocation for reinforcements in the case of unexpected needs, which are growing due to factors such as climate change; calls for the EUR 25 billion for humanitarian aid over the 2028-2034 period to be regarded as a guaranteed minimum, and not as a ceiling, in view of the increasing number and duration of humanitarian crises;</w:t>
      </w:r>
    </w:p>
    <w:p w:rsidR="002A6758" w:rsidRPr="00BA183C" w:rsidP="002A6758" w14:paraId="78477FAD" w14:textId="77777777">
      <w:pPr>
        <w:pStyle w:val="NormalHanging12a"/>
        <w:widowControl w:val="0"/>
      </w:pPr>
      <w:r w:rsidRPr="00BA183C">
        <w:t>61.</w:t>
      </w:r>
      <w:r w:rsidRPr="00BA183C">
        <w:tab/>
        <w:t>Welcomes the fact that the mobilisation of the Global Europe cushion is to change compared to NDICI – Global Europe, as, under the next MFF and Financial Regulation</w:t>
      </w:r>
      <w:r>
        <w:rPr>
          <w:rStyle w:val="FootnoteReference"/>
        </w:rPr>
        <w:footnoteReference w:id="10"/>
      </w:r>
      <w:r w:rsidRPr="00BA183C">
        <w:t xml:space="preserve"> rules, any mobilisation above 10 % of the annual allocation will have to be approved by Parliament and the Council; insists, however, on its previous calls that the Commission inform Parliament in due time before any mobilisation of the cushion and take into consideration its observations on the nature, objectives and financial amounts envisaged;</w:t>
      </w:r>
    </w:p>
    <w:p w:rsidR="002A6758" w:rsidRPr="00BA183C" w:rsidP="002A6758" w14:paraId="69F9F9F2" w14:textId="77777777">
      <w:pPr>
        <w:pStyle w:val="NormalHanging12a"/>
        <w:widowControl w:val="0"/>
      </w:pPr>
      <w:r w:rsidRPr="00BA183C">
        <w:t>62.</w:t>
      </w:r>
      <w:r w:rsidRPr="00BA183C">
        <w:tab/>
        <w:t xml:space="preserve">Underlines that a sufficiently resourced Global Europe instrument is essential for the consistency of the Union’s external action and for the EU to act as a reliable and long-term partner, on an equal footing with partner countries; reaffirms that allocations under Global Europe should align with the objective of EU development cooperation policy as stated in Article 208 TFEU, namely the reduction and, in the long term, the eradication of poverty, as well as with the European Consensus on Development and the 2030 Agenda for Sustainable Development; </w:t>
      </w:r>
    </w:p>
    <w:p w:rsidR="002A6758" w:rsidRPr="00BA183C" w:rsidP="002A6758" w14:paraId="35F69A8C" w14:textId="77777777">
      <w:pPr>
        <w:pStyle w:val="NormalHanging12a"/>
        <w:widowControl w:val="0"/>
      </w:pPr>
      <w:r w:rsidRPr="00BA183C">
        <w:t>63.</w:t>
      </w:r>
      <w:r w:rsidRPr="00BA183C">
        <w:tab/>
        <w:t xml:space="preserve">Calls for meaningful accountability and reporting mechanisms; is concerned by the widespread use of ‘financing not linked to costs’ </w:t>
      </w:r>
      <w:bookmarkStart w:id="11" w:name="_Hlk227671173"/>
      <w:r w:rsidRPr="00BA183C">
        <w:t xml:space="preserve">in the implementation of the Europe pillar through performance-based plans </w:t>
      </w:r>
      <w:bookmarkEnd w:id="11"/>
      <w:r w:rsidRPr="00BA183C">
        <w:t xml:space="preserve">and insists that these funds should be disbursed based on compliance with fundamentals of the enlargement process, including the rule of law; </w:t>
      </w:r>
    </w:p>
    <w:p w:rsidR="002A6758" w:rsidRPr="00BA183C" w:rsidP="002A6758" w14:paraId="5093BA56" w14:textId="77777777">
      <w:pPr>
        <w:pStyle w:val="NormalHanging12a"/>
        <w:widowControl w:val="0"/>
      </w:pPr>
      <w:r w:rsidRPr="00BA183C">
        <w:t>64.</w:t>
      </w:r>
      <w:r w:rsidRPr="00BA183C">
        <w:tab/>
        <w:t xml:space="preserve">Considers that enlargement represents an opportunity to strengthen the Union and that the next MFF is pivotal for preparing the Union and the candidate countries for their accession; welcomes the decision to grant Ukraine and the neighbouring Republic of Moldova candidate country status; insists on the need to deploy the necessary funds to support their accession processes and the accession processes of the Western Balkans countries; welcomes the commitment of Global Europe to provide robust financial support to candidate countries as a key instrument for anchoring them firmly to the EU and advancing their preparation for accession; calls for a dedicated allocation for each candidate country to be guaranteed with specific budget lines; </w:t>
      </w:r>
    </w:p>
    <w:p w:rsidR="002A6758" w:rsidRPr="00BA183C" w:rsidP="002A6758" w14:paraId="4E60480A" w14:textId="77777777">
      <w:pPr>
        <w:pStyle w:val="NormalHanging12a"/>
        <w:widowControl w:val="0"/>
      </w:pPr>
      <w:r w:rsidRPr="00BA183C">
        <w:t>65.</w:t>
      </w:r>
      <w:r w:rsidRPr="00BA183C">
        <w:tab/>
        <w:t xml:space="preserve">Reiterates its full support for Ukrainians in their fight for freedom and democracy and </w:t>
      </w:r>
      <w:r w:rsidRPr="00BA183C">
        <w:t xml:space="preserve">deplores the terrible suffering and impact resulting from Russia’s unprovoked and unjustifiable war of aggression; welcomes the fact that the proposal to implement the Ukraine Support Loan has been adopted as part of the Union’s support to Ukraine; underlines that debt service costs arising from the borrowing for the Ukraine Support Loan were not accounted for in the proposals for the next MFF; insists that these debt service costs be placed entirely over and above the ceilings of the next MFF and outside of the funding already planned under the Ukraine Reserve; </w:t>
      </w:r>
    </w:p>
    <w:p w:rsidR="002A6758" w:rsidRPr="00BA183C" w:rsidP="002A6758" w14:paraId="5EB87675" w14:textId="77777777">
      <w:pPr>
        <w:pStyle w:val="NormalHanging12a"/>
        <w:widowControl w:val="0"/>
      </w:pPr>
      <w:r w:rsidRPr="00BA183C">
        <w:t>66.</w:t>
      </w:r>
      <w:r w:rsidRPr="00BA183C">
        <w:tab/>
        <w:t xml:space="preserve">Notes with concern the decreased official development assistance (ODA) target from 93 % to 90 % in the Commission proposal; stresses that the Commission should not be able to change this target via delegated acts; </w:t>
      </w:r>
    </w:p>
    <w:p w:rsidR="002A6758" w:rsidRPr="00BA183C" w:rsidP="002A6758" w14:paraId="65A543A3" w14:textId="3E721981">
      <w:pPr>
        <w:pStyle w:val="NormalHanging12a"/>
        <w:widowControl w:val="0"/>
      </w:pPr>
      <w:r w:rsidRPr="00BA183C">
        <w:t>67.</w:t>
      </w:r>
      <w:r w:rsidRPr="00BA183C">
        <w:tab/>
        <w:t>Stresses the need to secure sufficient funding for the common security and defence policy (CSDP) and the Rapid Deployment Capacity; underlines that civilian CSDP missions are strategic for the Union and support the Union’s security interests and external action objectives, as well as those of its partners; therefore, calls for an allocation of EUR 3</w:t>
      </w:r>
      <w:r w:rsidR="00052D10">
        <w:t>,</w:t>
      </w:r>
      <w:r w:rsidRPr="00BA183C">
        <w:t>76 billion in current prices (equivalent to EUR 3</w:t>
      </w:r>
      <w:r w:rsidR="00052D10">
        <w:t>,</w:t>
      </w:r>
      <w:r w:rsidRPr="00BA183C">
        <w:t>34 billion in 2025 constant prices) for the budget for the common foreign and security policy, which covers the CSDP;</w:t>
      </w:r>
    </w:p>
    <w:p w:rsidR="002A6758" w:rsidRPr="00BA183C" w:rsidP="002A6758" w14:paraId="1020BBF4" w14:textId="27FC1EF6">
      <w:pPr>
        <w:pStyle w:val="NormalHanging12a"/>
        <w:widowControl w:val="0"/>
      </w:pPr>
      <w:r w:rsidRPr="00BA183C">
        <w:t>68.</w:t>
      </w:r>
      <w:r w:rsidRPr="00BA183C">
        <w:tab/>
        <w:t>Underlines that the overseas countries and territories represent unique and strategic assets that benefit the Union as a whole; believes that the allocation proposed by the Commission does not correspond to the challenges faced by overseas countries and territories and calls for an allocation of EUR 2</w:t>
      </w:r>
      <w:r w:rsidR="00052D10">
        <w:t>,</w:t>
      </w:r>
      <w:r w:rsidRPr="00BA183C">
        <w:t>08 billion in current prices (equivalent to EUR 1</w:t>
      </w:r>
      <w:r w:rsidR="00052D10">
        <w:t>,</w:t>
      </w:r>
      <w:r w:rsidRPr="00BA183C">
        <w:t xml:space="preserve">85 billion in 2025 constant prices), taking also into consideration the recent threats to the territorial integrity of Greenland, with which cooperation can significantly help the Union to advance its strategic autonomy; </w:t>
      </w:r>
    </w:p>
    <w:p w:rsidR="002A6758" w:rsidRPr="00BA183C" w:rsidP="002A6758" w14:paraId="52D73D28" w14:textId="77777777">
      <w:pPr>
        <w:pStyle w:val="NormalHanging12a"/>
        <w:widowControl w:val="0"/>
      </w:pPr>
      <w:r w:rsidRPr="00BA183C">
        <w:t>69.</w:t>
      </w:r>
      <w:r w:rsidRPr="00BA183C">
        <w:tab/>
        <w:t>Insists that EU funding for conflict prevention, peacebuilding and post-conflict reconstruction constitutes a direct investment in the Union’s long-term stability and security, particularly in its Eastern and Southern neighbourhoods; commends the role of the UN and its agencies in conflict zones and calls for the EU to strengthen its political and financial support for multilateralism; demands that the next MFF provide dedicated, adequate and predictable funding to the UN and its agencies, whose work is of fundamental importance to the civilian population, particularly in Gaza, the West Bank, Syria, Lebanon and the wider region; calls for the EU to play an active role in peacebuilding and in addressing the effects of the conflicts in Ukraine and Gaza and supporting rebuilding efforts; calls for dedicated funding in this regard in the MFF; underlines that all EU funding must be in line with EU values and rules, in particular the Financial Regulation;</w:t>
      </w:r>
    </w:p>
    <w:p w:rsidR="002A6758" w:rsidRPr="00BA183C" w:rsidP="002A6758" w14:paraId="2652063E" w14:textId="77777777">
      <w:pPr>
        <w:pStyle w:val="NormalHanging12a"/>
        <w:widowControl w:val="0"/>
      </w:pPr>
      <w:r w:rsidRPr="00BA183C">
        <w:t>70.</w:t>
      </w:r>
      <w:r w:rsidRPr="00BA183C">
        <w:tab/>
        <w:t>Calls for the continuation of resourcing for and meaningful engagement with civil society organisations (CSOs), especially local actors and women’s rights organisations, and for structured dialogue supported by dedicated funding streams tailored to the needs of CSOs and human right defenders; calls for external action funding to be implemented, while taking into account the fundamental role of local and regional governments thanks to effective, clear and consistent multilevel governance and partnerships;</w:t>
      </w:r>
    </w:p>
    <w:p w:rsidR="002A6758" w:rsidRPr="00BA183C" w:rsidP="002A6758" w14:paraId="33C642C7" w14:textId="77777777">
      <w:pPr>
        <w:pStyle w:val="NormalHanging12a"/>
        <w:widowControl w:val="0"/>
      </w:pPr>
      <w:r w:rsidRPr="00BA183C">
        <w:t>71.</w:t>
      </w:r>
      <w:r w:rsidRPr="00BA183C">
        <w:tab/>
        <w:t xml:space="preserve">Insists that the European Investment Bank (EIB) Group be recognised as the Union’s primary strategic financial partner within the Global Europe architecture to maximise the impact of heading 3 resources; calls for a strong investment partnership with the </w:t>
      </w:r>
      <w:r w:rsidRPr="00BA183C">
        <w:t>EIB to leverage the EU budget, mobilise private investment and enhance the budgetary guarantee and blending framework, ensuring the effective delivery of the instrument’s objectives, particularly relating to competitiveness, resilience and promoting private-sector access to funding in partner countries; acknowledges the complementary role of other implementing partners such as national promotional banks and institutions, the European Bank for Reconstruction and Development and the Council of Europe Development Bank;</w:t>
      </w:r>
    </w:p>
    <w:p w:rsidR="002A6758" w:rsidRPr="00BA183C" w:rsidP="002A6758" w14:paraId="1286D7A3" w14:textId="77777777">
      <w:pPr>
        <w:pStyle w:val="NormalHanging12a"/>
        <w:widowControl w:val="0"/>
        <w:rPr>
          <w:i/>
          <w:iCs/>
        </w:rPr>
      </w:pPr>
      <w:r w:rsidRPr="00BA183C">
        <w:rPr>
          <w:i/>
          <w:iCs/>
        </w:rPr>
        <w:t xml:space="preserve">Human resources, decentralised agencies, and other administrative expenditure </w:t>
      </w:r>
    </w:p>
    <w:p w:rsidR="002A6758" w:rsidRPr="00BA183C" w:rsidP="002A6758" w14:paraId="5A0B553D" w14:textId="77777777">
      <w:pPr>
        <w:pStyle w:val="NormalHanging12a"/>
      </w:pPr>
      <w:r w:rsidRPr="00BA183C">
        <w:t>72.</w:t>
      </w:r>
      <w:r w:rsidRPr="00BA183C">
        <w:tab/>
        <w:t>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notably when their mandate is extended, can ensure effective and efficient policy design and high-quality delivery and enforcement, provide technical assistance, continue to attract the best people from all Member States, thus ensuring geographical balance, and have leeway to adjust to changing circumstances; underlines the need for gender balance to be ensured within the administration at all levels;</w:t>
      </w:r>
    </w:p>
    <w:p w:rsidR="002A6758" w:rsidRPr="00BA183C" w:rsidP="002A6758" w14:paraId="7FD1FADE" w14:textId="77777777">
      <w:pPr>
        <w:pStyle w:val="NormalHanging12a"/>
      </w:pPr>
      <w:r w:rsidRPr="00BA183C">
        <w:t>73.</w:t>
      </w:r>
      <w:r w:rsidRPr="00BA183C">
        <w:tab/>
        <w:t>Calls on the Commission to provide additional information on the funding and staff for EU decentralised agencies in the next MFF; considers that, for some agencies, the proposal of stable funding and staff will continue to undermine their ability to fulfil their mandates; reiterates Parliament’s long-standing position that new tasks should be financed through fresh appropriations, and that redeployments from programmes and other priorities must be exceptional; acknowledges the need to assess and avoid potential overlaps or duplications between agencies and identify opportunities for synergies and cooperation in order to ensure that resources are allocated efficiently;</w:t>
      </w:r>
    </w:p>
    <w:p w:rsidR="002A6758" w:rsidRPr="00BA183C" w:rsidP="002A6758" w14:paraId="35922490" w14:textId="77777777">
      <w:pPr>
        <w:pStyle w:val="NormalHanging12a"/>
        <w:widowControl w:val="0"/>
      </w:pPr>
      <w:r w:rsidRPr="00BA183C">
        <w:t>74.</w:t>
      </w:r>
      <w:r w:rsidRPr="00BA183C">
        <w:tab/>
        <w:t>Notes with concern that the Commission’s self-imposed stable staffing has proven counterproductive to meeting operational requirements; acknowledges that, for the 2028-2034 MFF, the Commission has requested additional posts, particularly regarding the cybersecurity requirements in terms of staff;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comply with the Regulation laying down measures for a high common level of cybersecurity at the institutions, bodies, offices and agencies of the Union</w:t>
      </w:r>
      <w:r>
        <w:rPr>
          <w:rStyle w:val="FootnoteReference"/>
        </w:rPr>
        <w:footnoteReference w:id="11"/>
      </w:r>
      <w:r w:rsidRPr="00BA183C">
        <w:t xml:space="preserve"> and deliver on policy objectives and enforcement as well as their regulatory obligations; stresses that, in light of the increasing challenges to be addressed, the EU institutions and bodies need to offer an attractive work environment to secure high-level talent applications;</w:t>
      </w:r>
    </w:p>
    <w:p w:rsidR="002A6758" w:rsidRPr="00BA183C" w:rsidP="002A6758" w14:paraId="4291835A" w14:textId="77777777">
      <w:pPr>
        <w:pStyle w:val="NormalHanging12a"/>
        <w:widowControl w:val="0"/>
      </w:pPr>
      <w:r w:rsidRPr="00BA183C">
        <w:t>75.</w:t>
      </w:r>
      <w:r w:rsidRPr="00BA183C">
        <w:tab/>
        <w:t xml:space="preserve">Stresses the importance of the European Schools system as a flagship model that sets high common educational standards across the Member States and offers an internationally recognised qualification that promotes academic excellence, learner mobility and a shared European identity; calls, therefore, for support and predictable funding to meet its currently not covered long-term structural costs and expanding </w:t>
      </w:r>
      <w:r w:rsidRPr="00BA183C">
        <w:t xml:space="preserve">responsibilities, and for its visibility, transparency and budgetary certainty to be ensured; </w:t>
      </w:r>
    </w:p>
    <w:p w:rsidR="002A6758" w:rsidRPr="00BA183C" w:rsidP="002A6758" w14:paraId="6368E1C5" w14:textId="77777777">
      <w:pPr>
        <w:pStyle w:val="NormalHanging12a"/>
        <w:widowControl w:val="0"/>
      </w:pPr>
      <w:r w:rsidRPr="00BA183C">
        <w:t>76.</w:t>
      </w:r>
      <w:r w:rsidRPr="00BA183C">
        <w:tab/>
        <w:t>Assumes that the Commission proposal duly reflects actual needs across all institutions, bodies and agencies and, for that reason, does not propose a further increase; fully intends, however, to defend the Commission proposal and to secure the necessary funding for a strong, efficient and high-quality European public administration based on the principle of equality of the Union citizens, at the service of all Europeans;</w:t>
      </w:r>
    </w:p>
    <w:p w:rsidR="002A6758" w:rsidRPr="00BA183C" w:rsidP="002A6758" w14:paraId="1F9D419C" w14:textId="77777777">
      <w:pPr>
        <w:pStyle w:val="NormalHanging12a"/>
        <w:widowControl w:val="0"/>
        <w:rPr>
          <w:i/>
          <w:iCs/>
        </w:rPr>
      </w:pPr>
      <w:r w:rsidRPr="00BA183C">
        <w:rPr>
          <w:i/>
          <w:iCs/>
        </w:rPr>
        <w:t>Special instruments</w:t>
      </w:r>
    </w:p>
    <w:p w:rsidR="002A6758" w:rsidRPr="00BA183C" w:rsidP="002A6758" w14:paraId="6EEAB770" w14:textId="77777777">
      <w:pPr>
        <w:pStyle w:val="NormalHanging12a"/>
      </w:pPr>
      <w:r w:rsidRPr="00BA183C">
        <w:t>77.</w:t>
      </w:r>
      <w:r w:rsidRPr="00BA183C">
        <w:tab/>
        <w:t>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future margins as a last resort; considers also that it should be heavily frontloaded; calls for a simplification and rationalisation of procedures in the mobilisation of special instruments and, therefore, considers the existence of the Single Margin Instrument to be obsolete and calls for its features to be incorporated into the Flexibility Instrument; considers that external assigned revenue and amounts made available again under specific revenue and decommitment rules in programme-specific provisions could be exempted from this general rule;</w:t>
      </w:r>
    </w:p>
    <w:p w:rsidR="002A6758" w:rsidRPr="00BA183C" w:rsidP="002A6758" w14:paraId="3D8C459D" w14:textId="77777777">
      <w:pPr>
        <w:pStyle w:val="NormalHanging12a"/>
      </w:pPr>
      <w:r w:rsidRPr="00BA183C">
        <w:t>78.</w:t>
      </w:r>
      <w:r w:rsidRPr="00BA183C">
        <w:tab/>
        <w:t xml:space="preserve">Restates that there should be a second special instrument, </w:t>
      </w:r>
      <w:bookmarkStart w:id="12" w:name="_Hlk214989359"/>
      <w:r w:rsidRPr="00BA183C">
        <w:t>the Solidarity Reserve for Natural Disasters</w:t>
      </w:r>
      <w:bookmarkEnd w:id="12"/>
      <w:r w:rsidRPr="00BA183C">
        <w:t>, amounting to EUR 4 billion per year in 2025 constant prices to be mobilised over and above the MFF ceilings, dedicated to ensuring solidarity in the event of natural disasters, which should complement the proposed cascade mechanism for crisis situations and should be governed by rules allowing for rapid disbursement and, where appropriate, pre-financing mechanisms in clear coordination with all relevant instruments, including UCPM+, thereby contributing to resilience and crisis preparedness; considers that both special instruments should be able to carry over unspent amounts throughout the MFF period, to guarantee flexibility;</w:t>
      </w:r>
    </w:p>
    <w:p w:rsidR="002A6758" w:rsidRPr="00BA183C" w:rsidP="002A6758" w14:paraId="495770AD" w14:textId="77777777">
      <w:pPr>
        <w:pStyle w:val="NormalHanging12a"/>
        <w:widowControl w:val="0"/>
      </w:pPr>
      <w:bookmarkStart w:id="13" w:name="_Hlk215128664"/>
      <w:r w:rsidRPr="00BA183C">
        <w:t>79.</w:t>
      </w:r>
      <w:r w:rsidRPr="00BA183C">
        <w:tab/>
        <w:t>Notes that the Commission proposes EUR 88 billion for the Ukraine Reserve within the MFF regulation to finance pre-accession assistance, recovery and reconstruction efforts; considers that this amount could provide substantial support; welcomes the placing of the Ukraine Reserve over and above the MFF ceilings to cater for Ukraine’s exceptional and unpredictable needs; observes, however, that should the conflict continue, this allocation would be insufficient to meet Ukraine’s needs; calls for an increase and frontloading of the Reserve, with a view to providing additional support to Ukraine; stresses that the financing structure for Ukraine should remain coherent, transparent and effective, fully supporting the country’s accession path while clearly distinguishing pre-accession assistance and reconstruction needs;</w:t>
      </w:r>
    </w:p>
    <w:p w:rsidR="002A6758" w:rsidRPr="00BA183C" w:rsidP="002A6758" w14:paraId="3A8A721E" w14:textId="77777777">
      <w:pPr>
        <w:pStyle w:val="NormalHanging12a"/>
        <w:widowControl w:val="0"/>
        <w:rPr>
          <w:i/>
          <w:iCs/>
        </w:rPr>
      </w:pPr>
      <w:r w:rsidRPr="00BA183C">
        <w:rPr>
          <w:i/>
          <w:iCs/>
        </w:rPr>
        <w:t>Specific provisions</w:t>
      </w:r>
    </w:p>
    <w:p w:rsidR="002A6758" w:rsidRPr="00BA183C" w:rsidP="002A6758" w14:paraId="6C48B77F" w14:textId="77777777">
      <w:pPr>
        <w:pStyle w:val="NormalHanging12a"/>
      </w:pPr>
      <w:r w:rsidRPr="00BA183C">
        <w:t>80.</w:t>
      </w:r>
      <w:r w:rsidRPr="00BA183C">
        <w:tab/>
        <w:t>Recalls that the current MFF has been underfunded, which required an MFF revision in 2024; notes that while there is increased flexibility in the 2028-2034 MFF proposal, the overall amounts in the Commission proposal are still not sufficient;</w:t>
      </w:r>
    </w:p>
    <w:p w:rsidR="002A6758" w:rsidRPr="00BA183C" w:rsidP="002A6758" w14:paraId="3CB471BB" w14:textId="77777777">
      <w:pPr>
        <w:pStyle w:val="NormalHanging12a"/>
      </w:pPr>
      <w:r w:rsidRPr="00BA183C">
        <w:t>81.</w:t>
      </w:r>
      <w:r w:rsidRPr="00BA183C">
        <w:tab/>
        <w:t>Regrets that the proposed MFF regulation does not include a mid-term review clause; insists that the MFF regulation must require the Commission to present a review of the functioning of the MFF, by July 2031 at the latest, taking full account of the economic situation at that time, as well as the latest macroeconomic and employment projections and relevant global developments;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p w:rsidR="002A6758" w:rsidRPr="00BA183C" w:rsidP="002A6758" w14:paraId="717BF0AB" w14:textId="77777777">
      <w:pPr>
        <w:pStyle w:val="NormalHanging12a"/>
        <w:widowControl w:val="0"/>
      </w:pPr>
      <w:r w:rsidRPr="00BA183C">
        <w:t>82.</w:t>
      </w:r>
      <w:r w:rsidRPr="00BA183C">
        <w:tab/>
        <w:t>Recalls that European elections will take place in 2034; considers that the date of publication of the proposal for the following MFF Regulation, i.e. 1 July 2033, is significantly later than usual in the MFF life cycle; calls for the proposal for the post-2034 MFF to be published by July 2032 at the latest;</w:t>
      </w:r>
    </w:p>
    <w:p w:rsidR="002A6758" w:rsidRPr="00BA183C" w:rsidP="002A6758" w14:paraId="59F724CC" w14:textId="77777777">
      <w:pPr>
        <w:pStyle w:val="NormalHanging12a"/>
        <w:widowControl w:val="0"/>
        <w:rPr>
          <w:b/>
          <w:bCs/>
          <w:i/>
          <w:iCs/>
        </w:rPr>
      </w:pPr>
      <w:r w:rsidRPr="00BA183C">
        <w:rPr>
          <w:b/>
          <w:bCs/>
          <w:i/>
          <w:iCs/>
        </w:rPr>
        <w:t>Governance</w:t>
      </w:r>
    </w:p>
    <w:p w:rsidR="002A6758" w:rsidRPr="00BA183C" w:rsidP="002A6758" w14:paraId="794B95C0" w14:textId="77777777">
      <w:pPr>
        <w:pStyle w:val="NormalHanging12a"/>
        <w:widowControl w:val="0"/>
      </w:pPr>
      <w:r w:rsidRPr="00BA183C">
        <w:t>83.</w:t>
      </w:r>
      <w:r w:rsidRPr="00BA183C">
        <w:tab/>
        <w:t>Takes note of the Commission’s narrative that its proposals seek to increase flexibility and simplification in the next MFF; acknowledges that flexibility is essential for responding to unforeseen challenges, but stresses that it cannot be used at the expense of accountability, predictability, transparency and policy coherence; warns that flexibility without transparency would widen the democratic accountability gap and undermine public trust in the EU;</w:t>
      </w:r>
    </w:p>
    <w:p w:rsidR="002A6758" w:rsidRPr="00BA183C" w:rsidP="002A6758" w14:paraId="63BCD950" w14:textId="77777777">
      <w:pPr>
        <w:pStyle w:val="NormalHanging12a"/>
        <w:widowControl w:val="0"/>
      </w:pPr>
      <w:r w:rsidRPr="00BA183C">
        <w:t>84.</w:t>
      </w:r>
      <w:r w:rsidRPr="00BA183C">
        <w:tab/>
        <w:t xml:space="preserve">Regrets that the Commission’s simplification proposals primarily benefit its own processes rather than final beneficiaries, thereby exacerbating the democratic deficit in the Union; recalls that Parliament has consistently argued for simplification for final beneficiaries, including lowering the administrative burden associated with accessing the EU budget and making spending more efficient; insists that simplification must not compromise programme quality or democratic accountability, nor be used as a pretext for undermining multilevel governance and partnership principles or constructive dialogue with key stakeholders and social partners, as taking their proper application into account will increase the effectiveness of EU spending and will be essential for the success of the MFF; echoes the Court of Auditors’ concern that the Commission’s approach will lead to simplification in relation to the Commission’s interactions with Member States, while increasing or shifting administrative burden to national, regional and beneficiary levels; underlines that simplification will require, where possible, the harmonisation of rules and reporting requirements between EU, national and regional levels; stresses that Parliament will put forward all the transparency mechanisms necessary to fulfil its role as the guardian of citizens’ interests; </w:t>
      </w:r>
    </w:p>
    <w:p w:rsidR="002A6758" w:rsidRPr="00BA183C" w:rsidP="002A6758" w14:paraId="5EE9C7EC" w14:textId="77777777">
      <w:pPr>
        <w:pStyle w:val="NormalHanging12a"/>
        <w:widowControl w:val="0"/>
      </w:pPr>
      <w:r w:rsidRPr="00BA183C">
        <w:t>85.</w:t>
      </w:r>
      <w:r w:rsidRPr="00BA183C">
        <w:tab/>
        <w:t>Believes that the current NRPP proposal could lead to the ‘renationalisation’ of some EU policies, due to a lack of a horizontal approach and the increased flexibility granted to the Member States in implementing the Union budget based on a national approach; calls for ensuring that the budget remains an investment budget, which maintains a focus on EU added value and ensures a strong horizontal approach;</w:t>
      </w:r>
    </w:p>
    <w:p w:rsidR="002A6758" w:rsidRPr="00BA183C" w:rsidP="002A6758" w14:paraId="49A79E39" w14:textId="77777777">
      <w:pPr>
        <w:pStyle w:val="NormalHanging12a"/>
        <w:widowControl w:val="0"/>
      </w:pPr>
      <w:r w:rsidRPr="00BA183C">
        <w:t>86.</w:t>
      </w:r>
      <w:r w:rsidRPr="00BA183C">
        <w:tab/>
        <w:t xml:space="preserve">Underlines that the widespread use of flexibility and performance-based instruments in the next MFF must be accompanied by strengthened multilevel governance; considers that the meaningful involvement of local and regional authorities, as well as social and economic partners, in the design, implementation and monitoring of Union-funded actions is essential to counterbalance Commission-centric implementation, reduce the </w:t>
      </w:r>
      <w:r w:rsidRPr="00BA183C">
        <w:t>democratic accountability gap and ensure that spending responds to real territorial needs; insists that adequate scrutiny by elected representatives at EU, national and regional levels, where relevant, should accompany such instruments and that Parliament’s budgetary and discharge role be preserved;</w:t>
      </w:r>
    </w:p>
    <w:p w:rsidR="002A6758" w:rsidRPr="00BA183C" w:rsidP="002A6758" w14:paraId="3E6DC35A" w14:textId="77777777">
      <w:pPr>
        <w:pStyle w:val="NormalHanging12a"/>
        <w:widowControl w:val="0"/>
      </w:pPr>
      <w:r w:rsidRPr="00BA183C">
        <w:t>87.</w:t>
      </w:r>
      <w:r w:rsidRPr="00BA183C">
        <w:tab/>
        <w:t xml:space="preserve">Recalls that the Court of Auditors found that the so-called performance-based model, built on the experience of the RRF, revealed weaknesses in its design, implementation and effectiveness; notes with concern that the MFF proposals include widespread use of financing not linked to costs (FNLC) for a substantial portion of the instruments under the next MFF; is extremely concerned about such a major shift towards a new model of implementation;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and weakens auditability; underlines that a solution needs to be found to address the divergences between cost estimates connected to milestones and targets and the real costs of projects, as this misalignment risks undermining the implementation of agreed Union-wide political priorities; considers that any possible increase in efficiencies cannot come at the expense of the protection of the financial interests of the Union; underlines, in particular, that large-scale and complex projects should remain cost-based, as their scope, duration and multilevel financing require detailed financial reporting and verifiable expenditure data to ensure proper monitoring and accountability; calls for the continued and expanded use of simplified cost options, in particular for smaller or medium-scale investments, as effective and proportionate tools to reduce administrative burdens, increase accessibility for smaller beneficiaries, and maintain accountability and traceability in the use of Union funds; </w:t>
      </w:r>
    </w:p>
    <w:p w:rsidR="002A6758" w:rsidRPr="00BA183C" w:rsidP="002A6758" w14:paraId="13EC3AF3" w14:textId="77777777">
      <w:pPr>
        <w:pStyle w:val="NormalHanging12a"/>
        <w:widowControl w:val="0"/>
      </w:pPr>
      <w:r w:rsidRPr="00BA183C">
        <w:t>88.</w:t>
      </w:r>
      <w:r w:rsidRPr="00BA183C">
        <w:tab/>
        <w:t>Insists that data on incurred costs must remain available to the discharge authority in order to verify efficiency and ‘value for money’ in the Union budget; warns that, without cost transparency, parliamentary scrutiny risks becoming a formalistic exercise unable to safeguard the sound financial management of the budget; calls on the Commission to ensure systematic follow-up to the findings and recommendations of the Court of Auditors;</w:t>
      </w:r>
    </w:p>
    <w:p w:rsidR="002A6758" w:rsidRPr="00BA183C" w:rsidP="002A6758" w14:paraId="689E3B4A" w14:textId="77777777">
      <w:pPr>
        <w:pStyle w:val="NormalHanging12a"/>
        <w:widowControl w:val="0"/>
      </w:pPr>
      <w:r w:rsidRPr="00BA183C">
        <w:t>89.</w:t>
      </w:r>
      <w:r w:rsidRPr="00BA183C">
        <w:tab/>
        <w:t>Insists on the need for greater coherence in the monitoring and implementation of EU spending programmes and in the mainstreaming of important EU objectives and commitments; underlines that the proposal for a Performance Regulation is a first step towards putting in place a horizontal expenditure tracking and performance monitoring framework for the budget that aims to reduce administrative burden; considers that this approach, if adequately implemented, may lead to strengthened democratic oversight; stresses that a comprehensive inclusion of horizontal principles in a single framework would allow for meaningful tracking and better reflect the Union’s political priorities; insists that the performance framework must prioritise impact indicators that measure actual outcomes for citizens; stresses that the proposed Performance Regulation must ensure that reporting indicators are mandatory where relevant and comparable across all Member States and management modes; warns that, without such comparability, the discharge authority will be unable to assess relative effectiveness or identify underperforming programmes; underlines that performance indicators must be explicitly derived from the objectives of each programme and should capture outputs, outcomes and impacts; emphasises that climate-related expenditure must be integrated into the MFF to accurately monitor and track funding and its impacts;</w:t>
      </w:r>
    </w:p>
    <w:p w:rsidR="002A6758" w:rsidRPr="00BA183C" w:rsidP="002A6758" w14:paraId="19557CDF" w14:textId="77777777">
      <w:pPr>
        <w:pStyle w:val="NormalHanging12a"/>
        <w:widowControl w:val="0"/>
      </w:pPr>
      <w:r w:rsidRPr="00BA183C">
        <w:t>90.</w:t>
      </w:r>
      <w:r w:rsidRPr="00BA183C">
        <w:tab/>
        <w:t xml:space="preserve">Stresses that the EU budget plays a vital role in supporting the EU’s fundamental values of democracy and pluralism, enshrined in Article 2 of the Treaty on European Union; welcomes the recently published EU strategy for civil society, which recognises the important role of CSOs in providing advice, support and expertise in the development and implementation of EU legislation and policies; underlines, in this regard, the need to ensure long-term, predictable and sufficient funding for CSOs; </w:t>
      </w:r>
    </w:p>
    <w:p w:rsidR="002A6758" w:rsidRPr="00BA183C" w:rsidP="002A6758" w14:paraId="7FA43B91" w14:textId="77777777">
      <w:pPr>
        <w:pStyle w:val="NormalHanging12a"/>
        <w:widowControl w:val="0"/>
      </w:pPr>
      <w:r w:rsidRPr="00BA183C">
        <w:t>91.</w:t>
      </w:r>
      <w:r w:rsidRPr="00BA183C">
        <w:tab/>
        <w:t>Recalls that, as required by the Financial Regulation, programmes and activities should, where feasible and appropriate and in accordance with the relevant sector-specific rules, be implemented to achieve their set objectives while respecting working and employment conditions under applicable national law, Union law, the conventions of the International Labour Organization, and collective agreements, taking into account the principle of gender equality and without doing significant harm to the environmental objectives of the Union;</w:t>
      </w:r>
    </w:p>
    <w:p w:rsidR="002A6758" w:rsidRPr="00BA183C" w:rsidP="002A6758" w14:paraId="5A8E3198" w14:textId="77777777">
      <w:pPr>
        <w:pStyle w:val="NormalHanging12a"/>
        <w:widowControl w:val="0"/>
      </w:pPr>
      <w:r w:rsidRPr="00BA183C">
        <w:t>92.</w:t>
      </w:r>
      <w:r w:rsidRPr="00BA183C">
        <w:tab/>
        <w:t>Stresses that all funding must be in line with the Commission Guidance on funding for activities related to the development, implementation, monitoring and enforcement of Union legislation and policy; recalls, in this regard, the Commission’s statement of 1 April 2025 on the current LIFE programme;</w:t>
      </w:r>
    </w:p>
    <w:p w:rsidR="002A6758" w:rsidRPr="00BA183C" w:rsidP="002A6758" w14:paraId="1C11813E" w14:textId="77777777">
      <w:pPr>
        <w:pStyle w:val="NormalHanging12a"/>
        <w:widowControl w:val="0"/>
        <w:rPr>
          <w:i/>
          <w:iCs/>
        </w:rPr>
      </w:pPr>
      <w:r w:rsidRPr="00BA183C">
        <w:rPr>
          <w:i/>
          <w:iCs/>
        </w:rPr>
        <w:t>Budgetary governance</w:t>
      </w:r>
    </w:p>
    <w:p w:rsidR="002A6758" w:rsidRPr="00BA183C" w:rsidP="002A6758" w14:paraId="6697E603" w14:textId="77777777">
      <w:pPr>
        <w:pStyle w:val="NormalHanging12a"/>
      </w:pPr>
      <w:r w:rsidRPr="00BA183C">
        <w:t>93.</w:t>
      </w:r>
      <w:r w:rsidRPr="00BA183C">
        <w:tab/>
        <w:t>Notes the overall structure of four MFF headings, as proposed by the Commission, down from seven headings in the current MFF; notes with concern that the Commission proposes to reduce the number of EU programmes from 60 to 19, introducing a lack of clarity between objectives and budgetary nomenclature, undermining transparency and accountability; stresses that Parliament’s position on the structure of these new MFF programmes will be determined during the co-decision procedure for the relevant sectoral legislative acts; insists that the proposed budget nomenclature and the amounts allocated to each budget line must reflect all the specific objectives of and within each programme, with a view to ensuring transparency, predictability and accountability and to providing the budgetary authority with the information necessary to establish the annual budget and oversee its implementation;</w:t>
      </w:r>
    </w:p>
    <w:p w:rsidR="002A6758" w:rsidRPr="00BA183C" w:rsidP="002A6758" w14:paraId="6C5FEDA9" w14:textId="77777777">
      <w:pPr>
        <w:pStyle w:val="NormalHanging12a"/>
      </w:pPr>
      <w:r w:rsidRPr="00BA183C">
        <w:t>94.</w:t>
      </w:r>
      <w:r w:rsidRPr="00BA183C">
        <w:tab/>
      </w:r>
      <w:bookmarkStart w:id="14" w:name="_Hlk214967133"/>
      <w:r w:rsidRPr="00BA183C">
        <w:t xml:space="preserve">Deplores, in this regard, the fact that the budgetary nomenclature proposed in the sectoral legislation is woefully </w:t>
      </w:r>
      <w:bookmarkEnd w:id="14"/>
      <w:r w:rsidRPr="00BA183C">
        <w:t>inadequate; underlines that the simplification of the budgetary structure must not come at the expense of transparency or the ability of the budgetary authority to exert efficient scrutiny and take informed decisions; insists that the nomenclature must remain sufficiently detailed to reflect programme objectives set out in the basic acts, preserve the visibility of EU actions in all policy objectives and priorities, and enable Parliament to fully exercise its scrutiny role; calls for a more granular nomenclature to allow for a meaningful annual budgetary procedure, draft amending budgets and discharge procedure; reiterates that the annual budgetary procedure is the core democratic mechanism for allocating funds within the MFF;</w:t>
      </w:r>
    </w:p>
    <w:p w:rsidR="002A6758" w:rsidRPr="00BA183C" w:rsidP="002A6758" w14:paraId="372D4DCD" w14:textId="77777777">
      <w:pPr>
        <w:pStyle w:val="NormalHanging12a"/>
      </w:pPr>
      <w:r w:rsidRPr="00BA183C">
        <w:t>95.</w:t>
      </w:r>
      <w:r w:rsidRPr="00BA183C">
        <w:tab/>
        <w:t>Notes that budgetary transfers under the Financial Regulation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w:t>
      </w:r>
    </w:p>
    <w:p w:rsidR="002A6758" w:rsidRPr="00BA183C" w:rsidP="002A6758" w14:paraId="600E9068" w14:textId="77777777">
      <w:pPr>
        <w:pStyle w:val="NormalHanging12a"/>
      </w:pPr>
      <w:r w:rsidRPr="00BA183C">
        <w:t>96.</w:t>
      </w:r>
      <w:r w:rsidRPr="00BA183C">
        <w:tab/>
        <w:t xml:space="preserve">Emphasises the need for robust governance ensuring parliamentary accountability, oversight and control, alongside an effective anti-fraud architecture; raises, furthermore, concerns as to how the Commission will obtain sufficient assurance at EU level on the legality and regularity of expenditure, recalling that such clear assurance is indispensable for Parliament to exercise its role as discharge authority; rejects any approach that limits Parliament to a consultative or information-only role in the mobilisation of any instrument or fund under the next MFF; </w:t>
      </w:r>
      <w:bookmarkStart w:id="15" w:name="_Hlk214967206"/>
      <w:r w:rsidRPr="00BA183C">
        <w:t xml:space="preserve">stresses that budgetary flexibility must not circumvent the prerogatives of the budgetary authority </w:t>
      </w:r>
      <w:bookmarkEnd w:id="15"/>
      <w:r w:rsidRPr="00BA183C">
        <w:t>and that all redeployments, reprogramming and mobilisation of cushions or other reserves must be subject to Parliament’s approval; considers that genuine flexibility requires both rapid response capacity and democratic legitimacy, which can only be achieved through Parliament’s full participation in decisions on the allocation and use of resources;</w:t>
      </w:r>
    </w:p>
    <w:p w:rsidR="002A6758" w:rsidRPr="00BA183C" w:rsidP="002A6758" w14:paraId="29C6C4F1" w14:textId="77777777">
      <w:pPr>
        <w:pStyle w:val="NormalHanging12a"/>
      </w:pPr>
      <w:r w:rsidRPr="00BA183C">
        <w:t>97.</w:t>
      </w:r>
      <w:r w:rsidRPr="00BA183C">
        <w:tab/>
        <w:t>Expresses its concern about the lack of predictability in EU funding that might result from excessive flexibility mechanisms and recurrent redeployments; recognises the need for enhanced flexibility in allocating resources within certain programmes, but stresses that this must not compromise long-term policy objectives, funding predictability or Parliament’s prerogatives;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p w:rsidR="002A6758" w:rsidRPr="00BA183C" w:rsidP="002A6758" w14:paraId="497E1F40" w14:textId="77777777">
      <w:pPr>
        <w:pStyle w:val="NormalHanging12a"/>
        <w:rPr>
          <w:i/>
          <w:iCs/>
        </w:rPr>
      </w:pPr>
      <w:r w:rsidRPr="00BA183C">
        <w:t>98.</w:t>
      </w:r>
      <w:r w:rsidRPr="00BA183C">
        <w:tab/>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p w:rsidR="002A6758" w:rsidRPr="00BA183C" w:rsidP="002A6758" w14:paraId="0681C1F4" w14:textId="77777777">
      <w:pPr>
        <w:pStyle w:val="NormalHanging12a"/>
        <w:widowControl w:val="0"/>
      </w:pPr>
      <w:r w:rsidRPr="00BA183C">
        <w:t>99.</w:t>
      </w:r>
      <w:r w:rsidRPr="00BA183C">
        <w:tab/>
        <w:t>Reiterates its call for a reinforced investment partnership with the EIB Group to leverage the EU budget, mobilise private investment and de-risk important policy areas such as climate, competitiveness, housing, social entrepreneurship, and innovation, defence and the external dimension; stresses that this and similar partnerships with other implementing partners leveraging the EU budget in all policy areas and de-risking investment where relevant, should maintain tailored instruments to facilitate access for SMEs, mid-caps and cross-border consortia, while ensuring robust governance, transparency and Union added value; reiterates the importance of adequate financing for technical assistance, jointly developed by the EIB and the Commission, for implementing authorities in order to help ensure timely implementation and the additionality of investments, in particular through building administrative capacity and developing investment pipelines, and calls for adequate funding to ensure the continued impact;</w:t>
      </w:r>
    </w:p>
    <w:p w:rsidR="002A6758" w:rsidRPr="00BA183C" w:rsidP="002A6758" w14:paraId="3AFA701A" w14:textId="77777777">
      <w:pPr>
        <w:pStyle w:val="NormalHanging12a"/>
        <w:widowControl w:val="0"/>
      </w:pPr>
      <w:r w:rsidRPr="00BA183C">
        <w:t>100.</w:t>
      </w:r>
      <w:r w:rsidRPr="00BA183C">
        <w:tab/>
        <w:t>Reiterates its long-standing position that all EU-level spending should be brought within the purview of the budgetary authority, thereby ensuring democratic control, transparency and the protection of the Union’s financial interests;</w:t>
      </w:r>
    </w:p>
    <w:p w:rsidR="002A6758" w:rsidRPr="00BA183C" w:rsidP="002A6758" w14:paraId="34AB73B5" w14:textId="77777777">
      <w:pPr>
        <w:pStyle w:val="NormalHanging12a"/>
        <w:widowControl w:val="0"/>
        <w:jc w:val="both"/>
        <w:rPr>
          <w:i/>
          <w:iCs/>
        </w:rPr>
      </w:pPr>
      <w:r w:rsidRPr="00BA183C">
        <w:rPr>
          <w:i/>
          <w:iCs/>
        </w:rPr>
        <w:t>Legislative governance</w:t>
      </w:r>
    </w:p>
    <w:p w:rsidR="002A6758" w:rsidRPr="00BA183C" w:rsidP="002A6758" w14:paraId="3082AD90" w14:textId="77777777">
      <w:pPr>
        <w:pStyle w:val="NormalHanging12a"/>
      </w:pPr>
      <w:r w:rsidRPr="00BA183C">
        <w:t>101.</w:t>
      </w:r>
      <w:r w:rsidRPr="00BA183C">
        <w:tab/>
        <w:t xml:space="preserve">Emphasises that, in the interest of securing Parliament’s consent, every aspect of the MFF, especially budgetary elements, are to be considered as a package and subject to genuine negotiations; reiterates its objection to how current and previous MFF </w:t>
      </w:r>
      <w:r w:rsidRPr="00BA183C">
        <w:t>Regulations were adopted, with the European Council overstepping its role by predetermining multiple elements such as financial envelopes and policy-specific provisions, thereby violating Treaty provisions in both substance and intent; expresses serious concern that preliminary ‘negotiating boxes’ prepared by the Council presidency replicate this flawed methodology, incorporating issues that belong to the co-decision procedure when establishing new EU programme legislation;</w:t>
      </w:r>
    </w:p>
    <w:p w:rsidR="002A6758" w:rsidRPr="00BA183C" w:rsidP="002A6758" w14:paraId="204939BE" w14:textId="77777777">
      <w:pPr>
        <w:pStyle w:val="NormalHanging12a"/>
      </w:pPr>
      <w:r w:rsidRPr="00BA183C">
        <w:t>102.</w:t>
      </w:r>
      <w:r w:rsidRPr="00BA183C">
        <w:tab/>
        <w:t>Expresses serious concern about the broader programme design features and sectoral proposals that shift essential policy and budgetary decisions from the basic act to work programmes, significantly weakening Parliament’s legislative role; strongly objects to the transfer of legislative elements away from sectoral regulations, excluding Parliament from decisions that are currently taken under the ordinary legislative procedure and create legal uncertainty for beneficiaries;</w:t>
      </w:r>
    </w:p>
    <w:p w:rsidR="002A6758" w:rsidRPr="00BA183C" w:rsidP="002A6758" w14:paraId="3438EBFD" w14:textId="77777777">
      <w:pPr>
        <w:pStyle w:val="NormalHanging12a"/>
      </w:pPr>
      <w:r w:rsidRPr="00BA183C">
        <w:t>103.</w:t>
      </w:r>
      <w:r w:rsidRPr="00BA183C">
        <w:tab/>
        <w:t>Insists that all substantive policy choices such as programme objectives, spending priorities, financial allocations, funding rates, eligibility, selection and award criteria, conditions, definitions and calculation methods must be determined in the relevant basic acts, with full respect for Parliament’s prerogatives as co-legislator and budgetary authority and not in the work programme or similar empowerments; demands that policy choices, objectives and governance aspects be decided in the basic acts and that any supplementing and non-essential elements that are not included in the basic act be adopted exclusively through delegated acts, rejecting any use of implementing acts or other procedures that are not subject to Parliament’s consent; in this respect, requires that all multiannual and annual work programmes be adopted through delegated acts, in accordance with Article 290 TFEU, to ensure Parliament’s systematic involvement in policy decision-making and scrutiny; categorically rejects any attempt to relegate strategic policy decisions to comitology procedures or other arrangements; warns that Parliament will not accept any proposal that fails to guarantee its full legislative and oversight powers; stresses that reducing the level of detail in the basic acts results in shifting important policy choices to the implementation phase, therefore weakening democratic accountability and marginalising Parliament’s role in political decisions with significant policy and budgetary implications;</w:t>
      </w:r>
    </w:p>
    <w:p w:rsidR="002A6758" w:rsidRPr="00BA183C" w:rsidP="002A6758" w14:paraId="06C22B12" w14:textId="77777777">
      <w:pPr>
        <w:pStyle w:val="NormalHanging12a"/>
        <w:widowControl w:val="0"/>
      </w:pPr>
      <w:r w:rsidRPr="00BA183C">
        <w:t>104.</w:t>
      </w:r>
      <w:r w:rsidRPr="00BA183C">
        <w:tab/>
        <w:t>Stresses that the broad scope of objectives in the proposed sectoral regulations requires a revised assessment procedure for pilot projects and preparatory actions to safeguard Parliament’s already limited right of initiative; considers that clearer criteria and streamlined procedures are essential to ensure that Parliament can continue to launch innovative actions and test new policy approaches in headings 1, 2 and 3; insists that broadening the scope of programmes must not reduce Parliament’s capacity to propose pilot projects and preparatory actions in specific policy areas;</w:t>
      </w:r>
    </w:p>
    <w:p w:rsidR="002A6758" w:rsidRPr="00BA183C" w:rsidP="002A6758" w14:paraId="61FB0311" w14:textId="77777777">
      <w:pPr>
        <w:pStyle w:val="NormalHanging12a"/>
        <w:widowControl w:val="0"/>
        <w:rPr>
          <w:i/>
          <w:iCs/>
        </w:rPr>
      </w:pPr>
      <w:r w:rsidRPr="00BA183C">
        <w:rPr>
          <w:i/>
          <w:iCs/>
        </w:rPr>
        <w:t>Respect for the rule of law and fundamental values</w:t>
      </w:r>
    </w:p>
    <w:p w:rsidR="002A6758" w:rsidRPr="00BA183C" w:rsidP="002A6758" w14:paraId="75B17F7C" w14:textId="77777777">
      <w:pPr>
        <w:pStyle w:val="NormalHanging12a"/>
      </w:pPr>
      <w:r w:rsidRPr="00BA183C">
        <w:t>105.</w:t>
      </w:r>
      <w:r w:rsidRPr="00BA183C">
        <w:tab/>
        <w:t>Underlines that compliance with Union values and fundamental rights is an essential prerequisite to access EU funds; highlights the need for continued links between respect for the rule of law and access to EU funds under the 2021-2027 MFF; believes that the protection of the Union’s financial interests is intrinsically linked to respect for the rule of law and Union values; stresses that the Rule of Law Conditionality Regulation</w:t>
      </w:r>
      <w:r>
        <w:rPr>
          <w:rStyle w:val="FootnoteReference"/>
        </w:rPr>
        <w:footnoteReference w:id="12"/>
      </w:r>
      <w:r w:rsidRPr="00BA183C">
        <w:t xml:space="preserve"> has </w:t>
      </w:r>
      <w:r w:rsidRPr="00BA183C">
        <w:t>been a key tool for protecting the Union’s financial interests against breaches of the rule of law, and that it should be applied whenever its legal conditions are met across the entire EU budget, including performance-based instruments as well as funding provided under Article 122 TFEU; calls on the Commission and the Council to apply the regulation strictly and consistently, and to take measures without undue delay wherever necessary;</w:t>
      </w:r>
    </w:p>
    <w:p w:rsidR="002A6758" w:rsidRPr="00BA183C" w:rsidP="002A6758" w14:paraId="3574AFDC" w14:textId="77777777">
      <w:pPr>
        <w:pStyle w:val="NormalHanging12a"/>
      </w:pPr>
      <w:r w:rsidRPr="00BA183C">
        <w:t>106.</w:t>
      </w:r>
      <w:r w:rsidRPr="00BA183C">
        <w:tab/>
        <w:t>Insists that, in the next MFF, a seamless and coherent Union values toolbox should cover democracy, the rule of law and fundamental rights across all EU funds; is concerned about the overlaps with the conditionality mechanism introduced, in particular by the NRPPs, and calls for a unified, coherent and comprehensive framework across all EU funding programmes, in full coherence with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p w:rsidR="002A6758" w:rsidRPr="00BA183C" w:rsidP="002A6758" w14:paraId="588B4F7B" w14:textId="77777777">
      <w:pPr>
        <w:pStyle w:val="NormalHanging12a"/>
      </w:pPr>
      <w:r w:rsidRPr="00BA183C">
        <w:t>107.</w:t>
      </w:r>
      <w:r w:rsidRPr="00BA183C">
        <w:tab/>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 and in coherence with the findings of the rule of law reports; stresses that decisions to suspend or reduce Union funding over breaches of the rule of law must be based on objective criteria, applied consistently, and must not be guided by other considerations or be the outcome of negotiations;</w:t>
      </w:r>
    </w:p>
    <w:p w:rsidR="002A6758" w:rsidRPr="00BA183C" w:rsidP="002A6758" w14:paraId="7375033D" w14:textId="77777777">
      <w:pPr>
        <w:pStyle w:val="NormalHanging12a"/>
        <w:widowControl w:val="0"/>
        <w:rPr>
          <w:bCs/>
          <w:iCs/>
        </w:rPr>
      </w:pPr>
      <w:r w:rsidRPr="00BA183C">
        <w:rPr>
          <w:bCs/>
          <w:iCs/>
        </w:rPr>
        <w:t>108.</w:t>
      </w:r>
      <w:r w:rsidRPr="00BA183C">
        <w:rPr>
          <w:bCs/>
          <w:iCs/>
        </w:rPr>
        <w:tab/>
        <w:t>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p w:rsidR="002A6758" w:rsidRPr="00BA183C" w:rsidP="002A6758" w14:paraId="6B0A2807" w14:textId="77777777">
      <w:pPr>
        <w:pStyle w:val="NormalHanging12a"/>
        <w:widowControl w:val="0"/>
        <w:rPr>
          <w:bCs/>
          <w:iCs/>
        </w:rPr>
      </w:pPr>
      <w:r w:rsidRPr="00BA183C">
        <w:rPr>
          <w:bCs/>
          <w:iCs/>
        </w:rPr>
        <w:t>109.</w:t>
      </w:r>
      <w:r w:rsidRPr="00BA183C">
        <w:rPr>
          <w:bCs/>
          <w:iCs/>
        </w:rPr>
        <w:tab/>
        <w:t xml:space="preserve">Stresses that a robust approach is needed to ensure that legitimate final recipients and beneficiaries are not penalised because EU funds for their government have been suspended </w:t>
      </w:r>
      <w:r w:rsidRPr="00BA183C">
        <w:rPr>
          <w:bCs/>
          <w:iCs/>
        </w:rPr>
        <w:t>as a result of</w:t>
      </w:r>
      <w:r w:rsidRPr="00BA183C">
        <w:rPr>
          <w:bCs/>
          <w:iCs/>
        </w:rPr>
        <w:t xml:space="preserve"> rule of law breaches; stresses that this principle lies at the core of a smarter conditionality approach;</w:t>
      </w:r>
    </w:p>
    <w:p w:rsidR="002A6758" w:rsidRPr="00BA183C" w:rsidP="002A6758" w14:paraId="7FAE91E5" w14:textId="77777777">
      <w:pPr>
        <w:pStyle w:val="NormalHanging12a"/>
        <w:widowControl w:val="0"/>
        <w:rPr>
          <w:b/>
          <w:bCs/>
          <w:i/>
          <w:iCs/>
        </w:rPr>
      </w:pPr>
      <w:r w:rsidRPr="00BA183C">
        <w:rPr>
          <w:b/>
          <w:bCs/>
          <w:i/>
          <w:iCs/>
        </w:rPr>
        <w:t xml:space="preserve">IIA-related matters </w:t>
      </w:r>
    </w:p>
    <w:p w:rsidR="002A6758" w:rsidRPr="00BA183C" w:rsidP="002A6758" w14:paraId="671FFA0C" w14:textId="77777777">
      <w:pPr>
        <w:pStyle w:val="NormalHanging12a"/>
      </w:pPr>
      <w:r w:rsidRPr="00BA183C">
        <w:t>110.</w:t>
      </w:r>
      <w:r w:rsidRPr="00BA183C">
        <w:tab/>
        <w:t>Emphasises that a steering mechanism will not compensate for any loss of Parliament’s legislative or budgetary powers; underlines that the annual budget should reflect policy priorities and plans agreed by the co-legislators;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p w:rsidR="002A6758" w:rsidRPr="00BA183C" w:rsidP="002A6758" w14:paraId="50C881F0" w14:textId="77777777">
      <w:pPr>
        <w:pStyle w:val="NormalHanging12a"/>
      </w:pPr>
      <w:r w:rsidRPr="00BA183C">
        <w:t>111.</w:t>
      </w:r>
      <w:r w:rsidRPr="00BA183C">
        <w:tab/>
        <w:t>Rejects any arrangement that would constrain the freedom of the budgetary authority to make autonomous decisions on budget priorities and allocations;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recalls that the Financial Regulation already provides for the possibility to lift budgetary reserves; calls for systematic coordination by the Commission with the budgetary authority before making any voluntary commitments on the use of in-built flexibility, and for any mobilisation to be approved by decision of the budgetary authority;</w:t>
      </w:r>
    </w:p>
    <w:p w:rsidR="002A6758" w:rsidRPr="00BA183C" w:rsidP="002A6758" w14:paraId="372DBD63" w14:textId="77777777">
      <w:pPr>
        <w:pStyle w:val="NormalHanging12a"/>
        <w:widowControl w:val="0"/>
      </w:pPr>
      <w:r w:rsidRPr="00BA183C">
        <w:t>112.</w:t>
      </w:r>
      <w:r w:rsidRPr="00BA183C">
        <w:tab/>
        <w:t>Notes with concern that the Commission proposes to increase the deviation from indicative amounts in sectoral legislation from the current 15 % to 20 % in the Interinstitutional Agreement (IIA)</w:t>
      </w:r>
      <w:r>
        <w:rPr>
          <w:rStyle w:val="FootnoteReference"/>
        </w:rPr>
        <w:footnoteReference w:id="13"/>
      </w:r>
      <w:r w:rsidRPr="00BA183C">
        <w:t>;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without prejudice to the application of the relevant provisions of the MFF Regulation and the IIA,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p w:rsidR="002A6758" w:rsidRPr="00BA183C" w:rsidP="002A6758" w14:paraId="70C759B3" w14:textId="77777777">
      <w:pPr>
        <w:pStyle w:val="NormalHanging12a"/>
        <w:widowControl w:val="0"/>
        <w:rPr>
          <w:bCs/>
        </w:rPr>
      </w:pPr>
      <w:r w:rsidRPr="00BA183C">
        <w:rPr>
          <w:bCs/>
        </w:rPr>
        <w:t>113.</w:t>
      </w:r>
      <w:r w:rsidRPr="00BA183C">
        <w:rPr>
          <w:bCs/>
        </w:rPr>
        <w:tab/>
        <w:t>Highlights the importance of maintaining the interinstitutional regular dialogue on own resources and calls for a higher frequency of meetings;</w:t>
      </w:r>
    </w:p>
    <w:p w:rsidR="002A6758" w:rsidRPr="00BA183C" w:rsidP="002A6758" w14:paraId="2AC926F5" w14:textId="77777777">
      <w:pPr>
        <w:pStyle w:val="NormalHanging12a"/>
        <w:widowControl w:val="0"/>
        <w:rPr>
          <w:bCs/>
        </w:rPr>
      </w:pPr>
      <w:r w:rsidRPr="00BA183C">
        <w:rPr>
          <w:bCs/>
        </w:rPr>
        <w:t>114.</w:t>
      </w:r>
      <w:r w:rsidRPr="00BA183C">
        <w:rPr>
          <w:bCs/>
        </w:rPr>
        <w:tab/>
        <w:t xml:space="preserve">Proposes to include a dedicated annex on cooperation concerning the conditionality regime; believes, in this context, that a regular dialogue between the three institutions on the current state of play concerning the protection of the EU budget, </w:t>
      </w:r>
      <w:r w:rsidRPr="00BA183C">
        <w:rPr>
          <w:bCs/>
        </w:rPr>
        <w:t>with regard to</w:t>
      </w:r>
      <w:r w:rsidRPr="00BA183C">
        <w:rPr>
          <w:bCs/>
        </w:rPr>
        <w:t xml:space="preserve"> the rule of law, would be an effective way of improving coordination of the rule of law toolbox;</w:t>
      </w:r>
    </w:p>
    <w:p w:rsidR="002A6758" w:rsidRPr="00BA183C" w:rsidP="002A6758" w14:paraId="48D669CC" w14:textId="77777777">
      <w:pPr>
        <w:pStyle w:val="NormalHanging12a"/>
        <w:widowControl w:val="0"/>
        <w:rPr>
          <w:b/>
          <w:bCs/>
          <w:i/>
          <w:iCs/>
        </w:rPr>
      </w:pPr>
      <w:r w:rsidRPr="00BA183C">
        <w:rPr>
          <w:b/>
          <w:bCs/>
          <w:i/>
          <w:iCs/>
        </w:rPr>
        <w:t>Own resources</w:t>
      </w:r>
    </w:p>
    <w:p w:rsidR="002A6758" w:rsidRPr="00BA183C" w:rsidP="002A6758" w14:paraId="64A59D16" w14:textId="77777777">
      <w:pPr>
        <w:pStyle w:val="NormalHanging12a"/>
      </w:pPr>
      <w:r w:rsidRPr="00BA183C">
        <w:t>115.</w:t>
      </w:r>
      <w:r w:rsidRPr="00BA183C">
        <w:tab/>
        <w:t>Reaffirms Parliament’s strong commitment to the introduction of new own resources to ensure a sustainable and predictable long-term financing of the EU budget; reiterates the need for sustainable and resilient revenue for the Union budget that should match the expenditure side, thus ensuring budgetary stability, efficiency and fiscal discipline and thereby enabling the Union to address its needs and priorities;</w:t>
      </w:r>
    </w:p>
    <w:p w:rsidR="002A6758" w:rsidRPr="00BA183C" w:rsidP="002A6758" w14:paraId="40884E00" w14:textId="77777777">
      <w:pPr>
        <w:pStyle w:val="NormalHanging12a"/>
      </w:pPr>
      <w:r w:rsidRPr="00BA183C">
        <w:t>116.</w:t>
      </w:r>
      <w:r w:rsidRPr="00BA183C">
        <w:tab/>
        <w:t xml:space="preserve">Reiterates its long-standing call for the introduction of new genuine own resources, not only for NGEU debt repayment but also to finance the Union’s enhanced policy ambitions; expresses its continued conviction that the introduction of new genuine own resources to finance the Union’s budget is indispensable; recalls that, without new resources, the financial burden will inevitably fall on Member States through increased </w:t>
      </w:r>
      <w:r w:rsidRPr="00BA183C">
        <w:t>GNI-based contributions; considers, therefore, that the introduction of genuine new revenue streams of at least EUR 60 billion per year is an essential condition for an ambitious MFF 2028-2034;</w:t>
      </w:r>
    </w:p>
    <w:p w:rsidR="002A6758" w:rsidRPr="00BA183C" w:rsidP="002A6758" w14:paraId="48253D40" w14:textId="77777777">
      <w:pPr>
        <w:pStyle w:val="NormalHanging12a"/>
      </w:pPr>
      <w:r w:rsidRPr="00BA183C">
        <w:t>117.</w:t>
      </w:r>
      <w:r w:rsidRPr="00BA183C">
        <w:tab/>
        <w:t xml:space="preserve">Is highly concerned by the complete absence of progress on the reform of the system of own resources in the Council since 2020; underlines that genuine new own resources are the necessary answer, in times of budgetary constraints, to finance long-standing and new Union policies and much-needed investments in the EU; </w:t>
      </w:r>
    </w:p>
    <w:p w:rsidR="002A6758" w:rsidRPr="00BA183C" w:rsidP="002A6758" w14:paraId="57ABA5A0" w14:textId="77777777">
      <w:pPr>
        <w:pStyle w:val="NormalHanging12a"/>
      </w:pPr>
      <w:r w:rsidRPr="00BA183C">
        <w:t>118.</w:t>
      </w:r>
      <w:r w:rsidRPr="00BA183C">
        <w:tab/>
        <w:t>Reaffirms its long-standing criticism that conceiving and negotiating the budget based on the principle of ‘juste retour’ will inevitably result in reduced EU added value, as it diminishes the rationale for investing together in common and European public goods; acknowledges, at the same time, the merits of the GNI-based own resource, in view of its reliable balancing function; calls on the Council and the Member States to refrain from prolonging any lump-sum reductions, and to create an equitable overall budgetary balance for all by focussing on the synergies and EU-added value in a spirit of solidarity and allowing for more transparency;</w:t>
      </w:r>
    </w:p>
    <w:p w:rsidR="002A6758" w:rsidRPr="00BA183C" w:rsidP="002A6758" w14:paraId="6EFDE21C" w14:textId="77777777">
      <w:pPr>
        <w:pStyle w:val="NormalHanging12a"/>
      </w:pPr>
      <w:r w:rsidRPr="00BA183C">
        <w:t>119.</w:t>
      </w:r>
      <w:r w:rsidRPr="00BA183C">
        <w:tab/>
        <w:t>Recalls that the own resources decision requires unanimity in the Council, consultation with Parliament, and national ratification by all Member States; stresses that any basket of new own resources must be perceived as fair to avoid situations where the implementation of such revenue streams disproportionately penalises certain Member States;</w:t>
      </w:r>
    </w:p>
    <w:p w:rsidR="002A6758" w:rsidRPr="00BA183C" w:rsidP="002A6758" w14:paraId="1CD83719" w14:textId="77777777">
      <w:pPr>
        <w:pStyle w:val="NormalHanging12a"/>
      </w:pPr>
      <w:r w:rsidRPr="00BA183C">
        <w:t>120.</w:t>
      </w:r>
      <w:r w:rsidRPr="00BA183C">
        <w:tab/>
        <w:t>Considers that, in the face of unprecedented challenges requiring substantial increases in investment across multiple policy areas in the next MFF period, the revenue base of the EU budget must be broadened, strengthened, diversified and modernised in a duly justified manner; insists that, to this end, the existing own resources should be adjusted and upgraded, and new own resources should be introduced without further delay; considers, in addition, that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p w:rsidR="002A6758" w:rsidRPr="00BA183C" w:rsidP="002A6758" w14:paraId="2DC6755A" w14:textId="77777777">
      <w:pPr>
        <w:pStyle w:val="NormalHanging12a"/>
      </w:pPr>
      <w:r w:rsidRPr="00BA183C">
        <w:t>121.</w:t>
      </w:r>
      <w:r w:rsidRPr="00BA183C">
        <w:tab/>
        <w:t xml:space="preserve">Recalls the legal obligation and political responsibility for the timely repayment of the NGEU debt; reiterates its position that the repayment of the NGEU debt should continue to be managed in a prudent and flexible manner, including, where possible, through refinancing operations, </w:t>
      </w:r>
      <w:r w:rsidRPr="00BA183C">
        <w:t>in order to</w:t>
      </w:r>
      <w:r w:rsidRPr="00BA183C">
        <w:t xml:space="preserve"> minimise pressure on the MFF and its programmes for 2028-2034;</w:t>
      </w:r>
    </w:p>
    <w:p w:rsidR="002A6758" w:rsidRPr="00BA183C" w:rsidP="002A6758" w14:paraId="3190CB2C" w14:textId="77777777">
      <w:pPr>
        <w:pStyle w:val="NormalHanging12a"/>
      </w:pPr>
      <w:bookmarkStart w:id="16" w:name="_Hlk214625989"/>
      <w:bookmarkStart w:id="17" w:name="_Hlk214976904"/>
      <w:r w:rsidRPr="00BA183C">
        <w:t>122.</w:t>
      </w:r>
      <w:r w:rsidRPr="00BA183C">
        <w:tab/>
        <w:t xml:space="preserve">Welcomes the Commission’s efforts to identify new own resources and to put forward certain calibrations to traditional own resources, such as customs duties, with a view to strengthening the Union’s financial autonomy and reducing reliance on national contributions, thereby securing the future financing of the Union’s budget; supports the broader basket approach proposed by the Commission as this represents a realistic pathway to securing the necessary support in the Council; takes note of the various types of own resources proposed; strongly underlines, however, that any basket of new own resources must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w:t>
      </w:r>
      <w:r w:rsidRPr="00BA183C">
        <w:t>investment in European public goods; calls on the Council to swiftly reach agreement on new own resources in order to provide long-term budgetary certainty;</w:t>
      </w:r>
      <w:bookmarkEnd w:id="16"/>
    </w:p>
    <w:p w:rsidR="002A6758" w:rsidRPr="00BA183C" w:rsidP="002A6758" w14:paraId="1ACF29C8" w14:textId="77777777">
      <w:pPr>
        <w:pStyle w:val="NormalHanging12a"/>
      </w:pPr>
      <w:r w:rsidRPr="00BA183C">
        <w:t>123.</w:t>
      </w:r>
      <w:r w:rsidRPr="00BA183C">
        <w:tab/>
        <w:t>Demands that, should the Council eliminate certain elements of the basket, it should replace the ensuing gap by increased call-rates for other sources or by replacing them with another source; emphasises that the new sources should not harm the competitiveness of small and medium-sized enterprises or EU competitiveness as a whole; considers that the revenue potential of, inter alia, a digital services levy aimed at major digital platforms, an online gambling and betting services levy, the extension of Carbon Border Adjustment Mechanism, and a levy based on a uniform call rate on capital gains from crypto assets should all be explored as possible solutions should other proposed own resources not gain support among Member States, in order to ensure tax fairness and a revenue level that is commensurate with needs;</w:t>
      </w:r>
      <w:bookmarkEnd w:id="17"/>
    </w:p>
    <w:p w:rsidR="002A6758" w:rsidRPr="00BA183C" w:rsidP="002A6758" w14:paraId="1882AC7C" w14:textId="77777777">
      <w:pPr>
        <w:pStyle w:val="NormalHanging12a"/>
        <w:widowControl w:val="0"/>
      </w:pPr>
      <w:r w:rsidRPr="00BA183C">
        <w:t>124.</w:t>
      </w:r>
      <w:r w:rsidRPr="00BA183C">
        <w:tab/>
        <w:t xml:space="preserve">Considers that joint borrowing presents a viable option that offers the Union the ability to respond swiftly to unexpected developments and facilitates the timely financing of EU policies with clear EU added value; emphasises that such an option should be fully in line with the EU’s strategic priorities for European public goods, or facilitate investment in cross-border or pan-European projects that boost the EU’s growth potential; </w:t>
      </w:r>
    </w:p>
    <w:p w:rsidR="002A6758" w:rsidRPr="00BA183C" w:rsidP="002A6758" w14:paraId="681FC7D1" w14:textId="77777777">
      <w:pPr>
        <w:pStyle w:val="NormalHanging12a"/>
        <w:widowControl w:val="0"/>
      </w:pPr>
      <w:r w:rsidRPr="00BA183C">
        <w:t>125.</w:t>
      </w:r>
      <w:r w:rsidRPr="00BA183C">
        <w:tab/>
        <w:t>Underlines the importance of the Commission’s proposal for a novel type of crisis mechanism based on extraordinary borrowing backed by additional headroom under the own resources ceiling and anchored in the EU budget’s consistently excellent credit rating; notes that this instrument is time-bound, subject to pre-defined criteria and limited in purpose, scope and size, delimited by the extra available dedicated headroom compartment; notes, furthermore, that the instrument will enable the Union to mobilise up to EUR 395 billion in loans to Member States when severe crises, severe hardship or serious threats thereof occur during the 2028-2034 period; expresses satisfaction that the proposed mechanism would not be based on Article 122 TFEU, which sidelines Parliament as in previous instances, but on a Council regulation under Article 311(4) TFEU, which requires the consent of Parliament, thus ensuring institutional balance and procedural accountability;</w:t>
      </w:r>
    </w:p>
    <w:p w:rsidR="002A6758" w:rsidRPr="00BA183C" w:rsidP="002A6758" w14:paraId="264194AA" w14:textId="77777777">
      <w:pPr>
        <w:pStyle w:val="NormalHanging12a"/>
      </w:pPr>
      <w:r w:rsidRPr="00BA183C">
        <w:t>126.</w:t>
      </w:r>
      <w:r w:rsidRPr="00BA183C">
        <w:tab/>
        <w:t>Considers that this mechanism can be a further tool at EU level to respond swiftly and effectively to increasing needs, as repeatedly advocated by Mario Draghi, as well as to unpredictable developments; calls on the Commission and the Member States to use the experience gained from NGEU to finance and implement future strategic EU investments;</w:t>
      </w:r>
    </w:p>
    <w:p w:rsidR="002A6758" w:rsidRPr="00BA183C" w:rsidP="002A6758" w14:paraId="3CF0FB46" w14:textId="77777777">
      <w:pPr>
        <w:pStyle w:val="NormalHanging12a"/>
      </w:pPr>
      <w:r w:rsidRPr="00BA183C">
        <w:t>127.</w:t>
      </w:r>
      <w:r w:rsidRPr="00BA183C">
        <w:tab/>
        <w:t>States that it will only approve a long-term budget, including appropriate and sustainable revenue, that is fit for purpose for the Union in a changing world;</w:t>
      </w:r>
      <w:r w:rsidRPr="00BA183C">
        <w:br w:type="page"/>
      </w:r>
    </w:p>
    <w:p w:rsidR="002A6758" w:rsidRPr="00BA183C" w:rsidP="002A6758" w14:paraId="03E48B25" w14:textId="77777777">
      <w:pPr>
        <w:pStyle w:val="NormalHanging12a"/>
      </w:pPr>
    </w:p>
    <w:p w:rsidR="002A6758" w:rsidRPr="00BA183C" w:rsidP="002A6758" w14:paraId="71BAAE54" w14:textId="77777777">
      <w:pPr>
        <w:pStyle w:val="NormalHanging12a"/>
        <w:ind w:left="360" w:hanging="360"/>
        <w:rPr>
          <w:b/>
          <w:bCs/>
          <w:u w:val="single"/>
        </w:rPr>
      </w:pPr>
      <w:r w:rsidRPr="00BA183C">
        <w:rPr>
          <w:b/>
          <w:bCs/>
          <w:i/>
          <w:iCs/>
        </w:rPr>
        <w:t>Amendments to the MFF regulation</w:t>
      </w:r>
      <w:r w:rsidRPr="00BA183C">
        <w:rPr>
          <w:b/>
          <w:bCs/>
          <w:u w:val="single"/>
        </w:rPr>
        <w:t xml:space="preserve"> </w:t>
      </w:r>
    </w:p>
    <w:p w:rsidR="002A6758" w:rsidRPr="00BA183C" w:rsidP="002A6758" w14:paraId="21BECCF2" w14:textId="77777777">
      <w:pPr>
        <w:pStyle w:val="NormalHanging12a"/>
        <w:jc w:val="both"/>
      </w:pPr>
      <w:r w:rsidRPr="00BA183C">
        <w:t>128.</w:t>
      </w:r>
      <w:r w:rsidRPr="00BA183C">
        <w:tab/>
        <w:t xml:space="preserve">Asks the Commission to </w:t>
      </w:r>
      <w:r w:rsidRPr="00BA183C">
        <w:t>take into account</w:t>
      </w:r>
      <w:r w:rsidRPr="00BA183C">
        <w:t xml:space="preserve"> the following modifications:</w:t>
      </w:r>
    </w:p>
    <w:p w:rsidR="002A6758" w:rsidRPr="00BA183C" w:rsidP="002A6758" w14:paraId="2FC92047" w14:textId="77777777">
      <w:pPr>
        <w:pStyle w:val="NormalHanging12a"/>
        <w:ind w:firstLine="0"/>
        <w:jc w:val="both"/>
        <w:rPr>
          <w:b/>
          <w:bCs/>
          <w:u w:val="single"/>
        </w:rPr>
      </w:pPr>
      <w:r w:rsidRPr="00BA183C">
        <w:t>The proposal for a Council regulation should be modified as follows:</w:t>
      </w:r>
      <w:bookmarkEnd w:id="13"/>
    </w:p>
    <w:p w:rsidR="002A6758" w:rsidRPr="00BA183C" w:rsidP="002A6758" w14:paraId="51E81EC1" w14:textId="77777777">
      <w:pPr>
        <w:pStyle w:val="AmNumberTabs"/>
        <w:keepNext/>
      </w:pPr>
      <w:r w:rsidRPr="00BA183C">
        <w:t>Modification</w:t>
      </w:r>
      <w:r w:rsidRPr="00BA183C">
        <w:tab/>
      </w:r>
      <w:r w:rsidRPr="00BA183C">
        <w:tab/>
        <w:t>1</w:t>
      </w:r>
    </w:p>
    <w:p w:rsidR="002A6758" w:rsidRPr="00BA183C" w:rsidP="002A6758" w14:paraId="50F0BF95" w14:textId="77777777">
      <w:pPr>
        <w:pStyle w:val="NormalBold12b"/>
        <w:keepNext/>
      </w:pPr>
      <w:r w:rsidRPr="00BA183C">
        <w:t xml:space="preserve"> Proposal for a regulation</w:t>
      </w:r>
    </w:p>
    <w:p w:rsidR="002A6758" w:rsidRPr="00BA183C" w:rsidP="002A6758" w14:paraId="3EF29F6E" w14:textId="77777777">
      <w:pPr>
        <w:pStyle w:val="NormalBold"/>
        <w:rPr>
          <w:rStyle w:val="HideTWBExt"/>
          <w:b w:val="0"/>
          <w:noProof w:val="0"/>
        </w:rPr>
      </w:pPr>
      <w:r w:rsidRPr="00BA183C">
        <w:t xml:space="preserve"> Recital 13</w:t>
      </w:r>
    </w:p>
    <w:tbl>
      <w:tblPr>
        <w:tblW w:w="9752" w:type="dxa"/>
        <w:jc w:val="center"/>
        <w:tblLayout w:type="fixed"/>
        <w:tblCellMar>
          <w:left w:w="340" w:type="dxa"/>
          <w:right w:w="340" w:type="dxa"/>
        </w:tblCellMar>
        <w:tblLook w:val="0000"/>
      </w:tblPr>
      <w:tblGrid>
        <w:gridCol w:w="4876"/>
        <w:gridCol w:w="4876"/>
      </w:tblGrid>
      <w:tr w14:paraId="7B6D4C7D" w14:textId="77777777" w:rsidTr="00CC5190">
        <w:tblPrEx>
          <w:tblW w:w="9752" w:type="dxa"/>
          <w:jc w:val="center"/>
          <w:tblLayout w:type="fixed"/>
          <w:tblLook w:val="0000"/>
        </w:tblPrEx>
        <w:trPr>
          <w:jc w:val="center"/>
        </w:trPr>
        <w:tc>
          <w:tcPr>
            <w:tcW w:w="9752" w:type="dxa"/>
            <w:gridSpan w:val="2"/>
          </w:tcPr>
          <w:p w:rsidR="002A6758" w:rsidRPr="00BA183C" w:rsidP="00CC5190" w14:paraId="7CDB12CD" w14:textId="77777777">
            <w:pPr>
              <w:keepNext/>
            </w:pPr>
          </w:p>
        </w:tc>
      </w:tr>
      <w:tr w14:paraId="389A6F32" w14:textId="77777777" w:rsidTr="00CC5190">
        <w:tblPrEx>
          <w:tblW w:w="9752" w:type="dxa"/>
          <w:jc w:val="center"/>
          <w:tblLayout w:type="fixed"/>
          <w:tblLook w:val="0000"/>
        </w:tblPrEx>
        <w:trPr>
          <w:jc w:val="center"/>
        </w:trPr>
        <w:tc>
          <w:tcPr>
            <w:tcW w:w="4876" w:type="dxa"/>
          </w:tcPr>
          <w:p w:rsidR="002A6758" w:rsidRPr="00BA183C" w:rsidP="00CC5190" w14:paraId="2B1C47BB" w14:textId="77777777">
            <w:pPr>
              <w:pStyle w:val="AmColumnHeading"/>
              <w:keepNext/>
            </w:pPr>
            <w:r w:rsidRPr="00BA183C">
              <w:t>Text proposed by the Commission</w:t>
            </w:r>
          </w:p>
        </w:tc>
        <w:tc>
          <w:tcPr>
            <w:tcW w:w="4876" w:type="dxa"/>
          </w:tcPr>
          <w:p w:rsidR="002A6758" w:rsidRPr="00BA183C" w:rsidP="00CC5190" w14:paraId="76F88F32" w14:textId="77777777">
            <w:pPr>
              <w:pStyle w:val="AmColumnHeading"/>
              <w:keepNext/>
            </w:pPr>
            <w:r w:rsidRPr="00BA183C">
              <w:t>Modification</w:t>
            </w:r>
          </w:p>
        </w:tc>
      </w:tr>
      <w:tr w14:paraId="6F24A056" w14:textId="77777777" w:rsidTr="00CC5190">
        <w:tblPrEx>
          <w:tblW w:w="9752" w:type="dxa"/>
          <w:jc w:val="center"/>
          <w:tblLayout w:type="fixed"/>
          <w:tblLook w:val="0000"/>
        </w:tblPrEx>
        <w:trPr>
          <w:jc w:val="center"/>
        </w:trPr>
        <w:tc>
          <w:tcPr>
            <w:tcW w:w="4876" w:type="dxa"/>
          </w:tcPr>
          <w:p w:rsidR="002A6758" w:rsidRPr="00BA183C" w:rsidP="00CC5190" w14:paraId="17A898B9" w14:textId="77777777">
            <w:pPr>
              <w:pStyle w:val="Normal6a"/>
            </w:pPr>
            <w:r w:rsidRPr="00BA183C">
              <w:rPr>
                <w:b/>
                <w:bCs/>
                <w:i/>
                <w:iCs/>
              </w:rPr>
              <w:t>(13)</w:t>
            </w:r>
            <w:r w:rsidRPr="00BA183C">
              <w:rPr>
                <w:b/>
                <w:bCs/>
                <w:i/>
                <w:iCs/>
              </w:rPr>
              <w:tab/>
              <w:t>Non-thematic special instruments are necessary to provide flexibility in favour of any MFF heading according to needs, and to facilitate the budgetary procedure. The Single Margin Instrument should enable shifting margins available below the ceilings for commitment and payment appropriations, respectively, between financial years and, for commitment appropriations, between MFF headings, without exceeding the total amounts of the MFF ceilings for commitment and payment appropriations for the entire period of the MFF. In line with sound financial management and prudent budgeting, the mobilisation of amounts of margins from the current and future financial years should be a last resort.</w:t>
            </w:r>
          </w:p>
        </w:tc>
        <w:tc>
          <w:tcPr>
            <w:tcW w:w="4876" w:type="dxa"/>
          </w:tcPr>
          <w:p w:rsidR="002A6758" w:rsidRPr="00BA183C" w:rsidP="00CC5190" w14:paraId="39F7B697" w14:textId="77777777">
            <w:pPr>
              <w:pStyle w:val="Normal6a"/>
              <w:rPr>
                <w:iCs/>
              </w:rPr>
            </w:pPr>
            <w:r w:rsidRPr="00BA183C">
              <w:rPr>
                <w:b/>
                <w:bCs/>
                <w:i/>
                <w:iCs/>
              </w:rPr>
              <w:t>deleted</w:t>
            </w:r>
            <w:r w:rsidRPr="00BA183C">
              <w:rPr>
                <w:iCs/>
              </w:rPr>
              <w:t xml:space="preserve"> </w:t>
            </w:r>
          </w:p>
        </w:tc>
      </w:tr>
    </w:tbl>
    <w:p w:rsidR="002A6758" w:rsidRPr="00BA183C" w:rsidP="002A6758" w14:paraId="6B27E924" w14:textId="77777777"/>
    <w:p w:rsidR="002A6758" w:rsidRPr="00BA183C" w:rsidP="002A6758" w14:paraId="75280B7A" w14:textId="77777777">
      <w:pPr>
        <w:pStyle w:val="AmNumberTabs"/>
        <w:keepNext/>
      </w:pPr>
      <w:r w:rsidRPr="00BA183C">
        <w:t>Modification</w:t>
      </w:r>
      <w:r w:rsidRPr="00BA183C">
        <w:tab/>
      </w:r>
      <w:r w:rsidRPr="00BA183C">
        <w:tab/>
        <w:t>2</w:t>
      </w:r>
    </w:p>
    <w:p w:rsidR="002A6758" w:rsidRPr="00BA183C" w:rsidP="002A6758" w14:paraId="1C4D3BD6" w14:textId="77777777">
      <w:pPr>
        <w:pStyle w:val="NormalBold12b"/>
        <w:keepNext/>
      </w:pPr>
      <w:r w:rsidRPr="00BA183C">
        <w:t>Proposal for a regulation</w:t>
      </w:r>
    </w:p>
    <w:p w:rsidR="002A6758" w:rsidRPr="00BA183C" w:rsidP="002A6758" w14:paraId="59FD459A" w14:textId="77777777">
      <w:pPr>
        <w:pStyle w:val="NormalBold"/>
      </w:pPr>
      <w:r w:rsidRPr="00BA183C">
        <w:t>Recital 13 a (new)</w:t>
      </w:r>
    </w:p>
    <w:p w:rsidR="002A6758" w:rsidRPr="00BA183C" w:rsidP="002A6758" w14:paraId="6463FC03" w14:textId="77777777"/>
    <w:tbl>
      <w:tblPr>
        <w:tblW w:w="9752" w:type="dxa"/>
        <w:jc w:val="center"/>
        <w:tblLayout w:type="fixed"/>
        <w:tblCellMar>
          <w:left w:w="340" w:type="dxa"/>
          <w:right w:w="340" w:type="dxa"/>
        </w:tblCellMar>
        <w:tblLook w:val="0000"/>
      </w:tblPr>
      <w:tblGrid>
        <w:gridCol w:w="4876"/>
        <w:gridCol w:w="4876"/>
      </w:tblGrid>
      <w:tr w14:paraId="103BAFBD" w14:textId="77777777" w:rsidTr="00CC5190">
        <w:tblPrEx>
          <w:tblW w:w="9752" w:type="dxa"/>
          <w:jc w:val="center"/>
          <w:tblLayout w:type="fixed"/>
          <w:tblLook w:val="0000"/>
        </w:tblPrEx>
        <w:trPr>
          <w:jc w:val="center"/>
        </w:trPr>
        <w:tc>
          <w:tcPr>
            <w:tcW w:w="9752" w:type="dxa"/>
            <w:gridSpan w:val="2"/>
          </w:tcPr>
          <w:p w:rsidR="002A6758" w:rsidRPr="00BA183C" w:rsidP="00CC5190" w14:paraId="6AC7DB79" w14:textId="77777777">
            <w:pPr>
              <w:keepNext/>
            </w:pPr>
          </w:p>
        </w:tc>
      </w:tr>
      <w:tr w14:paraId="7BE0C58C" w14:textId="77777777" w:rsidTr="00CC5190">
        <w:tblPrEx>
          <w:tblW w:w="9752" w:type="dxa"/>
          <w:jc w:val="center"/>
          <w:tblLayout w:type="fixed"/>
          <w:tblLook w:val="0000"/>
        </w:tblPrEx>
        <w:trPr>
          <w:jc w:val="center"/>
        </w:trPr>
        <w:tc>
          <w:tcPr>
            <w:tcW w:w="4876" w:type="dxa"/>
          </w:tcPr>
          <w:p w:rsidR="002A6758" w:rsidRPr="00BA183C" w:rsidP="00CC5190" w14:paraId="5CD1A606" w14:textId="77777777">
            <w:pPr>
              <w:pStyle w:val="AmColumnHeading"/>
              <w:keepNext/>
            </w:pPr>
            <w:r w:rsidRPr="00BA183C">
              <w:t>Text proposed by the Commission</w:t>
            </w:r>
          </w:p>
        </w:tc>
        <w:tc>
          <w:tcPr>
            <w:tcW w:w="4876" w:type="dxa"/>
          </w:tcPr>
          <w:p w:rsidR="002A6758" w:rsidRPr="00BA183C" w:rsidP="00CC5190" w14:paraId="71DB0F24" w14:textId="77777777">
            <w:pPr>
              <w:pStyle w:val="AmColumnHeading"/>
              <w:keepNext/>
            </w:pPr>
            <w:r w:rsidRPr="00BA183C">
              <w:t>Modification</w:t>
            </w:r>
          </w:p>
        </w:tc>
      </w:tr>
      <w:tr w14:paraId="43A4AC27" w14:textId="77777777" w:rsidTr="00CC5190">
        <w:tblPrEx>
          <w:tblW w:w="9752" w:type="dxa"/>
          <w:jc w:val="center"/>
          <w:tblLayout w:type="fixed"/>
          <w:tblLook w:val="0000"/>
        </w:tblPrEx>
        <w:trPr>
          <w:jc w:val="center"/>
        </w:trPr>
        <w:tc>
          <w:tcPr>
            <w:tcW w:w="4876" w:type="dxa"/>
          </w:tcPr>
          <w:p w:rsidR="002A6758" w:rsidRPr="00BA183C" w:rsidP="00CC5190" w14:paraId="7907743B" w14:textId="77777777">
            <w:pPr>
              <w:pStyle w:val="Normal6a"/>
            </w:pPr>
            <w:r w:rsidRPr="00BA183C">
              <w:t xml:space="preserve"> </w:t>
            </w:r>
          </w:p>
        </w:tc>
        <w:tc>
          <w:tcPr>
            <w:tcW w:w="4876" w:type="dxa"/>
          </w:tcPr>
          <w:p w:rsidR="002A6758" w:rsidRPr="00BA183C" w:rsidP="00CC5190" w14:paraId="2E02FCB0" w14:textId="77777777">
            <w:pPr>
              <w:pStyle w:val="Normal6a"/>
              <w:rPr>
                <w:szCs w:val="24"/>
              </w:rPr>
            </w:pPr>
            <w:r w:rsidRPr="00BA183C">
              <w:t>(</w:t>
            </w:r>
            <w:r w:rsidRPr="00BA183C">
              <w:rPr>
                <w:b/>
                <w:bCs/>
                <w:i/>
                <w:iCs/>
              </w:rPr>
              <w:t>13a</w:t>
            </w:r>
            <w:r w:rsidRPr="00BA183C">
              <w:t>)</w:t>
            </w:r>
            <w:r w:rsidRPr="00BA183C">
              <w:tab/>
            </w:r>
            <w:r w:rsidRPr="00BA183C">
              <w:rPr>
                <w:b/>
                <w:bCs/>
                <w:i/>
                <w:iCs/>
              </w:rPr>
              <w:t xml:space="preserve">Given the uncertainty surrounding the future evolution of interest rates and </w:t>
            </w:r>
            <w:r w:rsidRPr="00BA183C">
              <w:rPr>
                <w:b/>
                <w:bCs/>
                <w:i/>
                <w:iCs/>
              </w:rPr>
              <w:t>in order to</w:t>
            </w:r>
            <w:r w:rsidRPr="00BA183C">
              <w:rPr>
                <w:b/>
                <w:bCs/>
                <w:i/>
                <w:iCs/>
              </w:rPr>
              <w:t xml:space="preserve"> avoid undue pressures on Union programmes, it is appropriate to establish a thematic special instrument, the EU Recovery Instrument (EURI), to cover the repayment of the principal and the funding costs relating to </w:t>
            </w:r>
            <w:r w:rsidRPr="00BA183C">
              <w:rPr>
                <w:b/>
                <w:bCs/>
                <w:i/>
                <w:iCs/>
              </w:rPr>
              <w:t>NextGenerationEU. The necessary commitment appropriations and corresponding payment appropriations in the Union budget should be made available over and above the ceilings of the MFF.</w:t>
            </w:r>
          </w:p>
        </w:tc>
      </w:tr>
    </w:tbl>
    <w:p w:rsidR="002A6758" w:rsidRPr="00BA183C" w:rsidP="002A6758" w14:paraId="1F6D2132" w14:textId="77777777"/>
    <w:p w:rsidR="002A6758" w:rsidRPr="00BA183C" w:rsidP="002A6758" w14:paraId="389F4A84" w14:textId="77777777">
      <w:pPr>
        <w:pStyle w:val="AmNumberTabs"/>
        <w:keepNext/>
      </w:pPr>
      <w:r w:rsidRPr="00BA183C">
        <w:t>Modification</w:t>
      </w:r>
      <w:r w:rsidRPr="00BA183C">
        <w:tab/>
      </w:r>
      <w:r w:rsidRPr="00BA183C">
        <w:tab/>
        <w:t>3</w:t>
      </w:r>
    </w:p>
    <w:p w:rsidR="002A6758" w:rsidRPr="00BA183C" w:rsidP="002A6758" w14:paraId="51FA6B24" w14:textId="77777777">
      <w:pPr>
        <w:pStyle w:val="NormalBold12b"/>
        <w:keepNext/>
      </w:pPr>
      <w:r w:rsidRPr="00BA183C">
        <w:t xml:space="preserve"> Proposal for a regulation</w:t>
      </w:r>
    </w:p>
    <w:p w:rsidR="002A6758" w:rsidRPr="00BA183C" w:rsidP="002A6758" w14:paraId="0EED1EF8" w14:textId="77777777">
      <w:pPr>
        <w:pStyle w:val="NormalBold"/>
        <w:rPr>
          <w:rStyle w:val="HideTWBExt"/>
          <w:b w:val="0"/>
          <w:noProof w:val="0"/>
        </w:rPr>
      </w:pPr>
      <w:r w:rsidRPr="00BA183C">
        <w:t xml:space="preserve"> Recital 14</w:t>
      </w:r>
    </w:p>
    <w:tbl>
      <w:tblPr>
        <w:tblW w:w="9752" w:type="dxa"/>
        <w:jc w:val="center"/>
        <w:tblLayout w:type="fixed"/>
        <w:tblCellMar>
          <w:left w:w="340" w:type="dxa"/>
          <w:right w:w="340" w:type="dxa"/>
        </w:tblCellMar>
        <w:tblLook w:val="0000"/>
      </w:tblPr>
      <w:tblGrid>
        <w:gridCol w:w="4876"/>
        <w:gridCol w:w="4876"/>
      </w:tblGrid>
      <w:tr w14:paraId="0E4653DC" w14:textId="77777777" w:rsidTr="00CC5190">
        <w:tblPrEx>
          <w:tblW w:w="9752" w:type="dxa"/>
          <w:jc w:val="center"/>
          <w:tblLayout w:type="fixed"/>
          <w:tblLook w:val="0000"/>
        </w:tblPrEx>
        <w:trPr>
          <w:jc w:val="center"/>
        </w:trPr>
        <w:tc>
          <w:tcPr>
            <w:tcW w:w="9752" w:type="dxa"/>
            <w:gridSpan w:val="2"/>
          </w:tcPr>
          <w:p w:rsidR="002A6758" w:rsidRPr="00BA183C" w:rsidP="00CC5190" w14:paraId="39C9D03C" w14:textId="77777777">
            <w:pPr>
              <w:keepNext/>
            </w:pPr>
          </w:p>
        </w:tc>
      </w:tr>
      <w:tr w14:paraId="472AE441" w14:textId="77777777" w:rsidTr="00CC5190">
        <w:tblPrEx>
          <w:tblW w:w="9752" w:type="dxa"/>
          <w:jc w:val="center"/>
          <w:tblLayout w:type="fixed"/>
          <w:tblLook w:val="0000"/>
        </w:tblPrEx>
        <w:trPr>
          <w:jc w:val="center"/>
        </w:trPr>
        <w:tc>
          <w:tcPr>
            <w:tcW w:w="4876" w:type="dxa"/>
          </w:tcPr>
          <w:p w:rsidR="002A6758" w:rsidRPr="00BA183C" w:rsidP="00CC5190" w14:paraId="3B0BCC08" w14:textId="77777777">
            <w:pPr>
              <w:pStyle w:val="AmColumnHeading"/>
              <w:keepNext/>
            </w:pPr>
            <w:r w:rsidRPr="00BA183C">
              <w:t>Text proposed by the Commission</w:t>
            </w:r>
          </w:p>
        </w:tc>
        <w:tc>
          <w:tcPr>
            <w:tcW w:w="4876" w:type="dxa"/>
          </w:tcPr>
          <w:p w:rsidR="002A6758" w:rsidRPr="00BA183C" w:rsidP="00CC5190" w14:paraId="4E9F0FB8" w14:textId="77777777">
            <w:pPr>
              <w:pStyle w:val="AmColumnHeading"/>
              <w:keepNext/>
            </w:pPr>
            <w:r w:rsidRPr="00BA183C">
              <w:t>Modification</w:t>
            </w:r>
          </w:p>
        </w:tc>
      </w:tr>
      <w:tr w14:paraId="13306E64" w14:textId="77777777" w:rsidTr="00CC5190">
        <w:tblPrEx>
          <w:tblW w:w="9752" w:type="dxa"/>
          <w:jc w:val="center"/>
          <w:tblLayout w:type="fixed"/>
          <w:tblLook w:val="0000"/>
        </w:tblPrEx>
        <w:trPr>
          <w:jc w:val="center"/>
        </w:trPr>
        <w:tc>
          <w:tcPr>
            <w:tcW w:w="4876" w:type="dxa"/>
          </w:tcPr>
          <w:p w:rsidR="002A6758" w:rsidRPr="00BA183C" w:rsidP="00CC5190" w14:paraId="5383665B" w14:textId="77777777">
            <w:pPr>
              <w:pStyle w:val="Normal6a"/>
            </w:pPr>
            <w:r w:rsidRPr="00BA183C">
              <w:rPr>
                <w:iCs/>
              </w:rPr>
              <w:t>(14)</w:t>
            </w:r>
            <w:r w:rsidRPr="00BA183C">
              <w:rPr>
                <w:iCs/>
              </w:rPr>
              <w:tab/>
              <w:t xml:space="preserve">The Flexibility Instrument should be available to allow the financing of specific unforeseen expenditure for a given financial year.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w:t>
            </w:r>
            <w:r w:rsidRPr="00BA183C">
              <w:rPr>
                <w:b/>
                <w:bCs/>
                <w:i/>
              </w:rPr>
              <w:t xml:space="preserve">and </w:t>
            </w:r>
            <w:r w:rsidRPr="00BA183C">
              <w:rPr>
                <w:iCs/>
              </w:rPr>
              <w:t>amounts equivalent to decommitments of appropriations, other than external assigned revenue, with the exclusion of amounts made available again in accordance with specific rules on making appropriations corresponding to decommitments available again.</w:t>
            </w:r>
          </w:p>
        </w:tc>
        <w:tc>
          <w:tcPr>
            <w:tcW w:w="4876" w:type="dxa"/>
          </w:tcPr>
          <w:p w:rsidR="002A6758" w:rsidRPr="00BA183C" w:rsidP="00CC5190" w14:paraId="72FA9B9B" w14:textId="77777777">
            <w:pPr>
              <w:pStyle w:val="AmColumnHeading"/>
              <w:keepNext/>
              <w:jc w:val="left"/>
            </w:pPr>
            <w:r w:rsidRPr="00BA183C">
              <w:rPr>
                <w:i w:val="0"/>
                <w:iCs/>
              </w:rPr>
              <w:t>(14)</w:t>
            </w:r>
            <w:r w:rsidRPr="00BA183C">
              <w:rPr>
                <w:i w:val="0"/>
                <w:iCs/>
              </w:rPr>
              <w:tab/>
              <w:t>The Flexibility Instrument should be available to allow the financing of specific unforeseen expenditure for a given financial year. The Flexibility Instrument should be constituted of a fixed amount, as well as of amounts equivalent to revenue collected pursuant to the implementation of Union policies, such as fines, other penalties, sanctions and any accrued interest or other income generated by them imposed by Union institutions, amounts equivalent to decommitments of appropriations, other than external assigned revenue, with the exclusion of amounts made available again in accordance with specific rules on making appropriations corresponding to decommitments available again</w:t>
            </w:r>
            <w:r w:rsidRPr="00BA183C">
              <w:rPr>
                <w:b/>
                <w:bCs/>
              </w:rPr>
              <w:t>, margins left available from previous years, the annual surplus as well as reflows from financial instruments without prejudice to programme-specific provisions. Where necessary and as a last resort, it should be possible, in the annual budget procedure, to increase the amount of the Flexibility Instrument by an amount that would be fully offset against the margin of commitment or payment appropriations in one or more MFF headings for the financial year in question or future financial years.</w:t>
            </w:r>
          </w:p>
        </w:tc>
      </w:tr>
    </w:tbl>
    <w:p w:rsidR="002A6758" w:rsidRPr="00BA183C" w:rsidP="002A6758" w14:paraId="4407A727" w14:textId="77777777">
      <w:pPr>
        <w:pStyle w:val="AmNumberTabs"/>
        <w:keepNext/>
      </w:pPr>
      <w:r w:rsidRPr="00BA183C">
        <w:t>Modification</w:t>
      </w:r>
      <w:r w:rsidRPr="00BA183C">
        <w:tab/>
      </w:r>
      <w:r w:rsidRPr="00BA183C">
        <w:tab/>
        <w:t>4</w:t>
      </w:r>
    </w:p>
    <w:p w:rsidR="002A6758" w:rsidRPr="00BA183C" w:rsidP="002A6758" w14:paraId="74A45F2D" w14:textId="77777777">
      <w:pPr>
        <w:pStyle w:val="NormalBold12b"/>
        <w:keepNext/>
      </w:pPr>
      <w:r w:rsidRPr="00BA183C">
        <w:t xml:space="preserve"> Proposal for a regulation</w:t>
      </w:r>
    </w:p>
    <w:p w:rsidR="002A6758" w:rsidRPr="00BA183C" w:rsidP="002A6758" w14:paraId="60E443A5" w14:textId="77777777">
      <w:r w:rsidRPr="00BA183C">
        <w:t xml:space="preserve"> Chapter 1 – Article 2 – paragraph 2</w:t>
      </w:r>
    </w:p>
    <w:tbl>
      <w:tblPr>
        <w:tblW w:w="9752" w:type="dxa"/>
        <w:jc w:val="center"/>
        <w:tblLayout w:type="fixed"/>
        <w:tblCellMar>
          <w:left w:w="340" w:type="dxa"/>
          <w:right w:w="340" w:type="dxa"/>
        </w:tblCellMar>
        <w:tblLook w:val="0000"/>
      </w:tblPr>
      <w:tblGrid>
        <w:gridCol w:w="4876"/>
        <w:gridCol w:w="4876"/>
      </w:tblGrid>
      <w:tr w14:paraId="265A9264" w14:textId="77777777" w:rsidTr="00CC5190">
        <w:tblPrEx>
          <w:tblW w:w="9752" w:type="dxa"/>
          <w:jc w:val="center"/>
          <w:tblLayout w:type="fixed"/>
          <w:tblLook w:val="0000"/>
        </w:tblPrEx>
        <w:trPr>
          <w:jc w:val="center"/>
        </w:trPr>
        <w:tc>
          <w:tcPr>
            <w:tcW w:w="9752" w:type="dxa"/>
            <w:gridSpan w:val="2"/>
          </w:tcPr>
          <w:p w:rsidR="002A6758" w:rsidRPr="00BA183C" w:rsidP="00CC5190" w14:paraId="30040C59" w14:textId="77777777">
            <w:pPr>
              <w:keepNext/>
            </w:pPr>
          </w:p>
        </w:tc>
      </w:tr>
      <w:tr w14:paraId="7D765949" w14:textId="77777777" w:rsidTr="00CC5190">
        <w:tblPrEx>
          <w:tblW w:w="9752" w:type="dxa"/>
          <w:jc w:val="center"/>
          <w:tblLayout w:type="fixed"/>
          <w:tblLook w:val="0000"/>
        </w:tblPrEx>
        <w:trPr>
          <w:jc w:val="center"/>
        </w:trPr>
        <w:tc>
          <w:tcPr>
            <w:tcW w:w="4876" w:type="dxa"/>
          </w:tcPr>
          <w:p w:rsidR="002A6758" w:rsidRPr="00BA183C" w:rsidP="00CC5190" w14:paraId="7BAEDAEB" w14:textId="77777777">
            <w:pPr>
              <w:pStyle w:val="AmColumnHeading"/>
              <w:keepNext/>
            </w:pPr>
            <w:r w:rsidRPr="00BA183C">
              <w:t>Text proposed by the Commission</w:t>
            </w:r>
          </w:p>
        </w:tc>
        <w:tc>
          <w:tcPr>
            <w:tcW w:w="4876" w:type="dxa"/>
          </w:tcPr>
          <w:p w:rsidR="002A6758" w:rsidRPr="00BA183C" w:rsidP="00CC5190" w14:paraId="7E116C58" w14:textId="77777777">
            <w:pPr>
              <w:pStyle w:val="AmColumnHeading"/>
              <w:keepNext/>
            </w:pPr>
            <w:r w:rsidRPr="00BA183C">
              <w:t>Modification</w:t>
            </w:r>
          </w:p>
        </w:tc>
      </w:tr>
      <w:tr w14:paraId="5A470BBA" w14:textId="77777777" w:rsidTr="00CC5190">
        <w:tblPrEx>
          <w:tblW w:w="9752" w:type="dxa"/>
          <w:jc w:val="center"/>
          <w:tblLayout w:type="fixed"/>
          <w:tblLook w:val="0000"/>
        </w:tblPrEx>
        <w:trPr>
          <w:jc w:val="center"/>
        </w:trPr>
        <w:tc>
          <w:tcPr>
            <w:tcW w:w="4876" w:type="dxa"/>
          </w:tcPr>
          <w:p w:rsidR="002A6758" w:rsidRPr="00BA183C" w:rsidP="00CC5190" w14:paraId="404C4652" w14:textId="77777777">
            <w:pPr>
              <w:pStyle w:val="Normal6"/>
              <w:rPr>
                <w:lang w:val="en-GB"/>
              </w:rPr>
            </w:pPr>
            <w:r w:rsidRPr="00BA183C">
              <w:rPr>
                <w:lang w:val="en-GB"/>
              </w:rPr>
              <w:t>2.</w:t>
            </w:r>
            <w:r w:rsidRPr="00BA183C">
              <w:rPr>
                <w:lang w:val="en-GB"/>
              </w:rPr>
              <w:tab/>
              <w:t xml:space="preserve">Where it is necessary to use the resources from the special instruments provided for in Articles 6 </w:t>
            </w:r>
            <w:r w:rsidRPr="00BA183C">
              <w:rPr>
                <w:b/>
                <w:bCs/>
                <w:i/>
                <w:iCs/>
                <w:lang w:val="en-GB"/>
              </w:rPr>
              <w:t>and</w:t>
            </w:r>
            <w:r w:rsidRPr="00BA183C">
              <w:rPr>
                <w:lang w:val="en-GB"/>
              </w:rPr>
              <w:t xml:space="preserve"> 8, commitment and corresponding payment appropriations shall be entered in the budget over and above the relevant MFF ceilings.</w:t>
            </w:r>
          </w:p>
          <w:p w:rsidR="002A6758" w:rsidRPr="00BA183C" w:rsidP="00CC5190" w14:paraId="49329AEB" w14:textId="77777777">
            <w:pPr>
              <w:pStyle w:val="Normal6"/>
              <w:rPr>
                <w:lang w:val="en-GB"/>
              </w:rPr>
            </w:pPr>
          </w:p>
        </w:tc>
        <w:tc>
          <w:tcPr>
            <w:tcW w:w="4876" w:type="dxa"/>
          </w:tcPr>
          <w:p w:rsidR="002A6758" w:rsidRPr="00BA183C" w:rsidP="00CC5190" w14:paraId="356E0F20" w14:textId="77777777">
            <w:pPr>
              <w:pStyle w:val="Normal6"/>
              <w:rPr>
                <w:lang w:val="en-GB"/>
              </w:rPr>
            </w:pPr>
            <w:r w:rsidRPr="00BA183C">
              <w:rPr>
                <w:lang w:val="en-GB"/>
              </w:rPr>
              <w:t>2.</w:t>
            </w:r>
            <w:r w:rsidRPr="00BA183C">
              <w:rPr>
                <w:lang w:val="en-GB"/>
              </w:rPr>
              <w:tab/>
              <w:t xml:space="preserve">Where it is necessary to use the resources from the special instruments provided for in Articles </w:t>
            </w:r>
            <w:r w:rsidRPr="00BA183C">
              <w:rPr>
                <w:b/>
                <w:bCs/>
                <w:i/>
                <w:iCs/>
                <w:lang w:val="en-GB"/>
              </w:rPr>
              <w:t xml:space="preserve">5a, </w:t>
            </w:r>
            <w:r w:rsidRPr="00BA183C">
              <w:rPr>
                <w:lang w:val="en-GB"/>
              </w:rPr>
              <w:t>6</w:t>
            </w:r>
            <w:r w:rsidRPr="00BA183C">
              <w:rPr>
                <w:b/>
                <w:bCs/>
                <w:i/>
                <w:iCs/>
                <w:lang w:val="en-GB"/>
              </w:rPr>
              <w:t>,</w:t>
            </w:r>
            <w:r w:rsidRPr="00BA183C">
              <w:rPr>
                <w:lang w:val="en-GB"/>
              </w:rPr>
              <w:t xml:space="preserve"> 8 </w:t>
            </w:r>
            <w:r w:rsidRPr="00BA183C">
              <w:rPr>
                <w:b/>
                <w:bCs/>
                <w:i/>
                <w:iCs/>
                <w:lang w:val="en-GB"/>
              </w:rPr>
              <w:t>and</w:t>
            </w:r>
            <w:r w:rsidRPr="00BA183C">
              <w:rPr>
                <w:lang w:val="en-GB"/>
              </w:rPr>
              <w:t xml:space="preserve"> </w:t>
            </w:r>
            <w:r w:rsidRPr="00BA183C">
              <w:rPr>
                <w:b/>
                <w:bCs/>
                <w:i/>
                <w:iCs/>
                <w:lang w:val="en-GB"/>
              </w:rPr>
              <w:t>8a</w:t>
            </w:r>
            <w:r w:rsidRPr="00BA183C">
              <w:rPr>
                <w:lang w:val="en-GB"/>
              </w:rPr>
              <w:t>, commitment and corresponding payment appropriations shall be entered in the budget over and above the relevant MFF ceilings.</w:t>
            </w:r>
          </w:p>
        </w:tc>
      </w:tr>
      <w:tr w14:paraId="32156B88" w14:textId="77777777" w:rsidTr="00CC5190">
        <w:tblPrEx>
          <w:tblW w:w="9752" w:type="dxa"/>
          <w:jc w:val="center"/>
          <w:tblLayout w:type="fixed"/>
          <w:tblLook w:val="0000"/>
        </w:tblPrEx>
        <w:trPr>
          <w:jc w:val="center"/>
        </w:trPr>
        <w:tc>
          <w:tcPr>
            <w:tcW w:w="4876" w:type="dxa"/>
          </w:tcPr>
          <w:p w:rsidR="002A6758" w:rsidRPr="00BA183C" w:rsidP="00CC5190" w14:paraId="7299B4E3" w14:textId="77777777">
            <w:pPr>
              <w:pStyle w:val="Normal6a"/>
              <w:rPr>
                <w:b/>
                <w:bCs/>
                <w:i/>
              </w:rPr>
            </w:pPr>
            <w:r w:rsidRPr="00BA183C">
              <w:rPr>
                <w:b/>
                <w:bCs/>
                <w:i/>
              </w:rPr>
              <w:t>Where it is necessary to use the resources from the Single Margin Instrument as laid down in Article 7, commitment and corresponding payment appropriations shall be entered in the budget over and above the relevant MFF ceilings for a given year.</w:t>
            </w:r>
          </w:p>
        </w:tc>
        <w:tc>
          <w:tcPr>
            <w:tcW w:w="4876" w:type="dxa"/>
          </w:tcPr>
          <w:p w:rsidR="002A6758" w:rsidRPr="00BA183C" w:rsidP="00CC5190" w14:paraId="0DBD4BE6" w14:textId="77777777">
            <w:pPr>
              <w:pStyle w:val="ManualNumPar1"/>
              <w:ind w:left="0" w:firstLine="0"/>
            </w:pPr>
          </w:p>
        </w:tc>
      </w:tr>
    </w:tbl>
    <w:p w:rsidR="002A6758" w:rsidRPr="00BA183C" w:rsidP="002A6758" w14:paraId="7ACB03FD" w14:textId="77777777"/>
    <w:p w:rsidR="002A6758" w:rsidRPr="00BA183C" w:rsidP="002A6758" w14:paraId="5964FAF8" w14:textId="77777777">
      <w:pPr>
        <w:pStyle w:val="AmNumberTabs"/>
        <w:keepNext/>
      </w:pPr>
      <w:r w:rsidRPr="00BA183C">
        <w:t>Modification</w:t>
      </w:r>
      <w:r w:rsidRPr="00BA183C">
        <w:tab/>
      </w:r>
      <w:r w:rsidRPr="00BA183C">
        <w:tab/>
        <w:t>5</w:t>
      </w:r>
    </w:p>
    <w:p w:rsidR="002A6758" w:rsidRPr="00BA183C" w:rsidP="002A6758" w14:paraId="11FCD1E4" w14:textId="77777777">
      <w:pPr>
        <w:pStyle w:val="NormalBold12b"/>
        <w:keepNext/>
      </w:pPr>
      <w:r w:rsidRPr="00BA183C">
        <w:t xml:space="preserve"> Proposal for a regulation</w:t>
      </w:r>
    </w:p>
    <w:p w:rsidR="002A6758" w:rsidRPr="00BA183C" w:rsidP="002A6758" w14:paraId="2B0CCA7B" w14:textId="77777777">
      <w:r w:rsidRPr="00BA183C">
        <w:t xml:space="preserve"> Chapter 2 – Article 3 a (new)</w:t>
      </w:r>
    </w:p>
    <w:tbl>
      <w:tblPr>
        <w:tblW w:w="9752" w:type="dxa"/>
        <w:jc w:val="center"/>
        <w:tblLayout w:type="fixed"/>
        <w:tblCellMar>
          <w:left w:w="340" w:type="dxa"/>
          <w:right w:w="340" w:type="dxa"/>
        </w:tblCellMar>
        <w:tblLook w:val="0000"/>
      </w:tblPr>
      <w:tblGrid>
        <w:gridCol w:w="4876"/>
        <w:gridCol w:w="4876"/>
      </w:tblGrid>
      <w:tr w14:paraId="0D243652" w14:textId="77777777" w:rsidTr="00CC5190">
        <w:tblPrEx>
          <w:tblW w:w="9752" w:type="dxa"/>
          <w:jc w:val="center"/>
          <w:tblLayout w:type="fixed"/>
          <w:tblLook w:val="0000"/>
        </w:tblPrEx>
        <w:trPr>
          <w:jc w:val="center"/>
        </w:trPr>
        <w:tc>
          <w:tcPr>
            <w:tcW w:w="9752" w:type="dxa"/>
            <w:gridSpan w:val="2"/>
          </w:tcPr>
          <w:p w:rsidR="002A6758" w:rsidRPr="00BA183C" w:rsidP="00CC5190" w14:paraId="24C0A26F" w14:textId="77777777">
            <w:pPr>
              <w:keepNext/>
            </w:pPr>
          </w:p>
        </w:tc>
      </w:tr>
      <w:tr w14:paraId="7E20943E" w14:textId="77777777" w:rsidTr="00CC5190">
        <w:tblPrEx>
          <w:tblW w:w="9752" w:type="dxa"/>
          <w:jc w:val="center"/>
          <w:tblLayout w:type="fixed"/>
          <w:tblLook w:val="0000"/>
        </w:tblPrEx>
        <w:trPr>
          <w:jc w:val="center"/>
        </w:trPr>
        <w:tc>
          <w:tcPr>
            <w:tcW w:w="4876" w:type="dxa"/>
          </w:tcPr>
          <w:p w:rsidR="002A6758" w:rsidRPr="00BA183C" w:rsidP="00CC5190" w14:paraId="4144B1E5" w14:textId="77777777">
            <w:pPr>
              <w:pStyle w:val="AmColumnHeading"/>
              <w:keepNext/>
            </w:pPr>
            <w:r w:rsidRPr="00BA183C">
              <w:t>Text proposed by the Commission</w:t>
            </w:r>
          </w:p>
        </w:tc>
        <w:tc>
          <w:tcPr>
            <w:tcW w:w="4876" w:type="dxa"/>
          </w:tcPr>
          <w:p w:rsidR="002A6758" w:rsidRPr="00BA183C" w:rsidP="00CC5190" w14:paraId="03696A53" w14:textId="77777777">
            <w:pPr>
              <w:pStyle w:val="AmColumnHeading"/>
              <w:keepNext/>
            </w:pPr>
            <w:r w:rsidRPr="00BA183C">
              <w:t>Modification</w:t>
            </w:r>
          </w:p>
        </w:tc>
      </w:tr>
      <w:tr w14:paraId="5EAE8FDF" w14:textId="77777777" w:rsidTr="00CC5190">
        <w:tblPrEx>
          <w:tblW w:w="9752" w:type="dxa"/>
          <w:jc w:val="center"/>
          <w:tblLayout w:type="fixed"/>
          <w:tblLook w:val="0000"/>
        </w:tblPrEx>
        <w:trPr>
          <w:jc w:val="center"/>
        </w:trPr>
        <w:tc>
          <w:tcPr>
            <w:tcW w:w="4876" w:type="dxa"/>
          </w:tcPr>
          <w:p w:rsidR="002A6758" w:rsidRPr="00BA183C" w:rsidP="00CC5190" w14:paraId="42E4012A" w14:textId="77777777">
            <w:pPr>
              <w:pStyle w:val="Normal6a"/>
            </w:pPr>
          </w:p>
        </w:tc>
        <w:tc>
          <w:tcPr>
            <w:tcW w:w="4876" w:type="dxa"/>
          </w:tcPr>
          <w:p w:rsidR="002A6758" w:rsidRPr="00BA183C" w:rsidP="00CC5190" w14:paraId="400D7ECD" w14:textId="77777777">
            <w:pPr>
              <w:pStyle w:val="Normal6a"/>
              <w:jc w:val="center"/>
              <w:rPr>
                <w:b/>
                <w:bCs/>
                <w:i/>
                <w:iCs/>
              </w:rPr>
            </w:pPr>
            <w:r w:rsidRPr="00BA183C">
              <w:rPr>
                <w:b/>
                <w:bCs/>
                <w:i/>
                <w:iCs/>
              </w:rPr>
              <w:t>Article 3a</w:t>
            </w:r>
          </w:p>
          <w:p w:rsidR="002A6758" w:rsidRPr="00BA183C" w:rsidP="00CC5190" w14:paraId="60C65071" w14:textId="77777777">
            <w:pPr>
              <w:pStyle w:val="Normal6a"/>
              <w:jc w:val="center"/>
              <w:rPr>
                <w:b/>
                <w:bCs/>
                <w:i/>
                <w:iCs/>
              </w:rPr>
            </w:pPr>
            <w:r w:rsidRPr="00BA183C">
              <w:rPr>
                <w:b/>
                <w:bCs/>
                <w:i/>
                <w:iCs/>
              </w:rPr>
              <w:t>Global margin for payments</w:t>
            </w:r>
          </w:p>
          <w:p w:rsidR="002A6758" w:rsidRPr="00BA183C" w:rsidP="00CC5190" w14:paraId="3308F451" w14:textId="77777777">
            <w:pPr>
              <w:pStyle w:val="Normal6a"/>
              <w:jc w:val="both"/>
              <w:rPr>
                <w:b/>
                <w:bCs/>
                <w:i/>
                <w:iCs/>
              </w:rPr>
            </w:pPr>
            <w:r w:rsidRPr="00BA183C">
              <w:rPr>
                <w:b/>
                <w:bCs/>
                <w:i/>
                <w:iCs/>
              </w:rPr>
              <w:t>1.</w:t>
            </w:r>
            <w:r w:rsidRPr="00BA183C">
              <w:rPr>
                <w:b/>
                <w:bCs/>
                <w:i/>
                <w:iCs/>
              </w:rPr>
              <w:tab/>
              <w:t>Every year, starting in 2029, as part of the technical adjustment referred to in Article 4, the Commission shall adjust the payment ceiling for the years 2029 to 2034 upwards by an amount equivalent to the difference between the executed payments and the MFF payment ceiling of year n-1.</w:t>
            </w:r>
          </w:p>
          <w:p w:rsidR="002A6758" w:rsidRPr="00BA183C" w:rsidP="00CC5190" w14:paraId="7991852A" w14:textId="77777777">
            <w:pPr>
              <w:pStyle w:val="Normal6a"/>
              <w:rPr>
                <w:iCs/>
              </w:rPr>
            </w:pPr>
            <w:r w:rsidRPr="00BA183C">
              <w:rPr>
                <w:b/>
                <w:bCs/>
                <w:i/>
                <w:iCs/>
              </w:rPr>
              <w:t>2.</w:t>
            </w:r>
            <w:r w:rsidRPr="00BA183C">
              <w:rPr>
                <w:b/>
                <w:bCs/>
                <w:i/>
                <w:iCs/>
              </w:rPr>
              <w:tab/>
              <w:t>Any adjustment made pursuant to paragraph 1 shall be fully offset by a corresponding reduction of the payment ceiling for year n-1.</w:t>
            </w:r>
          </w:p>
        </w:tc>
      </w:tr>
    </w:tbl>
    <w:p w:rsidR="002A6758" w:rsidRPr="00BA183C" w:rsidP="002A6758" w14:paraId="69D24257" w14:textId="77777777"/>
    <w:p w:rsidR="002A6758" w:rsidRPr="00BA183C" w:rsidP="002A6758" w14:paraId="4247E5C3" w14:textId="77777777">
      <w:pPr>
        <w:pStyle w:val="AmNumberTabs"/>
        <w:keepNext/>
      </w:pPr>
      <w:r w:rsidRPr="00BA183C">
        <w:t>Modification</w:t>
      </w:r>
      <w:r w:rsidRPr="00BA183C">
        <w:tab/>
      </w:r>
      <w:r w:rsidRPr="00BA183C">
        <w:tab/>
        <w:t>6</w:t>
      </w:r>
    </w:p>
    <w:p w:rsidR="002A6758" w:rsidRPr="00BA183C" w:rsidP="002A6758" w14:paraId="5B4641BB" w14:textId="77777777">
      <w:pPr>
        <w:pStyle w:val="NormalBold12b"/>
        <w:keepNext/>
      </w:pPr>
      <w:r w:rsidRPr="00BA183C">
        <w:t xml:space="preserve"> Proposal for a regulation</w:t>
      </w:r>
    </w:p>
    <w:p w:rsidR="002A6758" w:rsidRPr="00BA183C" w:rsidP="002A6758" w14:paraId="31547F3F" w14:textId="77777777">
      <w:r w:rsidRPr="00BA183C">
        <w:t xml:space="preserve"> Chapter 2 – Article 4 – paragraph 1 </w:t>
      </w:r>
    </w:p>
    <w:tbl>
      <w:tblPr>
        <w:tblW w:w="9752" w:type="dxa"/>
        <w:jc w:val="center"/>
        <w:tblLayout w:type="fixed"/>
        <w:tblCellMar>
          <w:left w:w="340" w:type="dxa"/>
          <w:right w:w="340" w:type="dxa"/>
        </w:tblCellMar>
        <w:tblLook w:val="0000"/>
      </w:tblPr>
      <w:tblGrid>
        <w:gridCol w:w="4876"/>
        <w:gridCol w:w="4876"/>
      </w:tblGrid>
      <w:tr w14:paraId="1E1658BB" w14:textId="77777777" w:rsidTr="00CC5190">
        <w:tblPrEx>
          <w:tblW w:w="9752" w:type="dxa"/>
          <w:jc w:val="center"/>
          <w:tblLayout w:type="fixed"/>
          <w:tblLook w:val="0000"/>
        </w:tblPrEx>
        <w:trPr>
          <w:jc w:val="center"/>
        </w:trPr>
        <w:tc>
          <w:tcPr>
            <w:tcW w:w="9752" w:type="dxa"/>
            <w:gridSpan w:val="2"/>
          </w:tcPr>
          <w:p w:rsidR="002A6758" w:rsidRPr="00BA183C" w:rsidP="00CC5190" w14:paraId="11A26556" w14:textId="77777777">
            <w:pPr>
              <w:keepNext/>
            </w:pPr>
          </w:p>
        </w:tc>
      </w:tr>
      <w:tr w14:paraId="7DF78038" w14:textId="77777777" w:rsidTr="00CC5190">
        <w:tblPrEx>
          <w:tblW w:w="9752" w:type="dxa"/>
          <w:jc w:val="center"/>
          <w:tblLayout w:type="fixed"/>
          <w:tblLook w:val="0000"/>
        </w:tblPrEx>
        <w:trPr>
          <w:jc w:val="center"/>
        </w:trPr>
        <w:tc>
          <w:tcPr>
            <w:tcW w:w="4876" w:type="dxa"/>
          </w:tcPr>
          <w:p w:rsidR="002A6758" w:rsidRPr="00BA183C" w:rsidP="00CC5190" w14:paraId="5A56B228" w14:textId="77777777">
            <w:pPr>
              <w:pStyle w:val="AmColumnHeading"/>
              <w:keepNext/>
            </w:pPr>
            <w:r w:rsidRPr="00BA183C">
              <w:t>Text proposed by the Commission</w:t>
            </w:r>
          </w:p>
        </w:tc>
        <w:tc>
          <w:tcPr>
            <w:tcW w:w="4876" w:type="dxa"/>
          </w:tcPr>
          <w:p w:rsidR="002A6758" w:rsidRPr="00BA183C" w:rsidP="00CC5190" w14:paraId="4AFD9986" w14:textId="77777777">
            <w:pPr>
              <w:pStyle w:val="AmColumnHeading"/>
              <w:keepNext/>
            </w:pPr>
            <w:r w:rsidRPr="00BA183C">
              <w:t>Modification</w:t>
            </w:r>
          </w:p>
        </w:tc>
      </w:tr>
      <w:tr w14:paraId="3C49AC05" w14:textId="77777777" w:rsidTr="00CC5190">
        <w:tblPrEx>
          <w:tblW w:w="9752" w:type="dxa"/>
          <w:jc w:val="center"/>
          <w:tblLayout w:type="fixed"/>
          <w:tblLook w:val="0000"/>
        </w:tblPrEx>
        <w:trPr>
          <w:jc w:val="center"/>
        </w:trPr>
        <w:tc>
          <w:tcPr>
            <w:tcW w:w="4876" w:type="dxa"/>
          </w:tcPr>
          <w:p w:rsidR="002A6758" w:rsidRPr="00BA183C" w:rsidP="00CC5190" w14:paraId="1AFEDCAE" w14:textId="77777777">
            <w:pPr>
              <w:pStyle w:val="Normal6a"/>
            </w:pPr>
            <w:r w:rsidRPr="00BA183C">
              <w:rPr>
                <w:b/>
                <w:bCs/>
                <w:i/>
                <w:iCs/>
              </w:rPr>
              <w:t xml:space="preserve">(c) </w:t>
            </w:r>
            <w:r w:rsidRPr="00BA183C">
              <w:rPr>
                <w:b/>
                <w:bCs/>
                <w:i/>
                <w:iCs/>
              </w:rPr>
              <w:tab/>
              <w:t>a calculation of the Global Margin for Commitments as referred to in Article 7(1), point (a);</w:t>
            </w:r>
          </w:p>
        </w:tc>
        <w:tc>
          <w:tcPr>
            <w:tcW w:w="4876" w:type="dxa"/>
          </w:tcPr>
          <w:p w:rsidR="002A6758" w:rsidRPr="00BA183C" w:rsidP="00CC5190" w14:paraId="3E64CE43" w14:textId="77777777">
            <w:pPr>
              <w:pStyle w:val="Normal6a"/>
              <w:rPr>
                <w:iCs/>
              </w:rPr>
            </w:pPr>
            <w:r w:rsidRPr="00BA183C">
              <w:rPr>
                <w:b/>
                <w:bCs/>
                <w:i/>
                <w:iCs/>
              </w:rPr>
              <w:t>deleted</w:t>
            </w:r>
          </w:p>
        </w:tc>
      </w:tr>
    </w:tbl>
    <w:p w:rsidR="002A6758" w:rsidRPr="00BA183C" w:rsidP="002A6758" w14:paraId="715900D3" w14:textId="77777777"/>
    <w:p w:rsidR="002A6758" w:rsidRPr="00BA183C" w:rsidP="002A6758" w14:paraId="7E8183A7" w14:textId="77777777"/>
    <w:p w:rsidR="002A6758" w:rsidRPr="00BA183C" w:rsidP="002A6758" w14:paraId="49A4982D" w14:textId="77777777">
      <w:pPr>
        <w:pStyle w:val="AmNumberTabs"/>
        <w:keepNext/>
      </w:pPr>
      <w:r w:rsidRPr="00BA183C">
        <w:t>Modification</w:t>
      </w:r>
      <w:r w:rsidRPr="00BA183C">
        <w:tab/>
      </w:r>
      <w:r w:rsidRPr="00BA183C">
        <w:tab/>
        <w:t>7</w:t>
      </w:r>
    </w:p>
    <w:p w:rsidR="002A6758" w:rsidRPr="00BA183C" w:rsidP="002A6758" w14:paraId="4A6ECF96" w14:textId="77777777">
      <w:pPr>
        <w:pStyle w:val="NormalBold12b"/>
        <w:keepNext/>
      </w:pPr>
      <w:r w:rsidRPr="00BA183C">
        <w:t xml:space="preserve"> Proposal for a regulation</w:t>
      </w:r>
    </w:p>
    <w:p w:rsidR="002A6758" w:rsidRPr="00BA183C" w:rsidP="002A6758" w14:paraId="181E9426" w14:textId="77777777">
      <w:r w:rsidRPr="00BA183C">
        <w:t xml:space="preserve"> Chapter 2 – Article 4 – paragraph 1 </w:t>
      </w:r>
    </w:p>
    <w:tbl>
      <w:tblPr>
        <w:tblW w:w="9752" w:type="dxa"/>
        <w:jc w:val="center"/>
        <w:tblLayout w:type="fixed"/>
        <w:tblCellMar>
          <w:left w:w="340" w:type="dxa"/>
          <w:right w:w="340" w:type="dxa"/>
        </w:tblCellMar>
        <w:tblLook w:val="0000"/>
      </w:tblPr>
      <w:tblGrid>
        <w:gridCol w:w="4876"/>
        <w:gridCol w:w="4876"/>
      </w:tblGrid>
      <w:tr w14:paraId="1A2A4AEB" w14:textId="77777777" w:rsidTr="00CC5190">
        <w:tblPrEx>
          <w:tblW w:w="9752" w:type="dxa"/>
          <w:jc w:val="center"/>
          <w:tblLayout w:type="fixed"/>
          <w:tblLook w:val="0000"/>
        </w:tblPrEx>
        <w:trPr>
          <w:jc w:val="center"/>
        </w:trPr>
        <w:tc>
          <w:tcPr>
            <w:tcW w:w="9752" w:type="dxa"/>
            <w:gridSpan w:val="2"/>
          </w:tcPr>
          <w:p w:rsidR="002A6758" w:rsidRPr="00BA183C" w:rsidP="00CC5190" w14:paraId="6826236F" w14:textId="77777777">
            <w:pPr>
              <w:keepNext/>
            </w:pPr>
          </w:p>
        </w:tc>
      </w:tr>
      <w:tr w14:paraId="0A165BB3" w14:textId="77777777" w:rsidTr="00CC5190">
        <w:tblPrEx>
          <w:tblW w:w="9752" w:type="dxa"/>
          <w:jc w:val="center"/>
          <w:tblLayout w:type="fixed"/>
          <w:tblLook w:val="0000"/>
        </w:tblPrEx>
        <w:trPr>
          <w:jc w:val="center"/>
        </w:trPr>
        <w:tc>
          <w:tcPr>
            <w:tcW w:w="4876" w:type="dxa"/>
          </w:tcPr>
          <w:p w:rsidR="002A6758" w:rsidRPr="00BA183C" w:rsidP="00CC5190" w14:paraId="6388DAEE" w14:textId="77777777">
            <w:pPr>
              <w:pStyle w:val="AmColumnHeading"/>
              <w:keepNext/>
            </w:pPr>
            <w:r w:rsidRPr="00BA183C">
              <w:t>Text proposed by the Commission</w:t>
            </w:r>
          </w:p>
        </w:tc>
        <w:tc>
          <w:tcPr>
            <w:tcW w:w="4876" w:type="dxa"/>
          </w:tcPr>
          <w:p w:rsidR="002A6758" w:rsidRPr="00BA183C" w:rsidP="00CC5190" w14:paraId="1443DA32" w14:textId="77777777">
            <w:pPr>
              <w:pStyle w:val="AmColumnHeading"/>
              <w:keepNext/>
            </w:pPr>
            <w:r w:rsidRPr="00BA183C">
              <w:t>Modification</w:t>
            </w:r>
          </w:p>
        </w:tc>
      </w:tr>
      <w:tr w14:paraId="7908184F" w14:textId="77777777" w:rsidTr="00CC5190">
        <w:tblPrEx>
          <w:tblW w:w="9752" w:type="dxa"/>
          <w:jc w:val="center"/>
          <w:tblLayout w:type="fixed"/>
          <w:tblLook w:val="0000"/>
        </w:tblPrEx>
        <w:trPr>
          <w:jc w:val="center"/>
        </w:trPr>
        <w:tc>
          <w:tcPr>
            <w:tcW w:w="4876" w:type="dxa"/>
          </w:tcPr>
          <w:p w:rsidR="002A6758" w:rsidRPr="00BA183C" w:rsidP="00CC5190" w14:paraId="16C8A9F6" w14:textId="77777777">
            <w:pPr>
              <w:pStyle w:val="Normal6a"/>
            </w:pPr>
            <w:r w:rsidRPr="00BA183C">
              <w:t>(d)</w:t>
            </w:r>
            <w:r w:rsidRPr="00BA183C">
              <w:tab/>
              <w:t xml:space="preserve">a calculation of the adjustment of the ceiling for payment appropriations under the Global Margin for Payments as referred to in Article </w:t>
            </w:r>
            <w:r w:rsidRPr="00BA183C">
              <w:rPr>
                <w:b/>
                <w:bCs/>
                <w:i/>
                <w:iCs/>
              </w:rPr>
              <w:t>7(1), point (b);</w:t>
            </w:r>
          </w:p>
        </w:tc>
        <w:tc>
          <w:tcPr>
            <w:tcW w:w="4876" w:type="dxa"/>
          </w:tcPr>
          <w:p w:rsidR="002A6758" w:rsidRPr="00BA183C" w:rsidP="00CC5190" w14:paraId="2B2D043B" w14:textId="77777777">
            <w:pPr>
              <w:pStyle w:val="Normal6a"/>
              <w:rPr>
                <w:iCs/>
              </w:rPr>
            </w:pPr>
            <w:r w:rsidRPr="00BA183C">
              <w:rPr>
                <w:iCs/>
              </w:rPr>
              <w:t>(d)</w:t>
            </w:r>
            <w:r w:rsidRPr="00BA183C">
              <w:rPr>
                <w:iCs/>
              </w:rPr>
              <w:tab/>
              <w:t>a calculation of the adjustment of the ceiling for payment appropriations under the Global Margin for Payments as referred to in</w:t>
            </w:r>
            <w:r w:rsidRPr="00BA183C">
              <w:rPr>
                <w:b/>
                <w:bCs/>
              </w:rPr>
              <w:t xml:space="preserve"> </w:t>
            </w:r>
            <w:r w:rsidRPr="00BA183C">
              <w:t>Article</w:t>
            </w:r>
            <w:r w:rsidRPr="00BA183C">
              <w:rPr>
                <w:b/>
                <w:bCs/>
                <w:i/>
                <w:iCs/>
              </w:rPr>
              <w:t xml:space="preserve"> 3a;</w:t>
            </w:r>
          </w:p>
        </w:tc>
      </w:tr>
    </w:tbl>
    <w:p w:rsidR="002A6758" w:rsidRPr="00BA183C" w:rsidP="002A6758" w14:paraId="4699767A" w14:textId="77777777">
      <w:pPr>
        <w:rPr>
          <w:rStyle w:val="HideTWBExt"/>
          <w:rFonts w:ascii="Times New Roman" w:hAnsi="Times New Roman"/>
          <w:noProof w:val="0"/>
          <w:vanish w:val="0"/>
          <w:color w:val="auto"/>
          <w:sz w:val="24"/>
        </w:rPr>
      </w:pPr>
    </w:p>
    <w:p w:rsidR="002A6758" w:rsidRPr="00BA183C" w:rsidP="002A6758" w14:paraId="0862EFD4" w14:textId="77777777">
      <w:pPr>
        <w:pStyle w:val="AmNumberTabs"/>
        <w:keepNext/>
      </w:pPr>
      <w:r w:rsidRPr="00BA183C">
        <w:t>Modification</w:t>
      </w:r>
      <w:r w:rsidRPr="00BA183C">
        <w:tab/>
      </w:r>
      <w:r w:rsidRPr="00BA183C">
        <w:tab/>
        <w:t>8</w:t>
      </w:r>
    </w:p>
    <w:p w:rsidR="002A6758" w:rsidRPr="00BA183C" w:rsidP="002A6758" w14:paraId="569752C2" w14:textId="77777777">
      <w:pPr>
        <w:pStyle w:val="NormalBold12b"/>
        <w:keepNext/>
      </w:pPr>
      <w:r w:rsidRPr="00BA183C">
        <w:t xml:space="preserve"> Proposal for a regulation</w:t>
      </w:r>
    </w:p>
    <w:p w:rsidR="002A6758" w:rsidRPr="00BA183C" w:rsidP="002A6758" w14:paraId="064EC5E8" w14:textId="77777777">
      <w:r w:rsidRPr="00BA183C">
        <w:t xml:space="preserve"> Chapter 2 – Article 4 – paragraph 1</w:t>
      </w:r>
    </w:p>
    <w:tbl>
      <w:tblPr>
        <w:tblW w:w="9752" w:type="dxa"/>
        <w:jc w:val="center"/>
        <w:tblLayout w:type="fixed"/>
        <w:tblCellMar>
          <w:left w:w="340" w:type="dxa"/>
          <w:right w:w="340" w:type="dxa"/>
        </w:tblCellMar>
        <w:tblLook w:val="0000"/>
      </w:tblPr>
      <w:tblGrid>
        <w:gridCol w:w="4876"/>
        <w:gridCol w:w="4876"/>
      </w:tblGrid>
      <w:tr w14:paraId="1AE088BB" w14:textId="77777777" w:rsidTr="00CC5190">
        <w:tblPrEx>
          <w:tblW w:w="9752" w:type="dxa"/>
          <w:jc w:val="center"/>
          <w:tblLayout w:type="fixed"/>
          <w:tblLook w:val="0000"/>
        </w:tblPrEx>
        <w:trPr>
          <w:jc w:val="center"/>
        </w:trPr>
        <w:tc>
          <w:tcPr>
            <w:tcW w:w="9752" w:type="dxa"/>
            <w:gridSpan w:val="2"/>
          </w:tcPr>
          <w:p w:rsidR="002A6758" w:rsidRPr="00BA183C" w:rsidP="00CC5190" w14:paraId="170AF833" w14:textId="77777777">
            <w:pPr>
              <w:keepNext/>
            </w:pPr>
          </w:p>
        </w:tc>
      </w:tr>
      <w:tr w14:paraId="51429688" w14:textId="77777777" w:rsidTr="00CC5190">
        <w:tblPrEx>
          <w:tblW w:w="9752" w:type="dxa"/>
          <w:jc w:val="center"/>
          <w:tblLayout w:type="fixed"/>
          <w:tblLook w:val="0000"/>
        </w:tblPrEx>
        <w:trPr>
          <w:jc w:val="center"/>
        </w:trPr>
        <w:tc>
          <w:tcPr>
            <w:tcW w:w="4876" w:type="dxa"/>
          </w:tcPr>
          <w:p w:rsidR="002A6758" w:rsidRPr="00BA183C" w:rsidP="00CC5190" w14:paraId="32EA3D5C" w14:textId="77777777">
            <w:pPr>
              <w:pStyle w:val="AmColumnHeading"/>
              <w:keepNext/>
            </w:pPr>
            <w:r w:rsidRPr="00BA183C">
              <w:t>Text proposed by the Commission</w:t>
            </w:r>
          </w:p>
        </w:tc>
        <w:tc>
          <w:tcPr>
            <w:tcW w:w="4876" w:type="dxa"/>
          </w:tcPr>
          <w:p w:rsidR="002A6758" w:rsidRPr="00BA183C" w:rsidP="00CC5190" w14:paraId="5F40BA94" w14:textId="77777777">
            <w:pPr>
              <w:pStyle w:val="AmColumnHeading"/>
              <w:keepNext/>
            </w:pPr>
            <w:r w:rsidRPr="00BA183C">
              <w:t>Modification</w:t>
            </w:r>
          </w:p>
        </w:tc>
      </w:tr>
      <w:tr w14:paraId="4C037B51" w14:textId="77777777" w:rsidTr="00CC5190">
        <w:tblPrEx>
          <w:tblW w:w="9752" w:type="dxa"/>
          <w:jc w:val="center"/>
          <w:tblLayout w:type="fixed"/>
          <w:tblLook w:val="0000"/>
        </w:tblPrEx>
        <w:trPr>
          <w:jc w:val="center"/>
        </w:trPr>
        <w:tc>
          <w:tcPr>
            <w:tcW w:w="4876" w:type="dxa"/>
          </w:tcPr>
          <w:p w:rsidR="002A6758" w:rsidRPr="00BA183C" w:rsidP="00CC5190" w14:paraId="0295C649" w14:textId="77777777">
            <w:pPr>
              <w:pStyle w:val="Normal6a"/>
            </w:pPr>
            <w:r w:rsidRPr="00BA183C">
              <w:rPr>
                <w:b/>
                <w:bCs/>
                <w:i/>
              </w:rPr>
              <w:t>(e)</w:t>
            </w:r>
            <w:r w:rsidRPr="00BA183C">
              <w:rPr>
                <w:b/>
                <w:bCs/>
                <w:i/>
              </w:rPr>
              <w:tab/>
              <w:t>a calculation of the maximum amount for the Contingency Margin referred to in Article 7(1), point (c);</w:t>
            </w:r>
          </w:p>
        </w:tc>
        <w:tc>
          <w:tcPr>
            <w:tcW w:w="4876" w:type="dxa"/>
          </w:tcPr>
          <w:p w:rsidR="002A6758" w:rsidRPr="00BA183C" w:rsidP="00CC5190" w14:paraId="46E4A10E" w14:textId="77777777">
            <w:pPr>
              <w:pStyle w:val="Normal6a"/>
              <w:rPr>
                <w:iCs/>
              </w:rPr>
            </w:pPr>
            <w:r w:rsidRPr="00BA183C">
              <w:rPr>
                <w:b/>
                <w:bCs/>
                <w:i/>
                <w:iCs/>
              </w:rPr>
              <w:t>deleted</w:t>
            </w:r>
          </w:p>
        </w:tc>
      </w:tr>
    </w:tbl>
    <w:p w:rsidR="002A6758" w:rsidRPr="00BA183C" w:rsidP="002A6758" w14:paraId="3C9EAC1E" w14:textId="77777777"/>
    <w:p w:rsidR="002A6758" w:rsidRPr="00BA183C" w:rsidP="002A6758" w14:paraId="2E3DBEA3" w14:textId="77777777">
      <w:pPr>
        <w:pStyle w:val="AmNumberTabs"/>
        <w:keepNext/>
      </w:pPr>
      <w:r w:rsidRPr="00BA183C">
        <w:t>Modification</w:t>
      </w:r>
      <w:r w:rsidRPr="00BA183C">
        <w:tab/>
      </w:r>
      <w:r w:rsidRPr="00BA183C">
        <w:tab/>
        <w:t>9</w:t>
      </w:r>
    </w:p>
    <w:p w:rsidR="002A6758" w:rsidRPr="00BA183C" w:rsidP="002A6758" w14:paraId="11C72E7C" w14:textId="77777777">
      <w:pPr>
        <w:pStyle w:val="NormalBold12b"/>
        <w:keepNext/>
      </w:pPr>
      <w:r w:rsidRPr="00BA183C">
        <w:t xml:space="preserve"> Proposal for a regulation</w:t>
      </w:r>
    </w:p>
    <w:p w:rsidR="002A6758" w:rsidRPr="00BA183C" w:rsidP="002A6758" w14:paraId="214F1886" w14:textId="77777777">
      <w:r w:rsidRPr="00BA183C">
        <w:t xml:space="preserve"> Chapter 2 – Article 4 – paragraph 1- point f</w:t>
      </w:r>
    </w:p>
    <w:tbl>
      <w:tblPr>
        <w:tblW w:w="9752" w:type="dxa"/>
        <w:jc w:val="center"/>
        <w:tblLayout w:type="fixed"/>
        <w:tblCellMar>
          <w:left w:w="340" w:type="dxa"/>
          <w:right w:w="340" w:type="dxa"/>
        </w:tblCellMar>
        <w:tblLook w:val="0000"/>
      </w:tblPr>
      <w:tblGrid>
        <w:gridCol w:w="4876"/>
        <w:gridCol w:w="4876"/>
      </w:tblGrid>
      <w:tr w14:paraId="4C2EDA25" w14:textId="77777777" w:rsidTr="00CC5190">
        <w:tblPrEx>
          <w:tblW w:w="9752" w:type="dxa"/>
          <w:jc w:val="center"/>
          <w:tblLayout w:type="fixed"/>
          <w:tblLook w:val="0000"/>
        </w:tblPrEx>
        <w:trPr>
          <w:jc w:val="center"/>
        </w:trPr>
        <w:tc>
          <w:tcPr>
            <w:tcW w:w="9752" w:type="dxa"/>
            <w:gridSpan w:val="2"/>
          </w:tcPr>
          <w:p w:rsidR="002A6758" w:rsidRPr="00BA183C" w:rsidP="00CC5190" w14:paraId="726C9F79" w14:textId="77777777">
            <w:pPr>
              <w:keepNext/>
            </w:pPr>
          </w:p>
        </w:tc>
      </w:tr>
      <w:tr w14:paraId="5E18AF98" w14:textId="77777777" w:rsidTr="00CC5190">
        <w:tblPrEx>
          <w:tblW w:w="9752" w:type="dxa"/>
          <w:jc w:val="center"/>
          <w:tblLayout w:type="fixed"/>
          <w:tblLook w:val="0000"/>
        </w:tblPrEx>
        <w:trPr>
          <w:jc w:val="center"/>
        </w:trPr>
        <w:tc>
          <w:tcPr>
            <w:tcW w:w="4876" w:type="dxa"/>
          </w:tcPr>
          <w:p w:rsidR="002A6758" w:rsidRPr="00BA183C" w:rsidP="00CC5190" w14:paraId="3C739A94" w14:textId="77777777">
            <w:pPr>
              <w:pStyle w:val="AmColumnHeading"/>
              <w:keepNext/>
            </w:pPr>
            <w:r w:rsidRPr="00BA183C">
              <w:t>Text proposed by the Commission</w:t>
            </w:r>
          </w:p>
        </w:tc>
        <w:tc>
          <w:tcPr>
            <w:tcW w:w="4876" w:type="dxa"/>
          </w:tcPr>
          <w:p w:rsidR="002A6758" w:rsidRPr="00BA183C" w:rsidP="00CC5190" w14:paraId="39FDF123" w14:textId="77777777">
            <w:pPr>
              <w:pStyle w:val="AmColumnHeading"/>
              <w:keepNext/>
            </w:pPr>
            <w:r w:rsidRPr="00BA183C">
              <w:t>Modification</w:t>
            </w:r>
          </w:p>
        </w:tc>
      </w:tr>
      <w:tr w14:paraId="43FB629F" w14:textId="77777777" w:rsidTr="00CC5190">
        <w:tblPrEx>
          <w:tblW w:w="9752" w:type="dxa"/>
          <w:jc w:val="center"/>
          <w:tblLayout w:type="fixed"/>
          <w:tblLook w:val="0000"/>
        </w:tblPrEx>
        <w:trPr>
          <w:jc w:val="center"/>
        </w:trPr>
        <w:tc>
          <w:tcPr>
            <w:tcW w:w="4876" w:type="dxa"/>
          </w:tcPr>
          <w:p w:rsidR="002A6758" w:rsidRPr="00BA183C" w:rsidP="00CC5190" w14:paraId="741538ED" w14:textId="77777777">
            <w:pPr>
              <w:pStyle w:val="Normal6a"/>
            </w:pPr>
            <w:r w:rsidRPr="00BA183C">
              <w:rPr>
                <w:iCs/>
              </w:rPr>
              <w:t>(f)</w:t>
            </w:r>
            <w:r w:rsidRPr="00BA183C">
              <w:rPr>
                <w:iCs/>
              </w:rPr>
              <w:tab/>
              <w:t>a calculation of the amounts to be made available to the Flexibility Instrument under Article 8(2)</w:t>
            </w:r>
            <w:r w:rsidRPr="00BA183C">
              <w:rPr>
                <w:b/>
                <w:bCs/>
                <w:i/>
                <w:iCs/>
              </w:rPr>
              <w:t>, first subparagraph, points (a) and (b)</w:t>
            </w:r>
            <w:r w:rsidRPr="00BA183C">
              <w:t>.</w:t>
            </w:r>
          </w:p>
        </w:tc>
        <w:tc>
          <w:tcPr>
            <w:tcW w:w="4876" w:type="dxa"/>
          </w:tcPr>
          <w:p w:rsidR="002A6758" w:rsidRPr="00BA183C" w:rsidP="00CC5190" w14:paraId="6D35CCB6" w14:textId="77777777">
            <w:pPr>
              <w:pStyle w:val="Normal6a"/>
              <w:rPr>
                <w:iCs/>
              </w:rPr>
            </w:pPr>
            <w:r w:rsidRPr="00BA183C">
              <w:rPr>
                <w:iCs/>
              </w:rPr>
              <w:t>(f)</w:t>
            </w:r>
            <w:r w:rsidRPr="00BA183C">
              <w:rPr>
                <w:iCs/>
              </w:rPr>
              <w:tab/>
              <w:t>a calculation of the amounts to be made available to the Flexibility Instrument under Article 8(2).</w:t>
            </w:r>
          </w:p>
        </w:tc>
      </w:tr>
    </w:tbl>
    <w:p w:rsidR="002A6758" w:rsidRPr="00BA183C" w:rsidP="002A6758" w14:paraId="1E033505" w14:textId="77777777"/>
    <w:p w:rsidR="002A6758" w:rsidRPr="00BA183C" w:rsidP="002A6758" w14:paraId="7C15D0B0" w14:textId="77777777">
      <w:pPr>
        <w:pStyle w:val="AmNumberTabs"/>
        <w:keepNext/>
      </w:pPr>
      <w:r w:rsidRPr="00BA183C">
        <w:t>Modification</w:t>
      </w:r>
      <w:r w:rsidRPr="00BA183C">
        <w:tab/>
      </w:r>
      <w:r w:rsidRPr="00BA183C">
        <w:tab/>
        <w:t>10</w:t>
      </w:r>
    </w:p>
    <w:p w:rsidR="002A6758" w:rsidRPr="00BA183C" w:rsidP="002A6758" w14:paraId="6BF3E1E7" w14:textId="77777777">
      <w:pPr>
        <w:pStyle w:val="NormalBold12b"/>
        <w:keepNext/>
      </w:pPr>
      <w:r w:rsidRPr="00BA183C">
        <w:t>Proposal for a regulation</w:t>
      </w:r>
    </w:p>
    <w:p w:rsidR="002A6758" w:rsidRPr="00BA183C" w:rsidP="002A6758" w14:paraId="062E3F67" w14:textId="77777777">
      <w:pPr>
        <w:pStyle w:val="NormalBold"/>
      </w:pPr>
      <w:r w:rsidRPr="00BA183C">
        <w:t>Chapter 3 – Article 5a (new)</w:t>
      </w:r>
    </w:p>
    <w:tbl>
      <w:tblPr>
        <w:tblW w:w="9752" w:type="dxa"/>
        <w:jc w:val="center"/>
        <w:tblLayout w:type="fixed"/>
        <w:tblCellMar>
          <w:left w:w="340" w:type="dxa"/>
          <w:right w:w="340" w:type="dxa"/>
        </w:tblCellMar>
        <w:tblLook w:val="0000"/>
      </w:tblPr>
      <w:tblGrid>
        <w:gridCol w:w="4876"/>
        <w:gridCol w:w="4876"/>
      </w:tblGrid>
      <w:tr w14:paraId="1EDECF8B" w14:textId="77777777" w:rsidTr="00CC5190">
        <w:tblPrEx>
          <w:tblW w:w="9752" w:type="dxa"/>
          <w:jc w:val="center"/>
          <w:tblLayout w:type="fixed"/>
          <w:tblLook w:val="0000"/>
        </w:tblPrEx>
        <w:trPr>
          <w:jc w:val="center"/>
        </w:trPr>
        <w:tc>
          <w:tcPr>
            <w:tcW w:w="9752" w:type="dxa"/>
            <w:gridSpan w:val="2"/>
          </w:tcPr>
          <w:p w:rsidR="002A6758" w:rsidRPr="00BA183C" w:rsidP="00CC5190" w14:paraId="3742F5DC" w14:textId="77777777">
            <w:pPr>
              <w:keepNext/>
            </w:pPr>
          </w:p>
        </w:tc>
      </w:tr>
      <w:tr w14:paraId="521738B0" w14:textId="77777777" w:rsidTr="00CC5190">
        <w:tblPrEx>
          <w:tblW w:w="9752" w:type="dxa"/>
          <w:jc w:val="center"/>
          <w:tblLayout w:type="fixed"/>
          <w:tblLook w:val="0000"/>
        </w:tblPrEx>
        <w:trPr>
          <w:jc w:val="center"/>
        </w:trPr>
        <w:tc>
          <w:tcPr>
            <w:tcW w:w="4876" w:type="dxa"/>
          </w:tcPr>
          <w:p w:rsidR="002A6758" w:rsidRPr="00BA183C" w:rsidP="00CC5190" w14:paraId="64CCBA12" w14:textId="77777777">
            <w:pPr>
              <w:pStyle w:val="AmColumnHeading"/>
              <w:keepNext/>
            </w:pPr>
            <w:r w:rsidRPr="00BA183C">
              <w:t>Text proposed by the Commission</w:t>
            </w:r>
          </w:p>
        </w:tc>
        <w:tc>
          <w:tcPr>
            <w:tcW w:w="4876" w:type="dxa"/>
          </w:tcPr>
          <w:p w:rsidR="002A6758" w:rsidRPr="00BA183C" w:rsidP="00CC5190" w14:paraId="1D0B35AF" w14:textId="77777777">
            <w:pPr>
              <w:pStyle w:val="AmColumnHeading"/>
              <w:keepNext/>
            </w:pPr>
            <w:r w:rsidRPr="00BA183C">
              <w:t>Modification</w:t>
            </w:r>
          </w:p>
        </w:tc>
      </w:tr>
      <w:tr w14:paraId="71A6C6A5" w14:textId="77777777" w:rsidTr="00CC5190">
        <w:tblPrEx>
          <w:tblW w:w="9752" w:type="dxa"/>
          <w:jc w:val="center"/>
          <w:tblLayout w:type="fixed"/>
          <w:tblLook w:val="0000"/>
        </w:tblPrEx>
        <w:trPr>
          <w:jc w:val="center"/>
        </w:trPr>
        <w:tc>
          <w:tcPr>
            <w:tcW w:w="4876" w:type="dxa"/>
          </w:tcPr>
          <w:p w:rsidR="002A6758" w:rsidRPr="00BA183C" w:rsidP="00CC5190" w14:paraId="5FE6A807" w14:textId="77777777">
            <w:pPr>
              <w:pStyle w:val="Normal6a"/>
            </w:pPr>
          </w:p>
        </w:tc>
        <w:tc>
          <w:tcPr>
            <w:tcW w:w="4876" w:type="dxa"/>
          </w:tcPr>
          <w:p w:rsidR="002A6758" w:rsidRPr="00BA183C" w:rsidP="00CC5190" w14:paraId="2EC90A8E" w14:textId="77777777">
            <w:pPr>
              <w:pStyle w:val="Normal6a"/>
              <w:jc w:val="center"/>
              <w:rPr>
                <w:b/>
                <w:bCs/>
                <w:i/>
                <w:iCs/>
              </w:rPr>
            </w:pPr>
            <w:r w:rsidRPr="00BA183C">
              <w:rPr>
                <w:b/>
                <w:bCs/>
                <w:i/>
                <w:iCs/>
              </w:rPr>
              <w:t>Article 5a</w:t>
            </w:r>
          </w:p>
        </w:tc>
      </w:tr>
      <w:tr w14:paraId="13C78D52" w14:textId="77777777" w:rsidTr="00CC5190">
        <w:tblPrEx>
          <w:tblW w:w="9752" w:type="dxa"/>
          <w:jc w:val="center"/>
          <w:tblLayout w:type="fixed"/>
          <w:tblLook w:val="0000"/>
        </w:tblPrEx>
        <w:trPr>
          <w:jc w:val="center"/>
        </w:trPr>
        <w:tc>
          <w:tcPr>
            <w:tcW w:w="4876" w:type="dxa"/>
          </w:tcPr>
          <w:p w:rsidR="002A6758" w:rsidRPr="00BA183C" w:rsidP="00CC5190" w14:paraId="261F98B6" w14:textId="77777777">
            <w:pPr>
              <w:pStyle w:val="Normal6a"/>
            </w:pPr>
          </w:p>
        </w:tc>
        <w:tc>
          <w:tcPr>
            <w:tcW w:w="4876" w:type="dxa"/>
          </w:tcPr>
          <w:p w:rsidR="002A6758" w:rsidRPr="00BA183C" w:rsidP="00CC5190" w14:paraId="25323FD5" w14:textId="77777777">
            <w:pPr>
              <w:pStyle w:val="Normal6a"/>
              <w:jc w:val="center"/>
              <w:rPr>
                <w:b/>
                <w:bCs/>
                <w:i/>
                <w:iCs/>
              </w:rPr>
            </w:pPr>
            <w:r w:rsidRPr="00BA183C">
              <w:rPr>
                <w:b/>
                <w:bCs/>
                <w:i/>
                <w:iCs/>
              </w:rPr>
              <w:t>the EURI Instrument</w:t>
            </w:r>
          </w:p>
        </w:tc>
      </w:tr>
      <w:tr w14:paraId="327526F3" w14:textId="77777777" w:rsidTr="00CC5190">
        <w:tblPrEx>
          <w:tblW w:w="9752" w:type="dxa"/>
          <w:jc w:val="center"/>
          <w:tblLayout w:type="fixed"/>
          <w:tblLook w:val="0000"/>
        </w:tblPrEx>
        <w:trPr>
          <w:jc w:val="center"/>
        </w:trPr>
        <w:tc>
          <w:tcPr>
            <w:tcW w:w="4876" w:type="dxa"/>
          </w:tcPr>
          <w:p w:rsidR="002A6758" w:rsidRPr="00BA183C" w:rsidP="00CC5190" w14:paraId="69854C71" w14:textId="77777777">
            <w:pPr>
              <w:pStyle w:val="Normal6a"/>
            </w:pPr>
            <w:r w:rsidRPr="00BA183C">
              <w:t xml:space="preserve"> </w:t>
            </w:r>
          </w:p>
        </w:tc>
        <w:tc>
          <w:tcPr>
            <w:tcW w:w="4876" w:type="dxa"/>
          </w:tcPr>
          <w:p w:rsidR="002A6758" w:rsidRPr="00BA183C" w:rsidP="00CC5190" w14:paraId="39D27A18" w14:textId="77777777">
            <w:pPr>
              <w:pStyle w:val="Normal6a"/>
              <w:rPr>
                <w:b/>
                <w:bCs/>
                <w:i/>
                <w:iCs/>
              </w:rPr>
            </w:pPr>
            <w:r w:rsidRPr="00BA183C">
              <w:rPr>
                <w:b/>
                <w:bCs/>
                <w:i/>
                <w:iCs/>
              </w:rPr>
              <w:t>1.</w:t>
            </w:r>
            <w:r w:rsidRPr="00BA183C">
              <w:t xml:space="preserve"> </w:t>
            </w:r>
            <w:r w:rsidRPr="00BA183C">
              <w:rPr>
                <w:b/>
                <w:bCs/>
                <w:i/>
                <w:iCs/>
              </w:rPr>
              <w:t>The EURI Instrument shall be mobilised to finance the repayment of the principal and the funding costs due in respect of the funds borrowed on the capital markets in accordance with Article 5(2) of Decision (EU, Euratom) 2020/2053.</w:t>
            </w:r>
          </w:p>
          <w:p w:rsidR="002A6758" w:rsidRPr="00BA183C" w:rsidP="00CC5190" w14:paraId="5AA2CBE6" w14:textId="77777777">
            <w:pPr>
              <w:pStyle w:val="Normal6a"/>
              <w:rPr>
                <w:szCs w:val="24"/>
              </w:rPr>
            </w:pPr>
          </w:p>
        </w:tc>
      </w:tr>
      <w:tr w14:paraId="673EC29A" w14:textId="77777777" w:rsidTr="00CC5190">
        <w:tblPrEx>
          <w:tblW w:w="9752" w:type="dxa"/>
          <w:jc w:val="center"/>
          <w:tblLayout w:type="fixed"/>
          <w:tblLook w:val="0000"/>
        </w:tblPrEx>
        <w:trPr>
          <w:jc w:val="center"/>
        </w:trPr>
        <w:tc>
          <w:tcPr>
            <w:tcW w:w="4876" w:type="dxa"/>
          </w:tcPr>
          <w:p w:rsidR="002A6758" w:rsidRPr="00BA183C" w:rsidP="00CC5190" w14:paraId="5363FD6F" w14:textId="77777777">
            <w:pPr>
              <w:pStyle w:val="Normal6a"/>
            </w:pPr>
          </w:p>
        </w:tc>
        <w:tc>
          <w:tcPr>
            <w:tcW w:w="4876" w:type="dxa"/>
          </w:tcPr>
          <w:p w:rsidR="002A6758" w:rsidRPr="00BA183C" w:rsidP="00CC5190" w14:paraId="3DFE7E44" w14:textId="77777777">
            <w:pPr>
              <w:pStyle w:val="Normal6a"/>
              <w:rPr>
                <w:b/>
                <w:bCs/>
                <w:i/>
                <w:iCs/>
              </w:rPr>
            </w:pPr>
            <w:r w:rsidRPr="00BA183C">
              <w:rPr>
                <w:b/>
                <w:bCs/>
                <w:i/>
                <w:iCs/>
              </w:rPr>
              <w:t>2.</w:t>
            </w:r>
            <w:r w:rsidRPr="00BA183C">
              <w:t xml:space="preserve"> </w:t>
            </w:r>
            <w:r w:rsidRPr="00BA183C">
              <w:rPr>
                <w:b/>
                <w:bCs/>
                <w:i/>
                <w:iCs/>
              </w:rPr>
              <w:t>The EURI Instrument shall be mobilised by the European Parliament and the Council in the framework of the budgetary procedure provided for in Article 314 TFEU.</w:t>
            </w:r>
          </w:p>
        </w:tc>
      </w:tr>
    </w:tbl>
    <w:p w:rsidR="002A6758" w:rsidRPr="00BA183C" w:rsidP="002A6758" w14:paraId="6DBC8E38" w14:textId="77777777"/>
    <w:p w:rsidR="002A6758" w:rsidRPr="00BA183C" w:rsidP="002A6758" w14:paraId="75A8F958" w14:textId="77777777">
      <w:pPr>
        <w:pStyle w:val="AmNumberTabs"/>
        <w:keepNext/>
      </w:pPr>
      <w:r w:rsidRPr="00BA183C">
        <w:t>Modification</w:t>
      </w:r>
      <w:r w:rsidRPr="00BA183C">
        <w:tab/>
      </w:r>
      <w:r w:rsidRPr="00BA183C">
        <w:tab/>
        <w:t>11</w:t>
      </w:r>
    </w:p>
    <w:p w:rsidR="002A6758" w:rsidRPr="00BA183C" w:rsidP="002A6758" w14:paraId="6E72A0AC" w14:textId="77777777">
      <w:pPr>
        <w:pStyle w:val="NormalBold12b"/>
        <w:keepNext/>
      </w:pPr>
      <w:r w:rsidRPr="00BA183C">
        <w:t>Proposal for a regulation</w:t>
      </w:r>
    </w:p>
    <w:p w:rsidR="002A6758" w:rsidRPr="00BA183C" w:rsidP="002A6758" w14:paraId="3E8AE27E" w14:textId="77777777">
      <w:pPr>
        <w:pStyle w:val="NormalBold"/>
      </w:pPr>
      <w:r w:rsidRPr="00BA183C">
        <w:t>Chapter 3 – Article 6 – Paragraph 2</w:t>
      </w:r>
    </w:p>
    <w:tbl>
      <w:tblPr>
        <w:tblW w:w="9752" w:type="dxa"/>
        <w:jc w:val="center"/>
        <w:tblLayout w:type="fixed"/>
        <w:tblCellMar>
          <w:left w:w="340" w:type="dxa"/>
          <w:right w:w="340" w:type="dxa"/>
        </w:tblCellMar>
        <w:tblLook w:val="0000"/>
      </w:tblPr>
      <w:tblGrid>
        <w:gridCol w:w="4876"/>
        <w:gridCol w:w="4876"/>
      </w:tblGrid>
      <w:tr w14:paraId="6B1F530D" w14:textId="77777777" w:rsidTr="00CC5190">
        <w:tblPrEx>
          <w:tblW w:w="9752" w:type="dxa"/>
          <w:jc w:val="center"/>
          <w:tblLayout w:type="fixed"/>
          <w:tblLook w:val="0000"/>
        </w:tblPrEx>
        <w:trPr>
          <w:jc w:val="center"/>
        </w:trPr>
        <w:tc>
          <w:tcPr>
            <w:tcW w:w="9752" w:type="dxa"/>
            <w:gridSpan w:val="2"/>
          </w:tcPr>
          <w:p w:rsidR="002A6758" w:rsidRPr="00BA183C" w:rsidP="00CC5190" w14:paraId="711FC6ED" w14:textId="77777777">
            <w:pPr>
              <w:keepNext/>
            </w:pPr>
          </w:p>
        </w:tc>
      </w:tr>
      <w:tr w14:paraId="4DCEAE34" w14:textId="77777777" w:rsidTr="00CC5190">
        <w:tblPrEx>
          <w:tblW w:w="9752" w:type="dxa"/>
          <w:jc w:val="center"/>
          <w:tblLayout w:type="fixed"/>
          <w:tblLook w:val="0000"/>
        </w:tblPrEx>
        <w:trPr>
          <w:jc w:val="center"/>
        </w:trPr>
        <w:tc>
          <w:tcPr>
            <w:tcW w:w="4876" w:type="dxa"/>
          </w:tcPr>
          <w:p w:rsidR="002A6758" w:rsidRPr="00BA183C" w:rsidP="00CC5190" w14:paraId="2BC21BBA" w14:textId="77777777">
            <w:pPr>
              <w:pStyle w:val="AmColumnHeading"/>
              <w:keepNext/>
            </w:pPr>
            <w:r w:rsidRPr="00BA183C">
              <w:t>Text proposed by the Commission</w:t>
            </w:r>
          </w:p>
        </w:tc>
        <w:tc>
          <w:tcPr>
            <w:tcW w:w="4876" w:type="dxa"/>
          </w:tcPr>
          <w:p w:rsidR="002A6758" w:rsidRPr="00BA183C" w:rsidP="00CC5190" w14:paraId="50AE67BD" w14:textId="77777777">
            <w:pPr>
              <w:pStyle w:val="AmColumnHeading"/>
              <w:keepNext/>
            </w:pPr>
            <w:r w:rsidRPr="00BA183C">
              <w:t>Modification</w:t>
            </w:r>
          </w:p>
        </w:tc>
      </w:tr>
      <w:tr w14:paraId="07651E8B" w14:textId="77777777" w:rsidTr="00CC5190">
        <w:tblPrEx>
          <w:tblW w:w="9752" w:type="dxa"/>
          <w:jc w:val="center"/>
          <w:tblLayout w:type="fixed"/>
          <w:tblLook w:val="0000"/>
        </w:tblPrEx>
        <w:trPr>
          <w:jc w:val="center"/>
        </w:trPr>
        <w:tc>
          <w:tcPr>
            <w:tcW w:w="4876" w:type="dxa"/>
          </w:tcPr>
          <w:p w:rsidR="002A6758" w:rsidRPr="00BA183C" w:rsidP="00CC5190" w14:paraId="0CFDD3FD" w14:textId="77777777">
            <w:pPr>
              <w:pStyle w:val="Normal6a"/>
            </w:pPr>
            <w:r w:rsidRPr="00BA183C">
              <w:t>1. The Ukraine Reserve may be mobilised for the sole purpose of financing expenditure for Ukraine under [Regulation (EU) XXXX/XX] [Global Europe].</w:t>
            </w:r>
          </w:p>
        </w:tc>
        <w:tc>
          <w:tcPr>
            <w:tcW w:w="4876" w:type="dxa"/>
          </w:tcPr>
          <w:p w:rsidR="002A6758" w:rsidRPr="00BA183C" w:rsidP="00CC5190" w14:paraId="00BA5540" w14:textId="77777777">
            <w:pPr>
              <w:pStyle w:val="Normal6a"/>
              <w:rPr>
                <w:b/>
                <w:bCs/>
                <w:i/>
                <w:iCs/>
              </w:rPr>
            </w:pPr>
            <w:r w:rsidRPr="00BA183C">
              <w:t>1. The Ukraine Reserve may be mobilised for the sole purpose of financing</w:t>
            </w:r>
            <w:r w:rsidRPr="00BA183C">
              <w:rPr>
                <w:b/>
                <w:bCs/>
                <w:i/>
                <w:iCs/>
              </w:rPr>
              <w:t>:</w:t>
            </w:r>
          </w:p>
        </w:tc>
      </w:tr>
      <w:tr w14:paraId="04E07EBC" w14:textId="77777777" w:rsidTr="00CC5190">
        <w:tblPrEx>
          <w:tblW w:w="9752" w:type="dxa"/>
          <w:jc w:val="center"/>
          <w:tblLayout w:type="fixed"/>
          <w:tblLook w:val="0000"/>
        </w:tblPrEx>
        <w:trPr>
          <w:jc w:val="center"/>
        </w:trPr>
        <w:tc>
          <w:tcPr>
            <w:tcW w:w="4876" w:type="dxa"/>
          </w:tcPr>
          <w:p w:rsidR="002A6758" w:rsidRPr="00BA183C" w:rsidP="00CC5190" w14:paraId="4D516701" w14:textId="77777777">
            <w:pPr>
              <w:pStyle w:val="Normal6a"/>
            </w:pPr>
          </w:p>
        </w:tc>
        <w:tc>
          <w:tcPr>
            <w:tcW w:w="4876" w:type="dxa"/>
          </w:tcPr>
          <w:p w:rsidR="002A6758" w:rsidRPr="00BA183C" w:rsidP="00CC5190" w14:paraId="46E972A8" w14:textId="77777777">
            <w:pPr>
              <w:pStyle w:val="Normal6a"/>
              <w:rPr>
                <w:b/>
                <w:bCs/>
                <w:i/>
                <w:iCs/>
              </w:rPr>
            </w:pPr>
            <w:r w:rsidRPr="00BA183C">
              <w:rPr>
                <w:b/>
                <w:bCs/>
                <w:i/>
                <w:iCs/>
              </w:rPr>
              <w:t xml:space="preserve">(a) </w:t>
            </w:r>
            <w:r w:rsidRPr="00BA183C">
              <w:t>expenditure for Ukraine under [Regulation (EU) XXXX/XX] [Global Europe]</w:t>
            </w:r>
            <w:r w:rsidRPr="00BA183C">
              <w:rPr>
                <w:b/>
                <w:bCs/>
                <w:i/>
                <w:iCs/>
              </w:rPr>
              <w:t xml:space="preserve"> as well as expenditure for interest rate subsidies and borrowing costs subsidies pursuant to Articles 23 and 34 of Regulation (EU) 2024/792 [Ukraine Facility], Article 17 of Regulation (EU) 2022/2463 [MFA+], Article 6 of Decision (EU) 2022/1628 [MFA II] and Article 5(2) of Decision (EU) 2022/1201 [MFA I];</w:t>
            </w:r>
          </w:p>
        </w:tc>
      </w:tr>
      <w:tr w14:paraId="24B09D78" w14:textId="77777777" w:rsidTr="00CC5190">
        <w:tblPrEx>
          <w:tblW w:w="9752" w:type="dxa"/>
          <w:jc w:val="center"/>
          <w:tblLayout w:type="fixed"/>
          <w:tblLook w:val="0000"/>
        </w:tblPrEx>
        <w:trPr>
          <w:jc w:val="center"/>
        </w:trPr>
        <w:tc>
          <w:tcPr>
            <w:tcW w:w="4876" w:type="dxa"/>
          </w:tcPr>
          <w:p w:rsidR="002A6758" w:rsidRPr="00BA183C" w:rsidP="00CC5190" w14:paraId="336AB4C2" w14:textId="77777777">
            <w:pPr>
              <w:pStyle w:val="Normal6a"/>
            </w:pPr>
          </w:p>
        </w:tc>
        <w:tc>
          <w:tcPr>
            <w:tcW w:w="4876" w:type="dxa"/>
          </w:tcPr>
          <w:p w:rsidR="002A6758" w:rsidRPr="00BA183C" w:rsidP="00CC5190" w14:paraId="1FA554BD" w14:textId="77777777">
            <w:pPr>
              <w:pStyle w:val="Normal6a"/>
              <w:rPr>
                <w:b/>
                <w:bCs/>
                <w:i/>
                <w:iCs/>
              </w:rPr>
            </w:pPr>
            <w:r w:rsidRPr="00BA183C">
              <w:rPr>
                <w:b/>
                <w:bCs/>
                <w:i/>
                <w:iCs/>
              </w:rPr>
              <w:t>(b) expenditure pursuant to Article 22 of Regulation (EU) 2026/467 [Ukraine Support Loan Regulation]</w:t>
            </w:r>
            <w:r w:rsidRPr="00BA183C">
              <w:t>.</w:t>
            </w:r>
          </w:p>
        </w:tc>
      </w:tr>
      <w:tr w14:paraId="64659D83" w14:textId="77777777" w:rsidTr="00CC5190">
        <w:tblPrEx>
          <w:tblW w:w="9752" w:type="dxa"/>
          <w:jc w:val="center"/>
          <w:tblLayout w:type="fixed"/>
          <w:tblLook w:val="0000"/>
        </w:tblPrEx>
        <w:trPr>
          <w:jc w:val="center"/>
        </w:trPr>
        <w:tc>
          <w:tcPr>
            <w:tcW w:w="4876" w:type="dxa"/>
          </w:tcPr>
          <w:p w:rsidR="002A6758" w:rsidRPr="00BA183C" w:rsidP="00CC5190" w14:paraId="2695D106" w14:textId="4990E5D6">
            <w:pPr>
              <w:pStyle w:val="Normal6a"/>
            </w:pPr>
            <w:r w:rsidRPr="00BA183C">
              <w:t xml:space="preserve">2. The Ukraine Reserve shall </w:t>
            </w:r>
            <w:r w:rsidRPr="00BA183C">
              <w:rPr>
                <w:b/>
                <w:bCs/>
                <w:i/>
                <w:iCs/>
              </w:rPr>
              <w:t>not exceed</w:t>
            </w:r>
            <w:r w:rsidRPr="00BA183C">
              <w:t xml:space="preserve"> an amount</w:t>
            </w:r>
            <w:r w:rsidRPr="00BA183C">
              <w:rPr>
                <w:b/>
                <w:bCs/>
                <w:i/>
                <w:iCs/>
              </w:rPr>
              <w:t xml:space="preserve"> of </w:t>
            </w:r>
            <w:r w:rsidRPr="00BA183C">
              <w:t>EUR 88</w:t>
            </w:r>
            <w:r w:rsidR="00052D10">
              <w:t>,</w:t>
            </w:r>
            <w:r w:rsidRPr="00BA183C">
              <w:t xml:space="preserve">9 billion in 2025 prices for the period 2028 to 2034. The annual </w:t>
            </w:r>
            <w:r w:rsidRPr="00BA183C">
              <w:t xml:space="preserve">amount mobilised </w:t>
            </w:r>
            <w:r w:rsidRPr="00BA183C">
              <w:rPr>
                <w:b/>
                <w:bCs/>
                <w:i/>
                <w:iCs/>
              </w:rPr>
              <w:t>under the Ukraine Reserve</w:t>
            </w:r>
            <w:r w:rsidRPr="00BA183C">
              <w:t xml:space="preserve"> </w:t>
            </w:r>
            <w:r w:rsidRPr="00BA183C">
              <w:t>in a given year</w:t>
            </w:r>
            <w:r w:rsidRPr="00BA183C">
              <w:t xml:space="preserve"> shall not exceed EUR 13</w:t>
            </w:r>
            <w:r w:rsidR="00052D10">
              <w:t>,</w:t>
            </w:r>
            <w:r w:rsidRPr="00BA183C">
              <w:t xml:space="preserve">5 billion in 2025 prices. The unused portion of the annual amount </w:t>
            </w:r>
            <w:r w:rsidRPr="00BA183C">
              <w:t>in a given year</w:t>
            </w:r>
            <w:r w:rsidRPr="00BA183C">
              <w:t xml:space="preserve"> may be used in the following years, until 2034.</w:t>
            </w:r>
          </w:p>
          <w:p w:rsidR="002A6758" w:rsidRPr="00BA183C" w:rsidP="00CC5190" w14:paraId="5C809125" w14:textId="77777777">
            <w:pPr>
              <w:pStyle w:val="Normal6a"/>
            </w:pPr>
          </w:p>
        </w:tc>
        <w:tc>
          <w:tcPr>
            <w:tcW w:w="4876" w:type="dxa"/>
          </w:tcPr>
          <w:p w:rsidR="002A6758" w:rsidRPr="00BA183C" w:rsidP="003106D0" w14:paraId="3816F945" w14:textId="643041E0">
            <w:pPr>
              <w:pStyle w:val="Normal6a"/>
              <w:rPr>
                <w:szCs w:val="24"/>
              </w:rPr>
            </w:pPr>
            <w:r w:rsidRPr="00BA183C">
              <w:t>2. The Ukraine Reserve shall</w:t>
            </w:r>
            <w:r w:rsidRPr="00BA183C">
              <w:rPr>
                <w:b/>
                <w:bCs/>
                <w:i/>
                <w:iCs/>
              </w:rPr>
              <w:t xml:space="preserve"> comprise</w:t>
            </w:r>
            <w:r w:rsidRPr="00BA183C">
              <w:t xml:space="preserve"> an amount </w:t>
            </w:r>
            <w:r w:rsidRPr="00BA183C">
              <w:rPr>
                <w:b/>
                <w:bCs/>
                <w:i/>
                <w:iCs/>
              </w:rPr>
              <w:t xml:space="preserve">not exceeding </w:t>
            </w:r>
            <w:r w:rsidRPr="00BA183C">
              <w:t>EUR 88</w:t>
            </w:r>
            <w:r w:rsidR="00052D10">
              <w:t>,</w:t>
            </w:r>
            <w:r w:rsidRPr="00BA183C">
              <w:t xml:space="preserve">9 billion in 2025 prices for the </w:t>
            </w:r>
            <w:r w:rsidRPr="00BA183C">
              <w:t>period 2028 to 2034</w:t>
            </w:r>
            <w:r w:rsidRPr="00BA183C">
              <w:rPr>
                <w:b/>
                <w:bCs/>
                <w:i/>
                <w:iCs/>
              </w:rPr>
              <w:t>, solely for expenditure referred to in the first subparagraph, point (a)</w:t>
            </w:r>
            <w:r w:rsidRPr="00BA183C">
              <w:t>.</w:t>
            </w:r>
            <w:r w:rsidRPr="00BA183C">
              <w:rPr>
                <w:b/>
                <w:bCs/>
                <w:i/>
                <w:iCs/>
              </w:rPr>
              <w:t> </w:t>
            </w:r>
            <w:r w:rsidRPr="00BA183C">
              <w:t xml:space="preserve">The annual amount mobilised </w:t>
            </w:r>
            <w:r w:rsidRPr="00BA183C">
              <w:t>in a given year</w:t>
            </w:r>
            <w:r w:rsidRPr="00BA183C">
              <w:t xml:space="preserve"> shall not exceed EUR 13</w:t>
            </w:r>
            <w:r w:rsidR="00052D10">
              <w:t>,</w:t>
            </w:r>
            <w:r w:rsidRPr="00BA183C">
              <w:t xml:space="preserve">5 billion in 2025 prices. The unused portion of the annual amount </w:t>
            </w:r>
            <w:r w:rsidRPr="00BA183C">
              <w:t>in a given year</w:t>
            </w:r>
            <w:r w:rsidRPr="00BA183C">
              <w:t xml:space="preserve"> may be used in the following years, until 2034.</w:t>
            </w:r>
          </w:p>
        </w:tc>
      </w:tr>
      <w:tr w14:paraId="629BA26B" w14:textId="77777777" w:rsidTr="00CC5190">
        <w:tblPrEx>
          <w:tblW w:w="9752" w:type="dxa"/>
          <w:jc w:val="center"/>
          <w:tblLayout w:type="fixed"/>
          <w:tblLook w:val="0000"/>
        </w:tblPrEx>
        <w:trPr>
          <w:jc w:val="center"/>
        </w:trPr>
        <w:tc>
          <w:tcPr>
            <w:tcW w:w="4876" w:type="dxa"/>
          </w:tcPr>
          <w:p w:rsidR="002A6758" w:rsidRPr="00BA183C" w:rsidP="00CC5190" w14:paraId="29589570" w14:textId="77777777">
            <w:pPr>
              <w:pStyle w:val="Normal6a"/>
            </w:pPr>
          </w:p>
        </w:tc>
        <w:tc>
          <w:tcPr>
            <w:tcW w:w="4876" w:type="dxa"/>
          </w:tcPr>
          <w:p w:rsidR="002A6758" w:rsidRPr="00BA183C" w:rsidP="00CC5190" w14:paraId="4669C447" w14:textId="5EBCDE3E">
            <w:pPr>
              <w:pStyle w:val="Normal6a"/>
              <w:rPr>
                <w:b/>
                <w:bCs/>
                <w:i/>
                <w:iCs/>
              </w:rPr>
            </w:pPr>
            <w:r w:rsidRPr="00BA183C">
              <w:rPr>
                <w:b/>
                <w:bCs/>
                <w:i/>
                <w:iCs/>
              </w:rPr>
              <w:t>3. In addition, the Ukraine Reserve shall also comprise an amount of EUR 26</w:t>
            </w:r>
            <w:r w:rsidR="00052D10">
              <w:rPr>
                <w:b/>
                <w:bCs/>
                <w:i/>
                <w:iCs/>
              </w:rPr>
              <w:t>,</w:t>
            </w:r>
            <w:r w:rsidRPr="00BA183C">
              <w:rPr>
                <w:b/>
                <w:bCs/>
                <w:i/>
                <w:iCs/>
              </w:rPr>
              <w:t xml:space="preserve">2 billion in 2025 prices for the period 2028 to 2034, solely for expenditure referred to in the first subparagraph, point (b). Should the remaining availabilities </w:t>
            </w:r>
            <w:r w:rsidRPr="00BA183C">
              <w:rPr>
                <w:b/>
                <w:bCs/>
                <w:i/>
                <w:iCs/>
              </w:rPr>
              <w:t>in a given year</w:t>
            </w:r>
            <w:r w:rsidRPr="00BA183C">
              <w:rPr>
                <w:b/>
                <w:bCs/>
                <w:i/>
                <w:iCs/>
              </w:rPr>
              <w:t xml:space="preserve"> be insufficient to cover for the borrowing costs subsidy requested by Ukraine under Article 22 of Regulation (EU) 2026/467 [Ukraine Support Loan Regulation], additional contributions from participating Member States under the same Regulation (EU) 2026/467 [Ukraine Support Loan Regulation] shall be assigned in the form of external assigned revenue.</w:t>
            </w:r>
          </w:p>
        </w:tc>
      </w:tr>
      <w:tr w14:paraId="4900AA9A" w14:textId="77777777" w:rsidTr="00CC5190">
        <w:tblPrEx>
          <w:tblW w:w="9752" w:type="dxa"/>
          <w:jc w:val="center"/>
          <w:tblLayout w:type="fixed"/>
          <w:tblLook w:val="0000"/>
        </w:tblPrEx>
        <w:trPr>
          <w:jc w:val="center"/>
        </w:trPr>
        <w:tc>
          <w:tcPr>
            <w:tcW w:w="4876" w:type="dxa"/>
          </w:tcPr>
          <w:p w:rsidR="002A6758" w:rsidRPr="00BA183C" w:rsidP="00CC5190" w14:paraId="07B2DFC8" w14:textId="77777777">
            <w:pPr>
              <w:pStyle w:val="Normal6a"/>
            </w:pPr>
            <w:r w:rsidRPr="00BA183C">
              <w:rPr>
                <w:b/>
                <w:bCs/>
                <w:i/>
                <w:iCs/>
              </w:rPr>
              <w:t>3.</w:t>
            </w:r>
            <w:r w:rsidRPr="00BA183C">
              <w:t xml:space="preserve"> The Ukraine Reserve may be mobilised by the European Parliament and the Council in the framework of the budgetary procedure provided for in Article 314 TFEU.</w:t>
            </w:r>
          </w:p>
        </w:tc>
        <w:tc>
          <w:tcPr>
            <w:tcW w:w="4876" w:type="dxa"/>
          </w:tcPr>
          <w:p w:rsidR="002A6758" w:rsidRPr="00BA183C" w:rsidP="00CC5190" w14:paraId="743FA743" w14:textId="77777777">
            <w:pPr>
              <w:pStyle w:val="Normal6a"/>
              <w:rPr>
                <w:b/>
                <w:bCs/>
                <w:i/>
                <w:iCs/>
              </w:rPr>
            </w:pPr>
            <w:r w:rsidRPr="00BA183C">
              <w:rPr>
                <w:b/>
                <w:bCs/>
                <w:i/>
                <w:iCs/>
              </w:rPr>
              <w:t xml:space="preserve">4. </w:t>
            </w:r>
            <w:r w:rsidRPr="00BA183C">
              <w:t>The Ukraine Reserve may be mobilised by the European Parliament and the Council in the framework of the budgetary procedure provided for in Article 314 TFEU.</w:t>
            </w:r>
          </w:p>
        </w:tc>
      </w:tr>
    </w:tbl>
    <w:p w:rsidR="002A6758" w:rsidRPr="00BA183C" w:rsidP="002A6758" w14:paraId="399DBA20" w14:textId="77777777"/>
    <w:p w:rsidR="002A6758" w:rsidRPr="00BA183C" w:rsidP="002A6758" w14:paraId="72FA31D7" w14:textId="77777777">
      <w:pPr>
        <w:pStyle w:val="AmNumberTabs"/>
        <w:keepNext/>
      </w:pPr>
      <w:r w:rsidRPr="00BA183C">
        <w:t>Modification</w:t>
      </w:r>
      <w:r w:rsidRPr="00BA183C">
        <w:tab/>
      </w:r>
      <w:r w:rsidRPr="00BA183C">
        <w:tab/>
        <w:t>12</w:t>
      </w:r>
    </w:p>
    <w:p w:rsidR="002A6758" w:rsidRPr="00BA183C" w:rsidP="002A6758" w14:paraId="03570B9B" w14:textId="77777777">
      <w:pPr>
        <w:pStyle w:val="NormalBold12b"/>
        <w:keepNext/>
      </w:pPr>
      <w:r w:rsidRPr="00BA183C">
        <w:t xml:space="preserve"> Proposal for a regulation</w:t>
      </w:r>
    </w:p>
    <w:p w:rsidR="002A6758" w:rsidRPr="00BA183C" w:rsidP="002A6758" w14:paraId="3D64EE95" w14:textId="77777777">
      <w:pPr>
        <w:pStyle w:val="NormalBold"/>
        <w:rPr>
          <w:rStyle w:val="HideTWBExt"/>
          <w:b w:val="0"/>
          <w:noProof w:val="0"/>
        </w:rPr>
      </w:pPr>
      <w:r w:rsidRPr="00BA183C">
        <w:t xml:space="preserve"> Chapter 3 – Article 7</w:t>
      </w:r>
    </w:p>
    <w:tbl>
      <w:tblPr>
        <w:tblW w:w="9752" w:type="dxa"/>
        <w:jc w:val="center"/>
        <w:tblLayout w:type="fixed"/>
        <w:tblCellMar>
          <w:left w:w="340" w:type="dxa"/>
          <w:right w:w="340" w:type="dxa"/>
        </w:tblCellMar>
        <w:tblLook w:val="0000"/>
      </w:tblPr>
      <w:tblGrid>
        <w:gridCol w:w="4876"/>
        <w:gridCol w:w="4876"/>
      </w:tblGrid>
      <w:tr w14:paraId="7A73C910" w14:textId="77777777" w:rsidTr="00CC5190">
        <w:tblPrEx>
          <w:tblW w:w="9752" w:type="dxa"/>
          <w:jc w:val="center"/>
          <w:tblLayout w:type="fixed"/>
          <w:tblLook w:val="0000"/>
        </w:tblPrEx>
        <w:trPr>
          <w:jc w:val="center"/>
        </w:trPr>
        <w:tc>
          <w:tcPr>
            <w:tcW w:w="9752" w:type="dxa"/>
            <w:gridSpan w:val="2"/>
          </w:tcPr>
          <w:p w:rsidR="002A6758" w:rsidRPr="00BA183C" w:rsidP="00CC5190" w14:paraId="6421A996" w14:textId="77777777">
            <w:pPr>
              <w:keepNext/>
            </w:pPr>
          </w:p>
        </w:tc>
      </w:tr>
      <w:tr w14:paraId="14E30CD8" w14:textId="77777777" w:rsidTr="00CC5190">
        <w:tblPrEx>
          <w:tblW w:w="9752" w:type="dxa"/>
          <w:jc w:val="center"/>
          <w:tblLayout w:type="fixed"/>
          <w:tblLook w:val="0000"/>
        </w:tblPrEx>
        <w:trPr>
          <w:jc w:val="center"/>
        </w:trPr>
        <w:tc>
          <w:tcPr>
            <w:tcW w:w="4876" w:type="dxa"/>
          </w:tcPr>
          <w:p w:rsidR="002A6758" w:rsidRPr="00BA183C" w:rsidP="00CC5190" w14:paraId="46F56864" w14:textId="77777777">
            <w:pPr>
              <w:pStyle w:val="AmColumnHeading"/>
              <w:keepNext/>
            </w:pPr>
            <w:r w:rsidRPr="00BA183C">
              <w:t>Text proposed by the Commission</w:t>
            </w:r>
          </w:p>
        </w:tc>
        <w:tc>
          <w:tcPr>
            <w:tcW w:w="4876" w:type="dxa"/>
          </w:tcPr>
          <w:p w:rsidR="002A6758" w:rsidRPr="00BA183C" w:rsidP="00CC5190" w14:paraId="4FB2AEA7" w14:textId="77777777">
            <w:pPr>
              <w:pStyle w:val="AmColumnHeading"/>
              <w:keepNext/>
            </w:pPr>
            <w:r w:rsidRPr="00BA183C">
              <w:t>Modification</w:t>
            </w:r>
          </w:p>
        </w:tc>
      </w:tr>
      <w:tr w14:paraId="58C42410" w14:textId="77777777" w:rsidTr="00CC5190">
        <w:tblPrEx>
          <w:tblW w:w="9752" w:type="dxa"/>
          <w:jc w:val="center"/>
          <w:tblLayout w:type="fixed"/>
          <w:tblLook w:val="0000"/>
        </w:tblPrEx>
        <w:trPr>
          <w:jc w:val="center"/>
        </w:trPr>
        <w:tc>
          <w:tcPr>
            <w:tcW w:w="4876" w:type="dxa"/>
          </w:tcPr>
          <w:p w:rsidR="002A6758" w:rsidRPr="00BA183C" w:rsidP="00CC5190" w14:paraId="65707B94" w14:textId="77777777">
            <w:pPr>
              <w:pStyle w:val="AmColumnHeading"/>
              <w:widowControl w:val="0"/>
              <w:rPr>
                <w:b/>
                <w:bCs/>
              </w:rPr>
            </w:pPr>
            <w:r w:rsidRPr="00BA183C">
              <w:rPr>
                <w:b/>
                <w:bCs/>
              </w:rPr>
              <w:t>Article 7</w:t>
            </w:r>
          </w:p>
          <w:p w:rsidR="002A6758" w:rsidRPr="00BA183C" w:rsidP="00CC5190" w14:paraId="2741D70D" w14:textId="77777777">
            <w:pPr>
              <w:pStyle w:val="AmColumnHeading"/>
              <w:widowControl w:val="0"/>
              <w:rPr>
                <w:b/>
                <w:bCs/>
              </w:rPr>
            </w:pPr>
            <w:r w:rsidRPr="00BA183C">
              <w:rPr>
                <w:b/>
                <w:bCs/>
              </w:rPr>
              <w:t>Single Margin Instrument</w:t>
            </w:r>
          </w:p>
          <w:p w:rsidR="002A6758" w:rsidRPr="00BA183C" w:rsidP="00CC5190" w14:paraId="23E3D1FC" w14:textId="77777777">
            <w:pPr>
              <w:pStyle w:val="AmColumnHeading"/>
              <w:keepNext/>
              <w:jc w:val="left"/>
              <w:rPr>
                <w:b/>
                <w:bCs/>
              </w:rPr>
            </w:pPr>
            <w:r w:rsidRPr="00BA183C">
              <w:rPr>
                <w:b/>
                <w:bCs/>
              </w:rPr>
              <w:t>1.</w:t>
            </w:r>
            <w:r w:rsidRPr="00BA183C">
              <w:rPr>
                <w:b/>
                <w:bCs/>
              </w:rPr>
              <w:tab/>
              <w:t>The Single Margin Instrument shall comprise:</w:t>
            </w:r>
          </w:p>
          <w:p w:rsidR="002A6758" w:rsidRPr="00BA183C" w:rsidP="00CC5190" w14:paraId="75FB763A" w14:textId="77777777">
            <w:pPr>
              <w:pStyle w:val="AmColumnHeading"/>
              <w:keepNext/>
              <w:jc w:val="left"/>
              <w:rPr>
                <w:b/>
                <w:bCs/>
              </w:rPr>
            </w:pPr>
            <w:r w:rsidRPr="00BA183C">
              <w:rPr>
                <w:b/>
                <w:bCs/>
              </w:rPr>
              <w:t>(a)</w:t>
            </w:r>
            <w:r w:rsidRPr="00BA183C">
              <w:rPr>
                <w:b/>
                <w:bCs/>
              </w:rPr>
              <w:tab/>
              <w:t xml:space="preserve">as of 2029, amounts corresponding to margins left available below the MFF ceilings for commitment appropriations of year n-1, to be made available over and above the MFF ceilings for commitment </w:t>
            </w:r>
            <w:r w:rsidRPr="00BA183C">
              <w:rPr>
                <w:b/>
                <w:bCs/>
              </w:rPr>
              <w:t>appropriations for the years 2029 to 2034 (the ‘Global Margin for Commitments’);</w:t>
            </w:r>
          </w:p>
          <w:p w:rsidR="002A6758" w:rsidRPr="00BA183C" w:rsidP="00CC5190" w14:paraId="4AF38C6D" w14:textId="77777777">
            <w:pPr>
              <w:pStyle w:val="AmColumnHeading"/>
              <w:keepNext/>
              <w:jc w:val="left"/>
              <w:rPr>
                <w:b/>
                <w:bCs/>
              </w:rPr>
            </w:pPr>
            <w:r w:rsidRPr="00BA183C">
              <w:rPr>
                <w:b/>
                <w:bCs/>
              </w:rPr>
              <w:t>(b)</w:t>
            </w:r>
            <w:r w:rsidRPr="00BA183C">
              <w:rPr>
                <w:b/>
                <w:bCs/>
              </w:rPr>
              <w:tab/>
              <w:t xml:space="preserve">as of 2029, amounts equivalent to the difference between the executed payments and the MFF payment ceiling of year n-1 to adjust upwards the payment ceiling for the years 2029 to 2034 (the ‘Global Margin for Payments’); </w:t>
            </w:r>
          </w:p>
          <w:p w:rsidR="002A6758" w:rsidRPr="00BA183C" w:rsidP="00CC5190" w14:paraId="7C5F0716" w14:textId="77777777">
            <w:pPr>
              <w:pStyle w:val="AmColumnHeading"/>
              <w:keepNext/>
              <w:jc w:val="left"/>
              <w:rPr>
                <w:b/>
                <w:bCs/>
              </w:rPr>
            </w:pPr>
            <w:r w:rsidRPr="00BA183C">
              <w:rPr>
                <w:b/>
                <w:bCs/>
              </w:rPr>
              <w:t>(c)</w:t>
            </w:r>
            <w:r w:rsidRPr="00BA183C">
              <w:rPr>
                <w:b/>
                <w:bCs/>
              </w:rPr>
              <w:tab/>
              <w:t>as a last resort instrument, additional amounts which may be made available over and above the MFF ceilings in a given year for commitment or payment appropriations, or both, as the case may be, provided that they are fully offset against the margins in one or more MFF headings for the current or future financial years as regards commitment appropriations and are fully offset against the margins under the payment ceiling for future financial years as regards payment appropriations (the ‘Contingency Margin’).</w:t>
            </w:r>
          </w:p>
          <w:p w:rsidR="002A6758" w:rsidRPr="00BA183C" w:rsidP="00CC5190" w14:paraId="649FE0DC" w14:textId="77777777">
            <w:pPr>
              <w:pStyle w:val="AmColumnHeading"/>
              <w:keepNext/>
              <w:jc w:val="left"/>
              <w:rPr>
                <w:b/>
                <w:bCs/>
              </w:rPr>
            </w:pPr>
            <w:r w:rsidRPr="00BA183C">
              <w:rPr>
                <w:b/>
                <w:bCs/>
              </w:rPr>
              <w:t>2.</w:t>
            </w:r>
            <w:r w:rsidRPr="00BA183C">
              <w:rPr>
                <w:b/>
                <w:bCs/>
              </w:rPr>
              <w:tab/>
              <w:t>The Global Margin for Commitments may be mobilised by the European Parliament and the Council in the framework of the budgetary procedure provided for in Article 314 TFEU.</w:t>
            </w:r>
          </w:p>
          <w:p w:rsidR="002A6758" w:rsidRPr="00BA183C" w:rsidP="00CC5190" w14:paraId="64823A27" w14:textId="77777777">
            <w:pPr>
              <w:pStyle w:val="AmColumnHeading"/>
              <w:keepNext/>
              <w:jc w:val="left"/>
              <w:rPr>
                <w:b/>
                <w:bCs/>
              </w:rPr>
            </w:pPr>
            <w:r w:rsidRPr="00BA183C">
              <w:rPr>
                <w:b/>
                <w:bCs/>
              </w:rPr>
              <w:t>3.</w:t>
            </w:r>
            <w:r w:rsidRPr="00BA183C">
              <w:rPr>
                <w:b/>
                <w:bCs/>
              </w:rPr>
              <w:tab/>
              <w:t>The upward adjustments under the Global Margin for Payments shall be carried out by the Commission, starting in 2029, as part of the technical adjustment referred to in Article 4.</w:t>
            </w:r>
          </w:p>
          <w:p w:rsidR="002A6758" w:rsidRPr="00BA183C" w:rsidP="00CC5190" w14:paraId="72FDC906" w14:textId="77777777">
            <w:pPr>
              <w:pStyle w:val="AmColumnHeading"/>
              <w:keepNext/>
              <w:jc w:val="left"/>
              <w:rPr>
                <w:b/>
                <w:bCs/>
              </w:rPr>
            </w:pPr>
            <w:r w:rsidRPr="00BA183C">
              <w:rPr>
                <w:b/>
                <w:bCs/>
              </w:rPr>
              <w:t>Any upward adjustment under the Global Margin for Payments shall be fully offset by a corresponding reduction of the payment ceiling for year n-1.</w:t>
            </w:r>
          </w:p>
          <w:p w:rsidR="002A6758" w:rsidRPr="00BA183C" w:rsidP="00CC5190" w14:paraId="0D15E9BD" w14:textId="77777777">
            <w:pPr>
              <w:pStyle w:val="AmColumnHeading"/>
              <w:keepNext/>
              <w:jc w:val="left"/>
              <w:rPr>
                <w:b/>
                <w:bCs/>
              </w:rPr>
            </w:pPr>
            <w:r w:rsidRPr="00BA183C">
              <w:rPr>
                <w:b/>
                <w:bCs/>
              </w:rPr>
              <w:t>4.</w:t>
            </w:r>
            <w:r w:rsidRPr="00BA183C">
              <w:rPr>
                <w:b/>
                <w:bCs/>
              </w:rPr>
              <w:tab/>
              <w:t>The Contingency Margin may be mobilised by the European Parliament and the Council in the framework of the budgetary procedure provided for in Article 314 TFEU as a last resort instrument to react to unforeseen circumstances.</w:t>
            </w:r>
          </w:p>
          <w:p w:rsidR="002A6758" w:rsidRPr="00BA183C" w:rsidP="00CC5190" w14:paraId="1CB4A332" w14:textId="77777777">
            <w:pPr>
              <w:pStyle w:val="AmColumnHeading"/>
              <w:keepNext/>
              <w:jc w:val="left"/>
              <w:rPr>
                <w:b/>
                <w:bCs/>
              </w:rPr>
            </w:pPr>
            <w:r w:rsidRPr="00BA183C">
              <w:rPr>
                <w:b/>
                <w:bCs/>
              </w:rPr>
              <w:t xml:space="preserve">Amounts may only be mobilised under the Contingency Margin if the amounts </w:t>
            </w:r>
            <w:r w:rsidRPr="00BA183C">
              <w:rPr>
                <w:b/>
                <w:bCs/>
              </w:rPr>
              <w:t>available pursuant to paragraph 1, points (a) and (b), as applicable, are insufficient.</w:t>
            </w:r>
          </w:p>
          <w:p w:rsidR="002A6758" w:rsidRPr="00BA183C" w:rsidP="00CC5190" w14:paraId="58E57D18" w14:textId="77777777">
            <w:pPr>
              <w:pStyle w:val="AmColumnHeading"/>
              <w:keepNext/>
              <w:jc w:val="left"/>
              <w:rPr>
                <w:b/>
                <w:bCs/>
              </w:rPr>
            </w:pPr>
            <w:r w:rsidRPr="00BA183C">
              <w:rPr>
                <w:b/>
                <w:bCs/>
              </w:rPr>
              <w:t xml:space="preserve">The Contingency Margin shall not exceed, in any given year, 0,04 % of the gross national income of the Union, as calculated in the annual technical adjustment referred to in Article 4. </w:t>
            </w:r>
          </w:p>
          <w:p w:rsidR="002A6758" w:rsidRPr="00BA183C" w:rsidP="00CC5190" w14:paraId="76FCE9F1" w14:textId="77777777">
            <w:pPr>
              <w:pStyle w:val="AmColumnHeading"/>
              <w:keepNext/>
              <w:jc w:val="left"/>
              <w:rPr>
                <w:b/>
                <w:bCs/>
              </w:rPr>
            </w:pPr>
            <w:r w:rsidRPr="00BA183C">
              <w:rPr>
                <w:b/>
                <w:bCs/>
              </w:rPr>
              <w:t>The amounts offset shall not be further mobilised in the context of the MFF.</w:t>
            </w:r>
          </w:p>
          <w:p w:rsidR="002A6758" w:rsidRPr="00BA183C" w:rsidP="00CC5190" w14:paraId="5FA7B5CA" w14:textId="77777777">
            <w:pPr>
              <w:pStyle w:val="AmColumnHeading"/>
              <w:keepNext/>
              <w:jc w:val="left"/>
              <w:rPr>
                <w:b/>
                <w:bCs/>
              </w:rPr>
            </w:pPr>
            <w:r w:rsidRPr="00BA183C">
              <w:rPr>
                <w:b/>
                <w:bCs/>
              </w:rPr>
              <w:t>5.</w:t>
            </w:r>
            <w:r w:rsidRPr="00BA183C">
              <w:rPr>
                <w:b/>
                <w:bCs/>
              </w:rPr>
              <w:tab/>
              <w:t xml:space="preserve">Recourse to the Single Margin Instrument in any given year shall be consistent with the own </w:t>
            </w:r>
            <w:r w:rsidRPr="00BA183C">
              <w:rPr>
                <w:b/>
                <w:bCs/>
              </w:rPr>
              <w:t>resources</w:t>
            </w:r>
            <w:r w:rsidRPr="00BA183C">
              <w:rPr>
                <w:b/>
                <w:bCs/>
              </w:rPr>
              <w:t xml:space="preserve"> ceilings set out in the Own Resources Decision</w:t>
            </w:r>
            <w:r w:rsidRPr="00BA183C">
              <w:rPr>
                <w:i w:val="0"/>
                <w:iCs/>
              </w:rPr>
              <w:t>.</w:t>
            </w:r>
          </w:p>
        </w:tc>
        <w:tc>
          <w:tcPr>
            <w:tcW w:w="4876" w:type="dxa"/>
          </w:tcPr>
          <w:p w:rsidR="002A6758" w:rsidRPr="00BA183C" w:rsidP="00CC5190" w14:paraId="3FF5EE4F" w14:textId="77777777">
            <w:pPr>
              <w:pStyle w:val="AmColumnHeading"/>
              <w:jc w:val="left"/>
              <w:rPr>
                <w:b/>
                <w:bCs/>
                <w:iCs/>
                <w:szCs w:val="24"/>
              </w:rPr>
            </w:pPr>
            <w:r w:rsidRPr="00BA183C">
              <w:rPr>
                <w:b/>
                <w:bCs/>
                <w:iCs/>
                <w:szCs w:val="24"/>
              </w:rPr>
              <w:t>deleted</w:t>
            </w:r>
          </w:p>
        </w:tc>
      </w:tr>
    </w:tbl>
    <w:p w:rsidR="002A6758" w:rsidRPr="00BA183C" w:rsidP="002A6758" w14:paraId="77A87212" w14:textId="77777777">
      <w:pPr>
        <w:pStyle w:val="AmNumberTabs"/>
        <w:keepNext/>
      </w:pPr>
      <w:r w:rsidRPr="00BA183C">
        <w:t>Modification</w:t>
      </w:r>
      <w:r w:rsidRPr="00BA183C">
        <w:tab/>
      </w:r>
      <w:r w:rsidRPr="00BA183C">
        <w:tab/>
        <w:t>13</w:t>
      </w:r>
    </w:p>
    <w:p w:rsidR="002A6758" w:rsidRPr="00BA183C" w:rsidP="002A6758" w14:paraId="142D0AD6" w14:textId="77777777">
      <w:pPr>
        <w:pStyle w:val="NormalBold12b"/>
        <w:keepNext/>
      </w:pPr>
      <w:r w:rsidRPr="00BA183C">
        <w:t>Proposal for a regulation</w:t>
      </w:r>
    </w:p>
    <w:p w:rsidR="002A6758" w:rsidRPr="00BA183C" w:rsidP="002A6758" w14:paraId="1F05759B" w14:textId="77777777">
      <w:pPr>
        <w:pStyle w:val="NormalBold"/>
      </w:pPr>
      <w:r w:rsidRPr="00BA183C">
        <w:t>Chapter 3 – Article 8 – Paragraph 2 – point b</w:t>
      </w:r>
    </w:p>
    <w:tbl>
      <w:tblPr>
        <w:tblW w:w="9752" w:type="dxa"/>
        <w:jc w:val="center"/>
        <w:tblLayout w:type="fixed"/>
        <w:tblCellMar>
          <w:left w:w="340" w:type="dxa"/>
          <w:right w:w="340" w:type="dxa"/>
        </w:tblCellMar>
        <w:tblLook w:val="0000"/>
      </w:tblPr>
      <w:tblGrid>
        <w:gridCol w:w="4876"/>
        <w:gridCol w:w="4876"/>
      </w:tblGrid>
      <w:tr w14:paraId="7DDE5AD9" w14:textId="77777777" w:rsidTr="00CC5190">
        <w:tblPrEx>
          <w:tblW w:w="9752" w:type="dxa"/>
          <w:jc w:val="center"/>
          <w:tblLayout w:type="fixed"/>
          <w:tblLook w:val="0000"/>
        </w:tblPrEx>
        <w:trPr>
          <w:jc w:val="center"/>
        </w:trPr>
        <w:tc>
          <w:tcPr>
            <w:tcW w:w="9752" w:type="dxa"/>
            <w:gridSpan w:val="2"/>
          </w:tcPr>
          <w:p w:rsidR="002A6758" w:rsidRPr="00BA183C" w:rsidP="00CC5190" w14:paraId="2F7D8830" w14:textId="77777777">
            <w:pPr>
              <w:keepNext/>
            </w:pPr>
          </w:p>
        </w:tc>
      </w:tr>
      <w:tr w14:paraId="39EBD1E3" w14:textId="77777777" w:rsidTr="00CC5190">
        <w:tblPrEx>
          <w:tblW w:w="9752" w:type="dxa"/>
          <w:jc w:val="center"/>
          <w:tblLayout w:type="fixed"/>
          <w:tblLook w:val="0000"/>
        </w:tblPrEx>
        <w:trPr>
          <w:jc w:val="center"/>
        </w:trPr>
        <w:tc>
          <w:tcPr>
            <w:tcW w:w="4876" w:type="dxa"/>
          </w:tcPr>
          <w:p w:rsidR="002A6758" w:rsidRPr="00BA183C" w:rsidP="00CC5190" w14:paraId="565026A0" w14:textId="77777777">
            <w:pPr>
              <w:pStyle w:val="AmColumnHeading"/>
              <w:keepNext/>
            </w:pPr>
            <w:r w:rsidRPr="00BA183C">
              <w:t>Text proposed by the Commission</w:t>
            </w:r>
          </w:p>
        </w:tc>
        <w:tc>
          <w:tcPr>
            <w:tcW w:w="4876" w:type="dxa"/>
          </w:tcPr>
          <w:p w:rsidR="002A6758" w:rsidRPr="00BA183C" w:rsidP="00CC5190" w14:paraId="5BE6A243" w14:textId="77777777">
            <w:pPr>
              <w:pStyle w:val="AmColumnHeading"/>
              <w:keepNext/>
            </w:pPr>
            <w:r w:rsidRPr="00BA183C">
              <w:t>Modification</w:t>
            </w:r>
          </w:p>
        </w:tc>
      </w:tr>
      <w:tr w14:paraId="6FAC47D3" w14:textId="77777777" w:rsidTr="00CC5190">
        <w:tblPrEx>
          <w:tblW w:w="9752" w:type="dxa"/>
          <w:jc w:val="center"/>
          <w:tblLayout w:type="fixed"/>
          <w:tblLook w:val="0000"/>
        </w:tblPrEx>
        <w:trPr>
          <w:jc w:val="center"/>
        </w:trPr>
        <w:tc>
          <w:tcPr>
            <w:tcW w:w="4876" w:type="dxa"/>
          </w:tcPr>
          <w:p w:rsidR="002A6758" w:rsidRPr="00BA183C" w:rsidP="00CC5190" w14:paraId="26DFBA5F" w14:textId="77777777">
            <w:pPr>
              <w:pStyle w:val="Normal6a"/>
            </w:pPr>
            <w:r w:rsidRPr="00BA183C">
              <w:t>(b)</w:t>
            </w:r>
            <w:r w:rsidRPr="00BA183C">
              <w:tab/>
              <w:t xml:space="preserve">an amount equivalent to decommitments of appropriations, other than external assigned revenue, made in the year n-2, with the exclusion of the amounts of decommitments made available again in accordance with specific rules on making appropriations available as referred to in Article 15 of Regulation (EU, Euratom) 2024/2509 </w:t>
            </w:r>
            <w:r w:rsidRPr="00BA183C">
              <w:rPr>
                <w:b/>
                <w:bCs/>
                <w:i/>
                <w:iCs/>
              </w:rPr>
              <w:t>and</w:t>
            </w:r>
            <w:r w:rsidRPr="00BA183C">
              <w:t xml:space="preserve"> Regulation [(EU) XXXX/XX] [National and Regional Partnership Fund].</w:t>
            </w:r>
          </w:p>
        </w:tc>
        <w:tc>
          <w:tcPr>
            <w:tcW w:w="4876" w:type="dxa"/>
          </w:tcPr>
          <w:p w:rsidR="002A6758" w:rsidRPr="00BA183C" w:rsidP="00CC5190" w14:paraId="6FFD9E3C" w14:textId="77777777">
            <w:pPr>
              <w:pStyle w:val="Normal6a"/>
              <w:rPr>
                <w:szCs w:val="24"/>
              </w:rPr>
            </w:pPr>
            <w:r w:rsidRPr="00BA183C">
              <w:t>(b)</w:t>
            </w:r>
            <w:r w:rsidRPr="00BA183C">
              <w:tab/>
              <w:t>an amount equivalent to decommitments of appropriations, other than external assigned revenue, made in the year n-2, with the exclusion of the amounts of decommitments made available again in accordance with specific rules on making appropriations available as referred to in Article 15 of Regulation (EU, Euratom) 2024/2509</w:t>
            </w:r>
            <w:r w:rsidRPr="00BA183C">
              <w:rPr>
                <w:b/>
                <w:bCs/>
                <w:i/>
                <w:iCs/>
              </w:rPr>
              <w:t xml:space="preserve">, </w:t>
            </w:r>
            <w:r w:rsidRPr="00BA183C">
              <w:t>Regulation [(EU) XXXX/XX] [National and Regional Partnership Fund]</w:t>
            </w:r>
            <w:r w:rsidRPr="00BA183C">
              <w:rPr>
                <w:b/>
                <w:bCs/>
                <w:i/>
                <w:iCs/>
              </w:rPr>
              <w:t>, and</w:t>
            </w:r>
            <w:r w:rsidRPr="00BA183C">
              <w:t xml:space="preserve"> </w:t>
            </w:r>
            <w:r w:rsidRPr="00BA183C">
              <w:rPr>
                <w:b/>
                <w:bCs/>
                <w:i/>
                <w:iCs/>
              </w:rPr>
              <w:t>Regulation [(EU) XXXX/XX] [Global Europe]</w:t>
            </w:r>
            <w:r w:rsidRPr="00BA183C">
              <w:t>.</w:t>
            </w:r>
          </w:p>
        </w:tc>
      </w:tr>
    </w:tbl>
    <w:p w:rsidR="002A6758" w:rsidRPr="00BA183C" w:rsidP="002A6758" w14:paraId="3F4C5660" w14:textId="77777777"/>
    <w:p w:rsidR="002A6758" w:rsidRPr="00BA183C" w:rsidP="002A6758" w14:paraId="6E9A69ED" w14:textId="77777777">
      <w:pPr>
        <w:pStyle w:val="AmNumberTabs"/>
        <w:keepNext/>
      </w:pPr>
      <w:r w:rsidRPr="00BA183C">
        <w:t>Modification</w:t>
      </w:r>
      <w:r w:rsidRPr="00BA183C">
        <w:tab/>
      </w:r>
      <w:r w:rsidRPr="00BA183C">
        <w:tab/>
        <w:t>14</w:t>
      </w:r>
    </w:p>
    <w:p w:rsidR="002A6758" w:rsidRPr="00BA183C" w:rsidP="002A6758" w14:paraId="34DEAD1F" w14:textId="77777777">
      <w:pPr>
        <w:pStyle w:val="NormalBold12b"/>
        <w:keepNext/>
      </w:pPr>
      <w:r w:rsidRPr="00BA183C">
        <w:t>Proposal for a regulation</w:t>
      </w:r>
    </w:p>
    <w:p w:rsidR="002A6758" w:rsidRPr="00BA183C" w:rsidP="002A6758" w14:paraId="5DA45A32" w14:textId="77777777">
      <w:pPr>
        <w:pStyle w:val="NormalBold"/>
      </w:pPr>
      <w:r w:rsidRPr="00BA183C">
        <w:t xml:space="preserve"> Chapter 3 – Article 8 – paragraph 2 – point ba (new)</w:t>
      </w:r>
    </w:p>
    <w:tbl>
      <w:tblPr>
        <w:tblW w:w="9752" w:type="dxa"/>
        <w:jc w:val="center"/>
        <w:tblLayout w:type="fixed"/>
        <w:tblCellMar>
          <w:left w:w="340" w:type="dxa"/>
          <w:right w:w="340" w:type="dxa"/>
        </w:tblCellMar>
        <w:tblLook w:val="0000"/>
      </w:tblPr>
      <w:tblGrid>
        <w:gridCol w:w="4876"/>
        <w:gridCol w:w="4876"/>
      </w:tblGrid>
      <w:tr w14:paraId="40FE09C9" w14:textId="77777777" w:rsidTr="00CC5190">
        <w:tblPrEx>
          <w:tblW w:w="9752" w:type="dxa"/>
          <w:jc w:val="center"/>
          <w:tblLayout w:type="fixed"/>
          <w:tblLook w:val="0000"/>
        </w:tblPrEx>
        <w:trPr>
          <w:jc w:val="center"/>
        </w:trPr>
        <w:tc>
          <w:tcPr>
            <w:tcW w:w="4876" w:type="dxa"/>
          </w:tcPr>
          <w:p w:rsidR="002A6758" w:rsidRPr="00BA183C" w:rsidP="00CC5190" w14:paraId="05252B80" w14:textId="77777777">
            <w:pPr>
              <w:pStyle w:val="AmColumnHeading"/>
              <w:keepNext/>
              <w:spacing w:after="0"/>
            </w:pPr>
          </w:p>
        </w:tc>
        <w:tc>
          <w:tcPr>
            <w:tcW w:w="4876" w:type="dxa"/>
          </w:tcPr>
          <w:p w:rsidR="002A6758" w:rsidRPr="00BA183C" w:rsidP="00CC5190" w14:paraId="7E028039" w14:textId="77777777">
            <w:pPr>
              <w:pStyle w:val="AmColumnHeading"/>
              <w:keepNext/>
              <w:spacing w:after="0"/>
            </w:pPr>
          </w:p>
        </w:tc>
      </w:tr>
      <w:tr w14:paraId="4C3BC742" w14:textId="77777777" w:rsidTr="00CC5190">
        <w:tblPrEx>
          <w:tblW w:w="9752" w:type="dxa"/>
          <w:jc w:val="center"/>
          <w:tblLayout w:type="fixed"/>
          <w:tblLook w:val="0000"/>
        </w:tblPrEx>
        <w:trPr>
          <w:jc w:val="center"/>
        </w:trPr>
        <w:tc>
          <w:tcPr>
            <w:tcW w:w="4876" w:type="dxa"/>
          </w:tcPr>
          <w:p w:rsidR="002A6758" w:rsidRPr="00BA183C" w:rsidP="00CC5190" w14:paraId="6CCA4041" w14:textId="77777777">
            <w:pPr>
              <w:pStyle w:val="AmColumnHeading"/>
              <w:keepNext/>
              <w:rPr>
                <w:i w:val="0"/>
                <w:iCs/>
              </w:rPr>
            </w:pPr>
            <w:r w:rsidRPr="00BA183C">
              <w:t>Text proposed by the Commission</w:t>
            </w:r>
          </w:p>
        </w:tc>
        <w:tc>
          <w:tcPr>
            <w:tcW w:w="4876" w:type="dxa"/>
          </w:tcPr>
          <w:p w:rsidR="002A6758" w:rsidRPr="00BA183C" w:rsidP="00CC5190" w14:paraId="260FEE75" w14:textId="77777777">
            <w:pPr>
              <w:pStyle w:val="AmColumnHeading"/>
              <w:keepNext/>
              <w:rPr>
                <w:b/>
                <w:bCs/>
              </w:rPr>
            </w:pPr>
            <w:r w:rsidRPr="00BA183C">
              <w:t>Modification</w:t>
            </w:r>
          </w:p>
        </w:tc>
      </w:tr>
      <w:tr w14:paraId="00FB866A" w14:textId="77777777" w:rsidTr="00CC5190">
        <w:tblPrEx>
          <w:tblW w:w="9752" w:type="dxa"/>
          <w:jc w:val="center"/>
          <w:tblLayout w:type="fixed"/>
          <w:tblLook w:val="0000"/>
        </w:tblPrEx>
        <w:trPr>
          <w:jc w:val="center"/>
        </w:trPr>
        <w:tc>
          <w:tcPr>
            <w:tcW w:w="4876" w:type="dxa"/>
          </w:tcPr>
          <w:p w:rsidR="002A6758" w:rsidRPr="00BA183C" w:rsidP="00CC5190" w14:paraId="2C581721" w14:textId="77777777">
            <w:pPr>
              <w:pStyle w:val="AmColumnHeading"/>
              <w:keepNext/>
              <w:jc w:val="left"/>
              <w:rPr>
                <w:i w:val="0"/>
                <w:iCs/>
              </w:rPr>
            </w:pPr>
          </w:p>
          <w:p w:rsidR="002A6758" w:rsidRPr="00BA183C" w:rsidP="00CC5190" w14:paraId="4A7C12E5" w14:textId="77777777">
            <w:pPr>
              <w:pStyle w:val="AmColumnHeading"/>
              <w:widowControl w:val="0"/>
              <w:spacing w:after="360"/>
              <w:jc w:val="left"/>
            </w:pPr>
          </w:p>
        </w:tc>
        <w:tc>
          <w:tcPr>
            <w:tcW w:w="4876" w:type="dxa"/>
          </w:tcPr>
          <w:p w:rsidR="002A6758" w:rsidRPr="00BA183C" w:rsidP="00CC5190" w14:paraId="14EDC717" w14:textId="77777777">
            <w:pPr>
              <w:pStyle w:val="AmColumnHeading"/>
              <w:keepNext/>
              <w:jc w:val="left"/>
              <w:rPr>
                <w:b/>
                <w:bCs/>
                <w:iCs/>
              </w:rPr>
            </w:pPr>
            <w:r w:rsidRPr="00BA183C">
              <w:rPr>
                <w:b/>
                <w:bCs/>
                <w:iCs/>
              </w:rPr>
              <w:t>(ba)</w:t>
            </w:r>
            <w:r w:rsidRPr="00BA183C">
              <w:rPr>
                <w:b/>
                <w:bCs/>
                <w:iCs/>
              </w:rPr>
              <w:tab/>
              <w:t xml:space="preserve">an amount corresponding to margins left available below the MFF ceilings for commitment appropriations of previous financial years; </w:t>
            </w:r>
          </w:p>
        </w:tc>
      </w:tr>
    </w:tbl>
    <w:p w:rsidR="002A6758" w:rsidRPr="00BA183C" w:rsidP="002A6758" w14:paraId="4C6047CE" w14:textId="77777777">
      <w:pPr>
        <w:pStyle w:val="AmNumberTabs"/>
        <w:keepNext/>
      </w:pPr>
      <w:r w:rsidRPr="00BA183C">
        <w:t>Modification</w:t>
      </w:r>
      <w:r w:rsidRPr="00BA183C">
        <w:tab/>
      </w:r>
      <w:r w:rsidRPr="00BA183C">
        <w:tab/>
        <w:t>15</w:t>
      </w:r>
    </w:p>
    <w:p w:rsidR="002A6758" w:rsidRPr="00BA183C" w:rsidP="002A6758" w14:paraId="24AF85A0" w14:textId="77777777">
      <w:pPr>
        <w:pStyle w:val="NormalBold12b"/>
        <w:keepNext/>
      </w:pPr>
      <w:r w:rsidRPr="00BA183C">
        <w:t>Proposal for a regulation</w:t>
      </w:r>
    </w:p>
    <w:p w:rsidR="002A6758" w:rsidRPr="00BA183C" w:rsidP="002A6758" w14:paraId="7CA61D9E" w14:textId="77777777">
      <w:pPr>
        <w:pStyle w:val="NormalBold"/>
      </w:pPr>
      <w:r w:rsidRPr="00BA183C">
        <w:t xml:space="preserve"> Chapter 3 – Article 8 – paragraph 2 – point bb (new)</w:t>
      </w:r>
    </w:p>
    <w:tbl>
      <w:tblPr>
        <w:tblW w:w="9752" w:type="dxa"/>
        <w:jc w:val="center"/>
        <w:tblLayout w:type="fixed"/>
        <w:tblCellMar>
          <w:left w:w="340" w:type="dxa"/>
          <w:right w:w="340" w:type="dxa"/>
        </w:tblCellMar>
        <w:tblLook w:val="0000"/>
      </w:tblPr>
      <w:tblGrid>
        <w:gridCol w:w="4876"/>
        <w:gridCol w:w="4876"/>
      </w:tblGrid>
      <w:tr w14:paraId="5AAB388D" w14:textId="77777777" w:rsidTr="00CC5190">
        <w:tblPrEx>
          <w:tblW w:w="9752" w:type="dxa"/>
          <w:jc w:val="center"/>
          <w:tblLayout w:type="fixed"/>
          <w:tblLook w:val="0000"/>
        </w:tblPrEx>
        <w:trPr>
          <w:jc w:val="center"/>
        </w:trPr>
        <w:tc>
          <w:tcPr>
            <w:tcW w:w="4876" w:type="dxa"/>
          </w:tcPr>
          <w:p w:rsidR="002A6758" w:rsidRPr="00BA183C" w:rsidP="00CC5190" w14:paraId="0BCB3614" w14:textId="77777777">
            <w:pPr>
              <w:pStyle w:val="AmColumnHeading"/>
              <w:keepNext/>
              <w:spacing w:after="0"/>
            </w:pPr>
          </w:p>
        </w:tc>
        <w:tc>
          <w:tcPr>
            <w:tcW w:w="4876" w:type="dxa"/>
          </w:tcPr>
          <w:p w:rsidR="002A6758" w:rsidRPr="00BA183C" w:rsidP="00CC5190" w14:paraId="0DE66487" w14:textId="77777777">
            <w:pPr>
              <w:pStyle w:val="AmColumnHeading"/>
              <w:keepNext/>
              <w:spacing w:after="0"/>
            </w:pPr>
          </w:p>
        </w:tc>
      </w:tr>
      <w:tr w14:paraId="4076C53B" w14:textId="77777777" w:rsidTr="00CC5190">
        <w:tblPrEx>
          <w:tblW w:w="9752" w:type="dxa"/>
          <w:jc w:val="center"/>
          <w:tblLayout w:type="fixed"/>
          <w:tblLook w:val="0000"/>
        </w:tblPrEx>
        <w:trPr>
          <w:jc w:val="center"/>
        </w:trPr>
        <w:tc>
          <w:tcPr>
            <w:tcW w:w="4876" w:type="dxa"/>
          </w:tcPr>
          <w:p w:rsidR="002A6758" w:rsidRPr="00BA183C" w:rsidP="00CC5190" w14:paraId="75A56B30" w14:textId="77777777">
            <w:pPr>
              <w:pStyle w:val="AmColumnHeading"/>
              <w:keepNext/>
              <w:rPr>
                <w:i w:val="0"/>
                <w:iCs/>
              </w:rPr>
            </w:pPr>
            <w:r w:rsidRPr="00BA183C">
              <w:t>Text proposed by the Commission</w:t>
            </w:r>
          </w:p>
        </w:tc>
        <w:tc>
          <w:tcPr>
            <w:tcW w:w="4876" w:type="dxa"/>
          </w:tcPr>
          <w:p w:rsidR="002A6758" w:rsidRPr="00BA183C" w:rsidP="00CC5190" w14:paraId="660DF4D7" w14:textId="77777777">
            <w:pPr>
              <w:pStyle w:val="AmColumnHeading"/>
              <w:keepNext/>
              <w:rPr>
                <w:b/>
                <w:bCs/>
              </w:rPr>
            </w:pPr>
            <w:r w:rsidRPr="00BA183C">
              <w:t>Modification</w:t>
            </w:r>
          </w:p>
        </w:tc>
      </w:tr>
      <w:tr w14:paraId="45E9C2B1" w14:textId="77777777" w:rsidTr="00CC5190">
        <w:tblPrEx>
          <w:tblW w:w="9752" w:type="dxa"/>
          <w:jc w:val="center"/>
          <w:tblLayout w:type="fixed"/>
          <w:tblLook w:val="0000"/>
        </w:tblPrEx>
        <w:trPr>
          <w:jc w:val="center"/>
        </w:trPr>
        <w:tc>
          <w:tcPr>
            <w:tcW w:w="4876" w:type="dxa"/>
          </w:tcPr>
          <w:p w:rsidR="002A6758" w:rsidRPr="00BA183C" w:rsidP="00CC5190" w14:paraId="27793C35" w14:textId="77777777">
            <w:pPr>
              <w:pStyle w:val="AmColumnHeading"/>
              <w:keepNext/>
              <w:jc w:val="left"/>
            </w:pPr>
          </w:p>
        </w:tc>
        <w:tc>
          <w:tcPr>
            <w:tcW w:w="4876" w:type="dxa"/>
          </w:tcPr>
          <w:p w:rsidR="002A6758" w:rsidRPr="00BA183C" w:rsidP="00CC5190" w14:paraId="71077393" w14:textId="77777777">
            <w:pPr>
              <w:pStyle w:val="AmColumnHeading"/>
              <w:keepNext/>
              <w:jc w:val="left"/>
              <w:rPr>
                <w:b/>
                <w:bCs/>
                <w:iCs/>
              </w:rPr>
            </w:pPr>
            <w:r w:rsidRPr="00BA183C">
              <w:rPr>
                <w:b/>
                <w:bCs/>
                <w:iCs/>
              </w:rPr>
              <w:t>(bb)</w:t>
            </w:r>
            <w:r w:rsidRPr="00BA183C">
              <w:rPr>
                <w:b/>
                <w:bCs/>
                <w:iCs/>
              </w:rPr>
              <w:tab/>
              <w:t>where there is a surplus in year n-1, an amount equivalent to that surplus, excluding revenue as referred to in point (a).</w:t>
            </w:r>
          </w:p>
        </w:tc>
      </w:tr>
    </w:tbl>
    <w:p w:rsidR="002A6758" w:rsidRPr="00BA183C" w:rsidP="002A6758" w14:paraId="33DED68B" w14:textId="77777777"/>
    <w:p w:rsidR="002A6758" w:rsidRPr="00BA183C" w:rsidP="002A6758" w14:paraId="06D96EF6" w14:textId="77777777">
      <w:pPr>
        <w:pStyle w:val="AmNumberTabs"/>
        <w:keepNext/>
      </w:pPr>
      <w:r w:rsidRPr="00BA183C">
        <w:t>Modification</w:t>
      </w:r>
      <w:r w:rsidRPr="00BA183C">
        <w:tab/>
      </w:r>
      <w:r w:rsidRPr="00BA183C">
        <w:tab/>
        <w:t>16</w:t>
      </w:r>
    </w:p>
    <w:p w:rsidR="002A6758" w:rsidRPr="00BA183C" w:rsidP="002A6758" w14:paraId="5E828C63" w14:textId="77777777">
      <w:pPr>
        <w:pStyle w:val="NormalBold12b"/>
        <w:keepNext/>
      </w:pPr>
      <w:r w:rsidRPr="00BA183C">
        <w:t>Proposal for a regulation</w:t>
      </w:r>
    </w:p>
    <w:p w:rsidR="002A6758" w:rsidRPr="00BA183C" w:rsidP="002A6758" w14:paraId="51509492" w14:textId="77777777">
      <w:pPr>
        <w:pStyle w:val="NormalBold"/>
      </w:pPr>
      <w:r w:rsidRPr="00BA183C">
        <w:t xml:space="preserve"> Chapter 3 – Article 8 – paragraph 2 – subparagraph 1 a (new)</w:t>
      </w:r>
    </w:p>
    <w:tbl>
      <w:tblPr>
        <w:tblW w:w="9752" w:type="dxa"/>
        <w:jc w:val="center"/>
        <w:tblLayout w:type="fixed"/>
        <w:tblCellMar>
          <w:left w:w="340" w:type="dxa"/>
          <w:right w:w="340" w:type="dxa"/>
        </w:tblCellMar>
        <w:tblLook w:val="0000"/>
      </w:tblPr>
      <w:tblGrid>
        <w:gridCol w:w="4876"/>
        <w:gridCol w:w="4876"/>
      </w:tblGrid>
      <w:tr w14:paraId="3EA38E59" w14:textId="77777777" w:rsidTr="00CC5190">
        <w:tblPrEx>
          <w:tblW w:w="9752" w:type="dxa"/>
          <w:jc w:val="center"/>
          <w:tblLayout w:type="fixed"/>
          <w:tblLook w:val="0000"/>
        </w:tblPrEx>
        <w:trPr>
          <w:jc w:val="center"/>
        </w:trPr>
        <w:tc>
          <w:tcPr>
            <w:tcW w:w="4876" w:type="dxa"/>
          </w:tcPr>
          <w:p w:rsidR="002A6758" w:rsidRPr="00BA183C" w:rsidP="00CC5190" w14:paraId="1B608061" w14:textId="77777777">
            <w:pPr>
              <w:pStyle w:val="AmColumnHeading"/>
              <w:keepNext/>
              <w:spacing w:after="0"/>
            </w:pPr>
          </w:p>
        </w:tc>
        <w:tc>
          <w:tcPr>
            <w:tcW w:w="4876" w:type="dxa"/>
          </w:tcPr>
          <w:p w:rsidR="002A6758" w:rsidRPr="00BA183C" w:rsidP="00CC5190" w14:paraId="6029CCD2" w14:textId="77777777">
            <w:pPr>
              <w:pStyle w:val="AmColumnHeading"/>
              <w:keepNext/>
              <w:spacing w:after="0"/>
            </w:pPr>
          </w:p>
        </w:tc>
      </w:tr>
      <w:tr w14:paraId="18C9E170" w14:textId="77777777" w:rsidTr="00CC5190">
        <w:tblPrEx>
          <w:tblW w:w="9752" w:type="dxa"/>
          <w:jc w:val="center"/>
          <w:tblLayout w:type="fixed"/>
          <w:tblLook w:val="0000"/>
        </w:tblPrEx>
        <w:trPr>
          <w:jc w:val="center"/>
        </w:trPr>
        <w:tc>
          <w:tcPr>
            <w:tcW w:w="4876" w:type="dxa"/>
          </w:tcPr>
          <w:p w:rsidR="002A6758" w:rsidRPr="00BA183C" w:rsidP="00CC5190" w14:paraId="2398C20D" w14:textId="77777777">
            <w:pPr>
              <w:pStyle w:val="AmColumnHeading"/>
              <w:keepNext/>
              <w:rPr>
                <w:i w:val="0"/>
                <w:iCs/>
              </w:rPr>
            </w:pPr>
            <w:r w:rsidRPr="00BA183C">
              <w:t>Text proposed by the Commission</w:t>
            </w:r>
          </w:p>
        </w:tc>
        <w:tc>
          <w:tcPr>
            <w:tcW w:w="4876" w:type="dxa"/>
          </w:tcPr>
          <w:p w:rsidR="002A6758" w:rsidRPr="00BA183C" w:rsidP="00CC5190" w14:paraId="36593EC5" w14:textId="77777777">
            <w:pPr>
              <w:pStyle w:val="AmColumnHeading"/>
              <w:keepNext/>
              <w:rPr>
                <w:b/>
                <w:bCs/>
              </w:rPr>
            </w:pPr>
            <w:r w:rsidRPr="00BA183C">
              <w:t>Modification</w:t>
            </w:r>
          </w:p>
        </w:tc>
      </w:tr>
      <w:tr w14:paraId="53435BE2" w14:textId="77777777" w:rsidTr="00CC5190">
        <w:tblPrEx>
          <w:tblW w:w="9752" w:type="dxa"/>
          <w:jc w:val="center"/>
          <w:tblLayout w:type="fixed"/>
          <w:tblLook w:val="0000"/>
        </w:tblPrEx>
        <w:trPr>
          <w:jc w:val="center"/>
        </w:trPr>
        <w:tc>
          <w:tcPr>
            <w:tcW w:w="4876" w:type="dxa"/>
          </w:tcPr>
          <w:p w:rsidR="002A6758" w:rsidRPr="00BA183C" w:rsidP="00CC5190" w14:paraId="13DA3F4F" w14:textId="77777777">
            <w:pPr>
              <w:pStyle w:val="AmColumnHeading"/>
              <w:keepNext/>
              <w:jc w:val="left"/>
            </w:pPr>
          </w:p>
        </w:tc>
        <w:tc>
          <w:tcPr>
            <w:tcW w:w="4876" w:type="dxa"/>
          </w:tcPr>
          <w:p w:rsidR="002A6758" w:rsidRPr="00BA183C" w:rsidP="00CC5190" w14:paraId="36BB8753" w14:textId="77777777">
            <w:pPr>
              <w:pStyle w:val="AmColumnHeading"/>
              <w:widowControl w:val="0"/>
              <w:jc w:val="left"/>
            </w:pPr>
            <w:r w:rsidRPr="00BA183C">
              <w:rPr>
                <w:b/>
                <w:bCs/>
                <w:iCs/>
              </w:rPr>
              <w:t xml:space="preserve">Where necessary and as a last resort, the European Parliament and the Council may increase the amount referred to in the first subparagraph by an amount that shall not exceed in a given year 0,04 % of the gross national income of the Union, as calculated in the technical adjustment referred to in Article 4, and that shall be fully offset against the margin of commitment or payment appropriations, or both, in one or more MFF headings for the current or future financial years. Amounts that are offset in that way shall not be further mobilised in the context of the MFF and shall be consistent with the own resources ceiling. </w:t>
            </w:r>
          </w:p>
        </w:tc>
      </w:tr>
    </w:tbl>
    <w:p w:rsidR="002A6758" w:rsidRPr="00BA183C" w:rsidP="002A6758" w14:paraId="5A28DA0C" w14:textId="77777777"/>
    <w:p w:rsidR="002A6758" w:rsidRPr="00BA183C" w:rsidP="002A6758" w14:paraId="6C41DC3E" w14:textId="77777777">
      <w:pPr>
        <w:pStyle w:val="AmNumberTabs"/>
        <w:keepNext/>
      </w:pPr>
      <w:r w:rsidRPr="00BA183C">
        <w:t>Modification</w:t>
      </w:r>
      <w:r w:rsidRPr="00BA183C">
        <w:tab/>
      </w:r>
      <w:r w:rsidRPr="00BA183C">
        <w:tab/>
        <w:t>17</w:t>
      </w:r>
    </w:p>
    <w:p w:rsidR="002A6758" w:rsidRPr="00BA183C" w:rsidP="002A6758" w14:paraId="35AB2737" w14:textId="77777777">
      <w:pPr>
        <w:pStyle w:val="NormalBold12b"/>
        <w:keepNext/>
      </w:pPr>
      <w:r w:rsidRPr="00BA183C">
        <w:t>Proposal for a regulation</w:t>
      </w:r>
    </w:p>
    <w:p w:rsidR="002A6758" w:rsidRPr="00BA183C" w:rsidP="002A6758" w14:paraId="020C4A04" w14:textId="77777777">
      <w:pPr>
        <w:pStyle w:val="NormalBold"/>
      </w:pPr>
      <w:r w:rsidRPr="00BA183C">
        <w:t xml:space="preserve"> Chapter 3 – Article 8 – paragraph 2 – subparagraph 2</w:t>
      </w:r>
    </w:p>
    <w:tbl>
      <w:tblPr>
        <w:tblW w:w="9752" w:type="dxa"/>
        <w:jc w:val="center"/>
        <w:tblLayout w:type="fixed"/>
        <w:tblCellMar>
          <w:left w:w="340" w:type="dxa"/>
          <w:right w:w="340" w:type="dxa"/>
        </w:tblCellMar>
        <w:tblLook w:val="0000"/>
      </w:tblPr>
      <w:tblGrid>
        <w:gridCol w:w="4876"/>
        <w:gridCol w:w="4876"/>
      </w:tblGrid>
      <w:tr w14:paraId="1C52C42C" w14:textId="77777777" w:rsidTr="00CC5190">
        <w:tblPrEx>
          <w:tblW w:w="9752" w:type="dxa"/>
          <w:jc w:val="center"/>
          <w:tblLayout w:type="fixed"/>
          <w:tblLook w:val="0000"/>
        </w:tblPrEx>
        <w:trPr>
          <w:jc w:val="center"/>
        </w:trPr>
        <w:tc>
          <w:tcPr>
            <w:tcW w:w="4876" w:type="dxa"/>
          </w:tcPr>
          <w:p w:rsidR="002A6758" w:rsidRPr="00BA183C" w:rsidP="00CC5190" w14:paraId="2C80378C" w14:textId="77777777">
            <w:pPr>
              <w:pStyle w:val="AmColumnHeading"/>
              <w:keepNext/>
              <w:spacing w:after="0"/>
            </w:pPr>
          </w:p>
        </w:tc>
        <w:tc>
          <w:tcPr>
            <w:tcW w:w="4876" w:type="dxa"/>
          </w:tcPr>
          <w:p w:rsidR="002A6758" w:rsidRPr="00BA183C" w:rsidP="00CC5190" w14:paraId="4DDFC343" w14:textId="77777777">
            <w:pPr>
              <w:pStyle w:val="AmColumnHeading"/>
              <w:keepNext/>
              <w:spacing w:after="0"/>
            </w:pPr>
          </w:p>
        </w:tc>
      </w:tr>
      <w:tr w14:paraId="00B66BD6" w14:textId="77777777" w:rsidTr="00CC5190">
        <w:tblPrEx>
          <w:tblW w:w="9752" w:type="dxa"/>
          <w:jc w:val="center"/>
          <w:tblLayout w:type="fixed"/>
          <w:tblLook w:val="0000"/>
        </w:tblPrEx>
        <w:trPr>
          <w:jc w:val="center"/>
        </w:trPr>
        <w:tc>
          <w:tcPr>
            <w:tcW w:w="4876" w:type="dxa"/>
          </w:tcPr>
          <w:p w:rsidR="002A6758" w:rsidRPr="00BA183C" w:rsidP="00CC5190" w14:paraId="2E3C95DD" w14:textId="77777777">
            <w:pPr>
              <w:pStyle w:val="AmColumnHeading"/>
              <w:keepNext/>
              <w:rPr>
                <w:i w:val="0"/>
                <w:iCs/>
              </w:rPr>
            </w:pPr>
            <w:r w:rsidRPr="00BA183C">
              <w:t>Text proposed by the Commission</w:t>
            </w:r>
          </w:p>
        </w:tc>
        <w:tc>
          <w:tcPr>
            <w:tcW w:w="4876" w:type="dxa"/>
          </w:tcPr>
          <w:p w:rsidR="002A6758" w:rsidRPr="00BA183C" w:rsidP="00CC5190" w14:paraId="654E1CDE" w14:textId="77777777">
            <w:pPr>
              <w:pStyle w:val="AmColumnHeading"/>
              <w:keepNext/>
              <w:rPr>
                <w:b/>
                <w:bCs/>
              </w:rPr>
            </w:pPr>
            <w:r w:rsidRPr="00BA183C">
              <w:t>Modification</w:t>
            </w:r>
          </w:p>
        </w:tc>
      </w:tr>
      <w:tr w14:paraId="409CCDD0" w14:textId="77777777" w:rsidTr="00CC5190">
        <w:tblPrEx>
          <w:tblW w:w="9752" w:type="dxa"/>
          <w:jc w:val="center"/>
          <w:tblLayout w:type="fixed"/>
          <w:tblLook w:val="0000"/>
        </w:tblPrEx>
        <w:trPr>
          <w:jc w:val="center"/>
        </w:trPr>
        <w:tc>
          <w:tcPr>
            <w:tcW w:w="4876" w:type="dxa"/>
          </w:tcPr>
          <w:p w:rsidR="002A6758" w:rsidRPr="00BA183C" w:rsidP="00CC5190" w14:paraId="71539588" w14:textId="77777777">
            <w:pPr>
              <w:pStyle w:val="AmColumnHeading"/>
              <w:keepNext/>
              <w:jc w:val="left"/>
            </w:pPr>
            <w:r w:rsidRPr="00BA183C">
              <w:rPr>
                <w:i w:val="0"/>
              </w:rPr>
              <w:t xml:space="preserve">The Commission shall calculate each year, as part of technical adjustments referred to in Article 4, the amounts available </w:t>
            </w:r>
            <w:r w:rsidRPr="00BA183C">
              <w:rPr>
                <w:i w:val="0"/>
              </w:rPr>
              <w:t>on the basis of</w:t>
            </w:r>
            <w:r w:rsidRPr="00BA183C">
              <w:rPr>
                <w:i w:val="0"/>
              </w:rPr>
              <w:t xml:space="preserve"> the first </w:t>
            </w:r>
            <w:r w:rsidRPr="00BA183C">
              <w:rPr>
                <w:b/>
                <w:bCs/>
                <w:iCs/>
              </w:rPr>
              <w:t>subparagraph,</w:t>
            </w:r>
            <w:r w:rsidRPr="00BA183C">
              <w:rPr>
                <w:i w:val="0"/>
              </w:rPr>
              <w:t xml:space="preserve"> </w:t>
            </w:r>
            <w:r w:rsidRPr="00BA183C">
              <w:rPr>
                <w:b/>
                <w:bCs/>
                <w:iCs/>
              </w:rPr>
              <w:t>points (a) and (b)</w:t>
            </w:r>
            <w:r w:rsidRPr="00BA183C">
              <w:rPr>
                <w:iCs/>
              </w:rPr>
              <w:t xml:space="preserve"> </w:t>
            </w:r>
            <w:r w:rsidRPr="00BA183C">
              <w:rPr>
                <w:i w:val="0"/>
              </w:rPr>
              <w:t>of this paragraph.</w:t>
            </w:r>
          </w:p>
        </w:tc>
        <w:tc>
          <w:tcPr>
            <w:tcW w:w="4876" w:type="dxa"/>
          </w:tcPr>
          <w:p w:rsidR="002A6758" w:rsidRPr="00BA183C" w:rsidP="00CC5190" w14:paraId="2E9C635E" w14:textId="77777777">
            <w:pPr>
              <w:pStyle w:val="Normal6a"/>
              <w:rPr>
                <w:szCs w:val="24"/>
              </w:rPr>
            </w:pPr>
            <w:r w:rsidRPr="00BA183C">
              <w:t xml:space="preserve">The Commission shall calculate each year, as part of technical adjustments referred to in Article 4, the amounts available </w:t>
            </w:r>
            <w:r w:rsidRPr="00BA183C">
              <w:t>on the basis of</w:t>
            </w:r>
            <w:r w:rsidRPr="00BA183C">
              <w:t xml:space="preserve"> the first </w:t>
            </w:r>
            <w:r w:rsidRPr="00BA183C">
              <w:rPr>
                <w:b/>
                <w:bCs/>
                <w:i/>
                <w:iCs/>
              </w:rPr>
              <w:t>and second</w:t>
            </w:r>
            <w:r w:rsidRPr="00BA183C">
              <w:rPr>
                <w:b/>
                <w:bCs/>
              </w:rPr>
              <w:t xml:space="preserve"> </w:t>
            </w:r>
            <w:r w:rsidRPr="00BA183C">
              <w:rPr>
                <w:b/>
                <w:bCs/>
                <w:i/>
                <w:iCs/>
              </w:rPr>
              <w:t>subparagraphs</w:t>
            </w:r>
            <w:r w:rsidRPr="00BA183C">
              <w:t xml:space="preserve"> of this paragraph.</w:t>
            </w:r>
          </w:p>
        </w:tc>
      </w:tr>
    </w:tbl>
    <w:p w:rsidR="002A6758" w:rsidRPr="00BA183C" w:rsidP="002A6758" w14:paraId="5A907509" w14:textId="77777777"/>
    <w:p w:rsidR="002A6758" w:rsidRPr="00BA183C" w:rsidP="002A6758" w14:paraId="72E6B741" w14:textId="77777777">
      <w:pPr>
        <w:pStyle w:val="AmNumberTabs"/>
        <w:keepNext/>
      </w:pPr>
      <w:r w:rsidRPr="00BA183C">
        <w:t>Modification</w:t>
      </w:r>
      <w:r w:rsidRPr="00BA183C">
        <w:tab/>
      </w:r>
      <w:r w:rsidRPr="00BA183C">
        <w:tab/>
        <w:t>18</w:t>
      </w:r>
    </w:p>
    <w:p w:rsidR="002A6758" w:rsidRPr="00BA183C" w:rsidP="002A6758" w14:paraId="1811226A" w14:textId="77777777">
      <w:pPr>
        <w:pStyle w:val="NormalBold12b"/>
        <w:keepNext/>
      </w:pPr>
      <w:r w:rsidRPr="00BA183C">
        <w:t>Proposal for a regulation</w:t>
      </w:r>
    </w:p>
    <w:p w:rsidR="002A6758" w:rsidRPr="00BA183C" w:rsidP="002A6758" w14:paraId="64620244" w14:textId="77777777">
      <w:pPr>
        <w:pStyle w:val="NormalBold"/>
      </w:pPr>
      <w:r w:rsidRPr="00BA183C">
        <w:t xml:space="preserve"> Chapter 3 – Article 8 a (new) </w:t>
      </w:r>
    </w:p>
    <w:p w:rsidR="002A6758" w:rsidRPr="00BA183C" w:rsidP="002A6758" w14:paraId="1EFDC8AA" w14:textId="77777777"/>
    <w:tbl>
      <w:tblPr>
        <w:tblW w:w="9752" w:type="dxa"/>
        <w:jc w:val="center"/>
        <w:tblLayout w:type="fixed"/>
        <w:tblCellMar>
          <w:left w:w="340" w:type="dxa"/>
          <w:right w:w="340" w:type="dxa"/>
        </w:tblCellMar>
        <w:tblLook w:val="0000"/>
      </w:tblPr>
      <w:tblGrid>
        <w:gridCol w:w="4876"/>
        <w:gridCol w:w="4876"/>
      </w:tblGrid>
      <w:tr w14:paraId="11043D00" w14:textId="77777777" w:rsidTr="00CC5190">
        <w:tblPrEx>
          <w:tblW w:w="9752" w:type="dxa"/>
          <w:jc w:val="center"/>
          <w:tblLayout w:type="fixed"/>
          <w:tblLook w:val="0000"/>
        </w:tblPrEx>
        <w:trPr>
          <w:jc w:val="center"/>
        </w:trPr>
        <w:tc>
          <w:tcPr>
            <w:tcW w:w="9752" w:type="dxa"/>
            <w:gridSpan w:val="2"/>
          </w:tcPr>
          <w:p w:rsidR="002A6758" w:rsidRPr="00BA183C" w:rsidP="00CC5190" w14:paraId="0907F30F" w14:textId="77777777">
            <w:pPr>
              <w:keepNext/>
            </w:pPr>
          </w:p>
        </w:tc>
      </w:tr>
      <w:tr w14:paraId="5A135D8B" w14:textId="77777777" w:rsidTr="00CC5190">
        <w:tblPrEx>
          <w:tblW w:w="9752" w:type="dxa"/>
          <w:jc w:val="center"/>
          <w:tblLayout w:type="fixed"/>
          <w:tblLook w:val="0000"/>
        </w:tblPrEx>
        <w:trPr>
          <w:jc w:val="center"/>
        </w:trPr>
        <w:tc>
          <w:tcPr>
            <w:tcW w:w="4876" w:type="dxa"/>
          </w:tcPr>
          <w:p w:rsidR="002A6758" w:rsidRPr="00BA183C" w:rsidP="00CC5190" w14:paraId="6AA4E577" w14:textId="77777777">
            <w:pPr>
              <w:pStyle w:val="AmColumnHeading"/>
              <w:keepNext/>
              <w:rPr>
                <w:i w:val="0"/>
                <w:iCs/>
              </w:rPr>
            </w:pPr>
            <w:r w:rsidRPr="00BA183C">
              <w:t>Text proposed by the Commission</w:t>
            </w:r>
          </w:p>
        </w:tc>
        <w:tc>
          <w:tcPr>
            <w:tcW w:w="4876" w:type="dxa"/>
          </w:tcPr>
          <w:p w:rsidR="002A6758" w:rsidRPr="00BA183C" w:rsidP="00CC5190" w14:paraId="5303F679" w14:textId="77777777">
            <w:pPr>
              <w:pStyle w:val="AmColumnHeading"/>
              <w:keepNext/>
              <w:rPr>
                <w:b/>
                <w:bCs/>
              </w:rPr>
            </w:pPr>
            <w:r w:rsidRPr="00BA183C">
              <w:t>Modification</w:t>
            </w:r>
          </w:p>
        </w:tc>
      </w:tr>
      <w:tr w14:paraId="40CAAE64" w14:textId="77777777" w:rsidTr="00CC5190">
        <w:tblPrEx>
          <w:tblW w:w="9752" w:type="dxa"/>
          <w:jc w:val="center"/>
          <w:tblLayout w:type="fixed"/>
          <w:tblLook w:val="0000"/>
        </w:tblPrEx>
        <w:trPr>
          <w:jc w:val="center"/>
        </w:trPr>
        <w:tc>
          <w:tcPr>
            <w:tcW w:w="4876" w:type="dxa"/>
          </w:tcPr>
          <w:p w:rsidR="002A6758" w:rsidRPr="00BA183C" w:rsidP="00CC5190" w14:paraId="33F87251" w14:textId="77777777">
            <w:pPr>
              <w:pStyle w:val="Normal6a"/>
            </w:pPr>
            <w:r w:rsidRPr="00BA183C">
              <w:t xml:space="preserve"> </w:t>
            </w:r>
          </w:p>
        </w:tc>
        <w:tc>
          <w:tcPr>
            <w:tcW w:w="4876" w:type="dxa"/>
          </w:tcPr>
          <w:p w:rsidR="002A6758" w:rsidRPr="00BA183C" w:rsidP="00CC5190" w14:paraId="5D465894" w14:textId="77777777">
            <w:pPr>
              <w:pStyle w:val="AmColumnHeading"/>
              <w:rPr>
                <w:b/>
                <w:bCs/>
                <w:iCs/>
              </w:rPr>
            </w:pPr>
            <w:r w:rsidRPr="00BA183C">
              <w:rPr>
                <w:b/>
                <w:bCs/>
                <w:iCs/>
              </w:rPr>
              <w:t>Article 8a</w:t>
            </w:r>
          </w:p>
          <w:p w:rsidR="002A6758" w:rsidRPr="00BA183C" w:rsidP="00CC5190" w14:paraId="6EC106B8" w14:textId="77777777">
            <w:pPr>
              <w:pStyle w:val="AmColumnHeading"/>
              <w:jc w:val="left"/>
              <w:rPr>
                <w:b/>
                <w:bCs/>
                <w:iCs/>
              </w:rPr>
            </w:pPr>
            <w:r w:rsidRPr="00BA183C">
              <w:rPr>
                <w:b/>
                <w:bCs/>
                <w:iCs/>
              </w:rPr>
              <w:t>Solidarity Reserve for Natural Disasters</w:t>
            </w:r>
          </w:p>
          <w:p w:rsidR="002A6758" w:rsidRPr="00BA183C" w:rsidP="00CC5190" w14:paraId="7E2BC2B1" w14:textId="77777777">
            <w:pPr>
              <w:pStyle w:val="AmColumnHeading"/>
              <w:keepNext/>
              <w:jc w:val="left"/>
              <w:rPr>
                <w:b/>
                <w:bCs/>
                <w:iCs/>
              </w:rPr>
            </w:pPr>
            <w:r w:rsidRPr="00BA183C">
              <w:rPr>
                <w:b/>
                <w:bCs/>
                <w:i w:val="0"/>
              </w:rPr>
              <w:t>1.</w:t>
            </w:r>
            <w:r w:rsidRPr="00BA183C">
              <w:rPr>
                <w:b/>
                <w:bCs/>
                <w:i w:val="0"/>
              </w:rPr>
              <w:tab/>
            </w:r>
            <w:r w:rsidRPr="00BA183C">
              <w:rPr>
                <w:b/>
                <w:bCs/>
                <w:iCs/>
              </w:rPr>
              <w:t xml:space="preserve">The Solidarity Reserve for Natural Disasters may be used as a last resort to finance responses to specific needs within the Union for emergency responses and support operations following direct damage caused as a direct consequence of a natural disaster. </w:t>
            </w:r>
          </w:p>
          <w:p w:rsidR="002A6758" w:rsidRPr="00BA183C" w:rsidP="00CC5190" w14:paraId="6FD8F842" w14:textId="77777777">
            <w:pPr>
              <w:pStyle w:val="AmColumnHeading"/>
              <w:keepNext/>
              <w:jc w:val="left"/>
              <w:rPr>
                <w:b/>
                <w:bCs/>
                <w:iCs/>
              </w:rPr>
            </w:pPr>
            <w:r w:rsidRPr="00BA183C">
              <w:rPr>
                <w:b/>
                <w:bCs/>
                <w:i w:val="0"/>
              </w:rPr>
              <w:t>2.</w:t>
            </w:r>
            <w:r w:rsidRPr="00BA183C">
              <w:rPr>
                <w:b/>
                <w:bCs/>
                <w:i w:val="0"/>
              </w:rPr>
              <w:tab/>
            </w:r>
            <w:r w:rsidRPr="00BA183C">
              <w:rPr>
                <w:b/>
                <w:bCs/>
                <w:iCs/>
              </w:rPr>
              <w:t xml:space="preserve">The Solidarity Reserve for Natural Disasters shall not exceed a maximum annual amount of EUR 4 billion (in 2025 prices). Any portion of the annual amount not used in year n may be used in the following years until 2034. </w:t>
            </w:r>
          </w:p>
          <w:p w:rsidR="002A6758" w:rsidRPr="00BA183C" w:rsidP="00CC5190" w14:paraId="71B8F4D5" w14:textId="77777777">
            <w:pPr>
              <w:pStyle w:val="AmColumnHeading"/>
              <w:keepNext/>
              <w:jc w:val="left"/>
              <w:rPr>
                <w:b/>
                <w:bCs/>
                <w:iCs/>
              </w:rPr>
            </w:pPr>
            <w:r w:rsidRPr="00BA183C">
              <w:rPr>
                <w:b/>
                <w:bCs/>
                <w:iCs/>
              </w:rPr>
              <w:t xml:space="preserve">On 1 October of each year, at least one quarter of the annual amount of the Solidarity Reserve for Natural Disasters shall remain available </w:t>
            </w:r>
            <w:r w:rsidRPr="00BA183C">
              <w:rPr>
                <w:b/>
                <w:bCs/>
                <w:iCs/>
              </w:rPr>
              <w:t>in order to</w:t>
            </w:r>
            <w:r w:rsidRPr="00BA183C">
              <w:rPr>
                <w:b/>
                <w:bCs/>
                <w:iCs/>
              </w:rPr>
              <w:t xml:space="preserve"> cover needs arising until the end of that year.</w:t>
            </w:r>
          </w:p>
          <w:p w:rsidR="002A6758" w:rsidRPr="00BA183C" w:rsidP="00CC5190" w14:paraId="5F958F21" w14:textId="77777777">
            <w:pPr>
              <w:pStyle w:val="AmColumnHeading"/>
              <w:keepNext/>
              <w:jc w:val="left"/>
              <w:rPr>
                <w:b/>
                <w:bCs/>
                <w:iCs/>
              </w:rPr>
            </w:pPr>
            <w:r w:rsidRPr="00BA183C">
              <w:rPr>
                <w:b/>
                <w:bCs/>
                <w:iCs/>
              </w:rPr>
              <w:t xml:space="preserve">In exceptional cases and if the remaining financial resources available are not sufficient to cover the amounts considered necessary in the year of occurrence of an event as referred to in paragraph 1, the Commission may propose that the difference be financed through the annual amount referred to in paragraph 2 available in the following year, up to a </w:t>
            </w:r>
            <w:r w:rsidRPr="00BA183C">
              <w:rPr>
                <w:b/>
                <w:bCs/>
                <w:iCs/>
              </w:rPr>
              <w:t>maximum amount of EUR 1 billion (in 2025 prices).</w:t>
            </w:r>
          </w:p>
          <w:p w:rsidR="002A6758" w:rsidRPr="00BA183C" w:rsidP="00CC5190" w14:paraId="07A0D9A8" w14:textId="77777777">
            <w:pPr>
              <w:pStyle w:val="Normal6a"/>
              <w:rPr>
                <w:szCs w:val="24"/>
              </w:rPr>
            </w:pPr>
            <w:r w:rsidRPr="00BA183C">
              <w:rPr>
                <w:b/>
                <w:bCs/>
                <w:i/>
                <w:iCs/>
              </w:rPr>
              <w:t>3.</w:t>
            </w:r>
            <w:r w:rsidRPr="00BA183C">
              <w:rPr>
                <w:b/>
                <w:bCs/>
                <w:i/>
                <w:iCs/>
              </w:rPr>
              <w:tab/>
              <w:t>The appropriations for the Solidarity Reserve for Natural Disasters shall be entered in the general budget of the Union as a provision.</w:t>
            </w:r>
          </w:p>
        </w:tc>
      </w:tr>
    </w:tbl>
    <w:p w:rsidR="002A6758" w:rsidRPr="00BA183C" w:rsidP="002A6758" w14:paraId="3A90FA2F" w14:textId="77777777">
      <w:pPr>
        <w:pStyle w:val="AmNumberTabs"/>
        <w:keepNext/>
      </w:pPr>
      <w:r w:rsidRPr="00BA183C">
        <w:t>Modification</w:t>
      </w:r>
      <w:r w:rsidRPr="00BA183C">
        <w:tab/>
      </w:r>
      <w:r w:rsidRPr="00BA183C">
        <w:tab/>
        <w:t>19</w:t>
      </w:r>
    </w:p>
    <w:p w:rsidR="002A6758" w:rsidRPr="00BA183C" w:rsidP="002A6758" w14:paraId="66DABE54" w14:textId="77777777">
      <w:pPr>
        <w:pStyle w:val="NormalBold12b"/>
        <w:keepNext/>
      </w:pPr>
      <w:r w:rsidRPr="00BA183C">
        <w:t>Proposal for a regulation</w:t>
      </w:r>
    </w:p>
    <w:p w:rsidR="002A6758" w:rsidRPr="00BA183C" w:rsidP="002A6758" w14:paraId="70C493E0" w14:textId="77777777">
      <w:pPr>
        <w:pStyle w:val="NormalBold"/>
      </w:pPr>
      <w:r w:rsidRPr="00BA183C">
        <w:t xml:space="preserve"> Chapter 4 – Article 9 – title</w:t>
      </w:r>
    </w:p>
    <w:p w:rsidR="002A6758" w:rsidRPr="00BA183C" w:rsidP="002A6758" w14:paraId="4069DFC7" w14:textId="77777777"/>
    <w:tbl>
      <w:tblPr>
        <w:tblW w:w="9752" w:type="dxa"/>
        <w:jc w:val="center"/>
        <w:tblLayout w:type="fixed"/>
        <w:tblCellMar>
          <w:left w:w="340" w:type="dxa"/>
          <w:right w:w="340" w:type="dxa"/>
        </w:tblCellMar>
        <w:tblLook w:val="0000"/>
      </w:tblPr>
      <w:tblGrid>
        <w:gridCol w:w="4876"/>
        <w:gridCol w:w="4876"/>
      </w:tblGrid>
      <w:tr w14:paraId="6AEF1344" w14:textId="77777777" w:rsidTr="00CC5190">
        <w:tblPrEx>
          <w:tblW w:w="9752" w:type="dxa"/>
          <w:jc w:val="center"/>
          <w:tblLayout w:type="fixed"/>
          <w:tblLook w:val="0000"/>
        </w:tblPrEx>
        <w:trPr>
          <w:jc w:val="center"/>
        </w:trPr>
        <w:tc>
          <w:tcPr>
            <w:tcW w:w="9752" w:type="dxa"/>
            <w:gridSpan w:val="2"/>
          </w:tcPr>
          <w:p w:rsidR="002A6758" w:rsidRPr="00BA183C" w:rsidP="00CC5190" w14:paraId="38BAA23F" w14:textId="77777777">
            <w:pPr>
              <w:keepNext/>
            </w:pPr>
          </w:p>
        </w:tc>
      </w:tr>
      <w:tr w14:paraId="3E6623EF" w14:textId="77777777" w:rsidTr="00CC5190">
        <w:tblPrEx>
          <w:tblW w:w="9752" w:type="dxa"/>
          <w:jc w:val="center"/>
          <w:tblLayout w:type="fixed"/>
          <w:tblLook w:val="0000"/>
        </w:tblPrEx>
        <w:trPr>
          <w:jc w:val="center"/>
        </w:trPr>
        <w:tc>
          <w:tcPr>
            <w:tcW w:w="4876" w:type="dxa"/>
          </w:tcPr>
          <w:p w:rsidR="002A6758" w:rsidRPr="00BA183C" w:rsidP="00CC5190" w14:paraId="70C3035F" w14:textId="77777777">
            <w:pPr>
              <w:pStyle w:val="AmColumnHeading"/>
              <w:keepNext/>
              <w:rPr>
                <w:i w:val="0"/>
                <w:iCs/>
              </w:rPr>
            </w:pPr>
            <w:r w:rsidRPr="00BA183C">
              <w:t>Text proposed by the Commission</w:t>
            </w:r>
          </w:p>
        </w:tc>
        <w:tc>
          <w:tcPr>
            <w:tcW w:w="4876" w:type="dxa"/>
          </w:tcPr>
          <w:p w:rsidR="002A6758" w:rsidRPr="00BA183C" w:rsidP="00CC5190" w14:paraId="04655478" w14:textId="77777777">
            <w:pPr>
              <w:pStyle w:val="AmColumnHeading"/>
              <w:keepNext/>
              <w:rPr>
                <w:b/>
                <w:bCs/>
              </w:rPr>
            </w:pPr>
            <w:r w:rsidRPr="00BA183C">
              <w:t>Modification</w:t>
            </w:r>
          </w:p>
        </w:tc>
      </w:tr>
      <w:tr w14:paraId="3BB10212" w14:textId="77777777" w:rsidTr="00CC5190">
        <w:tblPrEx>
          <w:tblW w:w="9752" w:type="dxa"/>
          <w:jc w:val="center"/>
          <w:tblLayout w:type="fixed"/>
          <w:tblLook w:val="0000"/>
        </w:tblPrEx>
        <w:trPr>
          <w:jc w:val="center"/>
        </w:trPr>
        <w:tc>
          <w:tcPr>
            <w:tcW w:w="4876" w:type="dxa"/>
          </w:tcPr>
          <w:p w:rsidR="002A6758" w:rsidRPr="00BA183C" w:rsidP="00CC5190" w14:paraId="6F7D6555" w14:textId="77777777">
            <w:pPr>
              <w:pStyle w:val="Normal6a"/>
              <w:jc w:val="center"/>
              <w:rPr>
                <w:i/>
              </w:rPr>
            </w:pPr>
            <w:r w:rsidRPr="00BA183C">
              <w:rPr>
                <w:b/>
                <w:bCs/>
                <w:i/>
              </w:rPr>
              <w:t>Revision of the MFF to ensure compliance with the own resources ceiling</w:t>
            </w:r>
          </w:p>
        </w:tc>
        <w:tc>
          <w:tcPr>
            <w:tcW w:w="4876" w:type="dxa"/>
          </w:tcPr>
          <w:p w:rsidR="002A6758" w:rsidRPr="00BA183C" w:rsidP="00CC5190" w14:paraId="38A56218" w14:textId="77777777">
            <w:pPr>
              <w:pStyle w:val="AmColumnHeading"/>
              <w:rPr>
                <w:b/>
                <w:bCs/>
                <w:iCs/>
              </w:rPr>
            </w:pPr>
            <w:r w:rsidRPr="00BA183C">
              <w:rPr>
                <w:b/>
                <w:bCs/>
                <w:iCs/>
              </w:rPr>
              <w:t xml:space="preserve">Mid-term review of the MFF </w:t>
            </w:r>
          </w:p>
        </w:tc>
      </w:tr>
    </w:tbl>
    <w:p w:rsidR="002A6758" w:rsidRPr="00BA183C" w:rsidP="002A6758" w14:paraId="10A92DBB" w14:textId="77777777"/>
    <w:p w:rsidR="002A6758" w:rsidRPr="00BA183C" w:rsidP="002A6758" w14:paraId="454C1375" w14:textId="77777777">
      <w:pPr>
        <w:pStyle w:val="AmNumberTabs"/>
        <w:keepNext/>
      </w:pPr>
      <w:r w:rsidRPr="00BA183C">
        <w:t>Modification</w:t>
      </w:r>
      <w:r w:rsidRPr="00BA183C">
        <w:tab/>
      </w:r>
      <w:r w:rsidRPr="00BA183C">
        <w:tab/>
        <w:t>20</w:t>
      </w:r>
    </w:p>
    <w:p w:rsidR="002A6758" w:rsidRPr="00BA183C" w:rsidP="002A6758" w14:paraId="12935602" w14:textId="77777777">
      <w:pPr>
        <w:pStyle w:val="NormalBold12b"/>
        <w:keepNext/>
      </w:pPr>
      <w:r w:rsidRPr="00BA183C">
        <w:t>Proposal for a regulation</w:t>
      </w:r>
    </w:p>
    <w:p w:rsidR="002A6758" w:rsidRPr="00BA183C" w:rsidP="002A6758" w14:paraId="395750C9" w14:textId="77777777">
      <w:pPr>
        <w:pStyle w:val="NormalBold"/>
      </w:pPr>
      <w:r w:rsidRPr="00BA183C">
        <w:t xml:space="preserve"> Chapter 4 – Article 9 – paragraph 1 a (new)</w:t>
      </w:r>
    </w:p>
    <w:p w:rsidR="002A6758" w:rsidRPr="00BA183C" w:rsidP="002A6758" w14:paraId="65C3027D" w14:textId="77777777"/>
    <w:tbl>
      <w:tblPr>
        <w:tblW w:w="9752" w:type="dxa"/>
        <w:jc w:val="center"/>
        <w:tblLayout w:type="fixed"/>
        <w:tblCellMar>
          <w:left w:w="340" w:type="dxa"/>
          <w:right w:w="340" w:type="dxa"/>
        </w:tblCellMar>
        <w:tblLook w:val="0000"/>
      </w:tblPr>
      <w:tblGrid>
        <w:gridCol w:w="4876"/>
        <w:gridCol w:w="4876"/>
      </w:tblGrid>
      <w:tr w14:paraId="0443C4E8" w14:textId="77777777" w:rsidTr="00CC5190">
        <w:tblPrEx>
          <w:tblW w:w="9752" w:type="dxa"/>
          <w:jc w:val="center"/>
          <w:tblLayout w:type="fixed"/>
          <w:tblLook w:val="0000"/>
        </w:tblPrEx>
        <w:trPr>
          <w:jc w:val="center"/>
        </w:trPr>
        <w:tc>
          <w:tcPr>
            <w:tcW w:w="9752" w:type="dxa"/>
            <w:gridSpan w:val="2"/>
          </w:tcPr>
          <w:p w:rsidR="002A6758" w:rsidRPr="00BA183C" w:rsidP="00CC5190" w14:paraId="05435C97" w14:textId="77777777">
            <w:pPr>
              <w:keepNext/>
            </w:pPr>
          </w:p>
        </w:tc>
      </w:tr>
      <w:tr w14:paraId="250081A2" w14:textId="77777777" w:rsidTr="00CC5190">
        <w:tblPrEx>
          <w:tblW w:w="9752" w:type="dxa"/>
          <w:jc w:val="center"/>
          <w:tblLayout w:type="fixed"/>
          <w:tblLook w:val="0000"/>
        </w:tblPrEx>
        <w:trPr>
          <w:jc w:val="center"/>
        </w:trPr>
        <w:tc>
          <w:tcPr>
            <w:tcW w:w="4876" w:type="dxa"/>
          </w:tcPr>
          <w:p w:rsidR="002A6758" w:rsidRPr="00BA183C" w:rsidP="00CC5190" w14:paraId="36E5A6AA" w14:textId="77777777">
            <w:pPr>
              <w:pStyle w:val="AmColumnHeading"/>
              <w:keepNext/>
              <w:rPr>
                <w:i w:val="0"/>
                <w:iCs/>
              </w:rPr>
            </w:pPr>
            <w:r w:rsidRPr="00BA183C">
              <w:t>Text proposed by the Commission</w:t>
            </w:r>
          </w:p>
        </w:tc>
        <w:tc>
          <w:tcPr>
            <w:tcW w:w="4876" w:type="dxa"/>
          </w:tcPr>
          <w:p w:rsidR="002A6758" w:rsidRPr="00BA183C" w:rsidP="00CC5190" w14:paraId="23378BF2" w14:textId="77777777">
            <w:pPr>
              <w:pStyle w:val="AmColumnHeading"/>
              <w:keepNext/>
              <w:rPr>
                <w:b/>
                <w:bCs/>
              </w:rPr>
            </w:pPr>
            <w:r w:rsidRPr="00BA183C">
              <w:t>Modification</w:t>
            </w:r>
          </w:p>
        </w:tc>
      </w:tr>
      <w:tr w14:paraId="1ED0A9F8" w14:textId="77777777" w:rsidTr="00CC5190">
        <w:tblPrEx>
          <w:tblW w:w="9752" w:type="dxa"/>
          <w:jc w:val="center"/>
          <w:tblLayout w:type="fixed"/>
          <w:tblLook w:val="0000"/>
        </w:tblPrEx>
        <w:trPr>
          <w:jc w:val="center"/>
        </w:trPr>
        <w:tc>
          <w:tcPr>
            <w:tcW w:w="4876" w:type="dxa"/>
          </w:tcPr>
          <w:p w:rsidR="002A6758" w:rsidRPr="00BA183C" w:rsidP="00CC5190" w14:paraId="1F79D89A" w14:textId="77777777">
            <w:pPr>
              <w:pStyle w:val="Normal6a"/>
            </w:pPr>
            <w:r w:rsidRPr="00BA183C">
              <w:t xml:space="preserve"> </w:t>
            </w:r>
          </w:p>
        </w:tc>
        <w:tc>
          <w:tcPr>
            <w:tcW w:w="4876" w:type="dxa"/>
          </w:tcPr>
          <w:p w:rsidR="002A6758" w:rsidRPr="00BA183C" w:rsidP="00CC5190" w14:paraId="207760FE" w14:textId="77777777">
            <w:pPr>
              <w:pStyle w:val="AmColumnHeading"/>
              <w:jc w:val="left"/>
            </w:pPr>
            <w:r w:rsidRPr="00BA183C">
              <w:rPr>
                <w:b/>
                <w:bCs/>
                <w:iCs/>
              </w:rPr>
              <w:t>1a.</w:t>
            </w:r>
            <w:r w:rsidRPr="00BA183C">
              <w:rPr>
                <w:b/>
                <w:bCs/>
                <w:iCs/>
              </w:rPr>
              <w:tab/>
              <w:t>By 31 July 2031 at the latest, the Commission shall present a review of the functioning of the MFF. This compulsory review shall, as appropriate, be accompanied by a legislative proposal for the revision of this Regulation. Pre-allocated national envelopes according to the Regulation XXXX/2027 [NRPPs] shall not be reduced through such a revision.</w:t>
            </w:r>
          </w:p>
        </w:tc>
      </w:tr>
    </w:tbl>
    <w:p w:rsidR="002A6758" w:rsidRPr="00BA183C" w:rsidP="002A6758" w14:paraId="461563B0" w14:textId="77777777">
      <w:pPr>
        <w:pStyle w:val="AmNumberTabs"/>
        <w:keepNext/>
      </w:pPr>
      <w:r w:rsidRPr="00BA183C">
        <w:t>Modification</w:t>
      </w:r>
      <w:r w:rsidRPr="00BA183C">
        <w:tab/>
      </w:r>
      <w:r w:rsidRPr="00BA183C">
        <w:tab/>
        <w:t>21</w:t>
      </w:r>
    </w:p>
    <w:p w:rsidR="002A6758" w:rsidRPr="00BA183C" w:rsidP="002A6758" w14:paraId="3D9E338D" w14:textId="77777777">
      <w:pPr>
        <w:pStyle w:val="NormalBold12b"/>
        <w:keepNext/>
      </w:pPr>
      <w:r w:rsidRPr="00BA183C">
        <w:t>Proposal for a regulation</w:t>
      </w:r>
    </w:p>
    <w:p w:rsidR="002A6758" w:rsidRPr="00BA183C" w:rsidP="002A6758" w14:paraId="792C6F2D" w14:textId="77777777">
      <w:pPr>
        <w:pStyle w:val="NormalBold"/>
      </w:pPr>
      <w:r w:rsidRPr="00BA183C">
        <w:t xml:space="preserve"> Chapter 5 – Article 13 </w:t>
      </w:r>
    </w:p>
    <w:p w:rsidR="002A6758" w:rsidRPr="00BA183C" w:rsidP="002A6758" w14:paraId="38B21213" w14:textId="77777777"/>
    <w:tbl>
      <w:tblPr>
        <w:tblW w:w="9752" w:type="dxa"/>
        <w:jc w:val="center"/>
        <w:tblLayout w:type="fixed"/>
        <w:tblCellMar>
          <w:left w:w="340" w:type="dxa"/>
          <w:right w:w="340" w:type="dxa"/>
        </w:tblCellMar>
        <w:tblLook w:val="0000"/>
      </w:tblPr>
      <w:tblGrid>
        <w:gridCol w:w="4876"/>
        <w:gridCol w:w="4876"/>
      </w:tblGrid>
      <w:tr w14:paraId="2DBF128F" w14:textId="77777777" w:rsidTr="00CC5190">
        <w:tblPrEx>
          <w:tblW w:w="9752" w:type="dxa"/>
          <w:jc w:val="center"/>
          <w:tblLayout w:type="fixed"/>
          <w:tblLook w:val="0000"/>
        </w:tblPrEx>
        <w:trPr>
          <w:jc w:val="center"/>
        </w:trPr>
        <w:tc>
          <w:tcPr>
            <w:tcW w:w="9752" w:type="dxa"/>
            <w:gridSpan w:val="2"/>
          </w:tcPr>
          <w:p w:rsidR="002A6758" w:rsidRPr="00BA183C" w:rsidP="00CC5190" w14:paraId="226C3F24" w14:textId="77777777">
            <w:pPr>
              <w:keepNext/>
            </w:pPr>
          </w:p>
        </w:tc>
      </w:tr>
      <w:tr w14:paraId="61FD439F" w14:textId="77777777" w:rsidTr="00CC5190">
        <w:tblPrEx>
          <w:tblW w:w="9752" w:type="dxa"/>
          <w:jc w:val="center"/>
          <w:tblLayout w:type="fixed"/>
          <w:tblLook w:val="0000"/>
        </w:tblPrEx>
        <w:trPr>
          <w:jc w:val="center"/>
        </w:trPr>
        <w:tc>
          <w:tcPr>
            <w:tcW w:w="4876" w:type="dxa"/>
          </w:tcPr>
          <w:p w:rsidR="002A6758" w:rsidRPr="00BA183C" w:rsidP="00CC5190" w14:paraId="1637C08F" w14:textId="77777777">
            <w:pPr>
              <w:pStyle w:val="AmColumnHeading"/>
              <w:keepNext/>
              <w:rPr>
                <w:i w:val="0"/>
                <w:iCs/>
              </w:rPr>
            </w:pPr>
            <w:r w:rsidRPr="00BA183C">
              <w:t>Text proposed by the Commission</w:t>
            </w:r>
          </w:p>
        </w:tc>
        <w:tc>
          <w:tcPr>
            <w:tcW w:w="4876" w:type="dxa"/>
          </w:tcPr>
          <w:p w:rsidR="002A6758" w:rsidRPr="00BA183C" w:rsidP="00CC5190" w14:paraId="73E2E1CC" w14:textId="77777777">
            <w:pPr>
              <w:pStyle w:val="AmColumnHeading"/>
              <w:keepNext/>
              <w:rPr>
                <w:b/>
                <w:bCs/>
              </w:rPr>
            </w:pPr>
            <w:r w:rsidRPr="00BA183C">
              <w:t>Modification</w:t>
            </w:r>
          </w:p>
        </w:tc>
      </w:tr>
      <w:tr w14:paraId="30CBD26C" w14:textId="77777777" w:rsidTr="00CC5190">
        <w:tblPrEx>
          <w:tblW w:w="9752" w:type="dxa"/>
          <w:jc w:val="center"/>
          <w:tblLayout w:type="fixed"/>
          <w:tblLook w:val="0000"/>
        </w:tblPrEx>
        <w:trPr>
          <w:jc w:val="center"/>
        </w:trPr>
        <w:tc>
          <w:tcPr>
            <w:tcW w:w="4876" w:type="dxa"/>
          </w:tcPr>
          <w:p w:rsidR="002A6758" w:rsidRPr="00BA183C" w:rsidP="00CC5190" w14:paraId="4C1815FC" w14:textId="77777777">
            <w:pPr>
              <w:pStyle w:val="AmColumnHeading"/>
              <w:keepNext/>
              <w:jc w:val="left"/>
              <w:rPr>
                <w:i w:val="0"/>
              </w:rPr>
            </w:pPr>
            <w:r w:rsidRPr="00BA183C">
              <w:rPr>
                <w:b/>
                <w:bCs/>
                <w:iCs/>
              </w:rPr>
              <w:t>By 1 July 2033,</w:t>
            </w:r>
            <w:r w:rsidRPr="00BA183C">
              <w:rPr>
                <w:i w:val="0"/>
              </w:rPr>
              <w:t xml:space="preserve"> the Commission shall present a proposal for a new multiannual financial framework.</w:t>
            </w:r>
          </w:p>
        </w:tc>
        <w:tc>
          <w:tcPr>
            <w:tcW w:w="4876" w:type="dxa"/>
          </w:tcPr>
          <w:p w:rsidR="002A6758" w:rsidRPr="00BA183C" w:rsidP="00CC5190" w14:paraId="53103B9D" w14:textId="77777777">
            <w:pPr>
              <w:pStyle w:val="Normal6a"/>
              <w:rPr>
                <w:szCs w:val="24"/>
              </w:rPr>
            </w:pPr>
            <w:r w:rsidRPr="00BA183C">
              <w:rPr>
                <w:b/>
                <w:bCs/>
                <w:i/>
              </w:rPr>
              <w:t>By 1 July 2032,</w:t>
            </w:r>
            <w:r w:rsidRPr="00BA183C">
              <w:rPr>
                <w:b/>
                <w:bCs/>
                <w:iCs/>
              </w:rPr>
              <w:t xml:space="preserve"> </w:t>
            </w:r>
            <w:r w:rsidRPr="00BA183C">
              <w:t>the Commission shall present a proposal for a new multiannual financial framework</w:t>
            </w:r>
          </w:p>
        </w:tc>
      </w:tr>
    </w:tbl>
    <w:p w:rsidR="002A6758" w:rsidRPr="00BA183C" w:rsidP="002A6758" w14:paraId="165451A7" w14:textId="77777777">
      <w:pPr>
        <w:rPr>
          <w:b/>
          <w:bCs/>
        </w:rPr>
      </w:pPr>
    </w:p>
    <w:p w:rsidR="002A6758" w:rsidRPr="00BA183C" w:rsidP="002A6758" w14:paraId="3BCD3408" w14:textId="77777777">
      <w:pPr>
        <w:pStyle w:val="NormalHanging12a"/>
      </w:pPr>
    </w:p>
    <w:p w:rsidR="002A6758" w:rsidRPr="00BA183C" w:rsidP="002A6758" w14:paraId="4A51F1DE" w14:textId="77777777">
      <w:pPr>
        <w:ind w:left="360" w:hanging="360"/>
        <w:rPr>
          <w:b/>
          <w:bCs/>
          <w:u w:val="single"/>
        </w:rPr>
      </w:pPr>
      <w:r w:rsidRPr="00BA183C">
        <w:rPr>
          <w:b/>
          <w:bCs/>
          <w:i/>
          <w:iCs/>
        </w:rPr>
        <w:t>Amendments to the IIA</w:t>
      </w:r>
    </w:p>
    <w:p w:rsidR="002A6758" w:rsidRPr="00BA183C" w:rsidP="002A6758" w14:paraId="44B8BF1E" w14:textId="77777777"/>
    <w:p w:rsidR="002A6758" w:rsidRPr="00BA183C" w:rsidP="002A6758" w14:paraId="7E88CA32" w14:textId="77777777">
      <w:pPr>
        <w:ind w:left="720" w:hanging="720"/>
        <w:jc w:val="both"/>
      </w:pPr>
      <w:r w:rsidRPr="00BA183C">
        <w:t>129.</w:t>
      </w:r>
      <w:r w:rsidRPr="00BA183C">
        <w:tab/>
        <w:t xml:space="preserve">Stresses that, </w:t>
      </w:r>
      <w:r w:rsidRPr="00BA183C">
        <w:t>as a result of</w:t>
      </w:r>
      <w:r w:rsidRPr="00BA183C">
        <w:t xml:space="preserve"> the negotiation and adoption of a new MFF Regulation, the proposal for an Interinstitutional Agreement between the European Parliament, the Council and the Commission on cooperation in budgetary matters and on sound financial management should be modified as follows:</w:t>
      </w:r>
    </w:p>
    <w:p w:rsidR="002A6758" w:rsidRPr="00BA183C" w:rsidP="002A6758" w14:paraId="60C1DA5F" w14:textId="77777777"/>
    <w:p w:rsidR="002A6758" w:rsidRPr="00BA183C" w:rsidP="002A6758" w14:paraId="07E3523F" w14:textId="77777777">
      <w:pPr>
        <w:pStyle w:val="AmNumberTabs"/>
        <w:keepNext/>
      </w:pPr>
      <w:r w:rsidRPr="00BA183C">
        <w:t>Modification</w:t>
      </w:r>
      <w:r w:rsidRPr="00BA183C">
        <w:tab/>
      </w:r>
      <w:r w:rsidRPr="00BA183C">
        <w:tab/>
        <w:t>22</w:t>
      </w:r>
    </w:p>
    <w:p w:rsidR="002A6758" w:rsidRPr="00BA183C" w:rsidP="002A6758" w14:paraId="36D6E54C" w14:textId="77777777">
      <w:pPr>
        <w:pStyle w:val="NormalBold12b"/>
        <w:keepNext/>
      </w:pPr>
      <w:r w:rsidRPr="00BA183C">
        <w:t xml:space="preserve"> Proposal for Interinstitutional Agreement</w:t>
      </w:r>
    </w:p>
    <w:p w:rsidR="002A6758" w:rsidRPr="00BA183C" w:rsidP="002A6758" w14:paraId="6D27671A" w14:textId="77777777">
      <w:pPr>
        <w:pStyle w:val="NormalBold"/>
        <w:rPr>
          <w:rStyle w:val="HideTWBExt"/>
          <w:b w:val="0"/>
          <w:noProof w:val="0"/>
        </w:rPr>
      </w:pPr>
      <w:r w:rsidRPr="00BA183C">
        <w:t xml:space="preserve"> Title</w:t>
      </w:r>
    </w:p>
    <w:tbl>
      <w:tblPr>
        <w:tblW w:w="9752" w:type="dxa"/>
        <w:jc w:val="center"/>
        <w:tblLayout w:type="fixed"/>
        <w:tblCellMar>
          <w:left w:w="340" w:type="dxa"/>
          <w:right w:w="340" w:type="dxa"/>
        </w:tblCellMar>
        <w:tblLook w:val="0000"/>
      </w:tblPr>
      <w:tblGrid>
        <w:gridCol w:w="4876"/>
        <w:gridCol w:w="4876"/>
      </w:tblGrid>
      <w:tr w14:paraId="162DA2E2" w14:textId="77777777" w:rsidTr="00CC5190">
        <w:tblPrEx>
          <w:tblW w:w="9752" w:type="dxa"/>
          <w:jc w:val="center"/>
          <w:tblLayout w:type="fixed"/>
          <w:tblLook w:val="0000"/>
        </w:tblPrEx>
        <w:trPr>
          <w:jc w:val="center"/>
        </w:trPr>
        <w:tc>
          <w:tcPr>
            <w:tcW w:w="9752" w:type="dxa"/>
            <w:gridSpan w:val="2"/>
          </w:tcPr>
          <w:p w:rsidR="002A6758" w:rsidRPr="00BA183C" w:rsidP="00CC5190" w14:paraId="1BAB5020" w14:textId="77777777">
            <w:pPr>
              <w:keepNext/>
            </w:pPr>
          </w:p>
        </w:tc>
      </w:tr>
      <w:tr w14:paraId="6DFE0CB6" w14:textId="77777777" w:rsidTr="00CC5190">
        <w:tblPrEx>
          <w:tblW w:w="9752" w:type="dxa"/>
          <w:jc w:val="center"/>
          <w:tblLayout w:type="fixed"/>
          <w:tblLook w:val="0000"/>
        </w:tblPrEx>
        <w:trPr>
          <w:jc w:val="center"/>
        </w:trPr>
        <w:tc>
          <w:tcPr>
            <w:tcW w:w="4876" w:type="dxa"/>
          </w:tcPr>
          <w:p w:rsidR="002A6758" w:rsidRPr="00BA183C" w:rsidP="00CC5190" w14:paraId="6FCE87F9" w14:textId="77777777">
            <w:pPr>
              <w:pStyle w:val="AmColumnHeading"/>
              <w:keepNext/>
            </w:pPr>
            <w:r w:rsidRPr="00BA183C">
              <w:t>Text proposed by the Commission</w:t>
            </w:r>
          </w:p>
        </w:tc>
        <w:tc>
          <w:tcPr>
            <w:tcW w:w="4876" w:type="dxa"/>
          </w:tcPr>
          <w:p w:rsidR="002A6758" w:rsidRPr="00BA183C" w:rsidP="00CC5190" w14:paraId="61434D6C" w14:textId="77777777">
            <w:pPr>
              <w:pStyle w:val="AmColumnHeading"/>
              <w:keepNext/>
            </w:pPr>
            <w:r w:rsidRPr="00BA183C">
              <w:t>Modification</w:t>
            </w:r>
          </w:p>
        </w:tc>
      </w:tr>
      <w:tr w14:paraId="1FACF150" w14:textId="77777777" w:rsidTr="00CC5190">
        <w:tblPrEx>
          <w:tblW w:w="9752" w:type="dxa"/>
          <w:jc w:val="center"/>
          <w:tblLayout w:type="fixed"/>
          <w:tblLook w:val="0000"/>
        </w:tblPrEx>
        <w:trPr>
          <w:jc w:val="center"/>
        </w:trPr>
        <w:tc>
          <w:tcPr>
            <w:tcW w:w="4876" w:type="dxa"/>
          </w:tcPr>
          <w:p w:rsidR="002A6758" w:rsidRPr="00BA183C" w:rsidP="00CC5190" w14:paraId="463A9236" w14:textId="77777777">
            <w:pPr>
              <w:pStyle w:val="AmColumnHeading"/>
              <w:keepNext/>
              <w:jc w:val="left"/>
              <w:rPr>
                <w:i w:val="0"/>
              </w:rPr>
            </w:pPr>
            <w:r w:rsidRPr="00BA183C">
              <w:rPr>
                <w:i w:val="0"/>
              </w:rPr>
              <w:t>INTERINSTITUTIONAL AGREEMENT</w:t>
            </w:r>
          </w:p>
          <w:p w:rsidR="002A6758" w:rsidRPr="00BA183C" w:rsidP="00CC5190" w14:paraId="5007F144" w14:textId="77777777">
            <w:pPr>
              <w:pStyle w:val="AmColumnHeading"/>
              <w:jc w:val="left"/>
              <w:rPr>
                <w:b/>
                <w:bCs/>
                <w:iCs/>
              </w:rPr>
            </w:pPr>
            <w:r w:rsidRPr="00BA183C">
              <w:rPr>
                <w:i w:val="0"/>
              </w:rPr>
              <w:t xml:space="preserve">between the European Parliament, the Council of the European Union and the European Commission </w:t>
            </w:r>
            <w:r w:rsidRPr="00BA183C">
              <w:rPr>
                <w:b/>
                <w:bCs/>
                <w:iCs/>
              </w:rPr>
              <w:t>on budgetary discipline,</w:t>
            </w:r>
            <w:r w:rsidRPr="00BA183C">
              <w:rPr>
                <w:i w:val="0"/>
              </w:rPr>
              <w:t xml:space="preserve"> on cooperation in budgetary matters and on sound financial management</w:t>
            </w:r>
          </w:p>
        </w:tc>
        <w:tc>
          <w:tcPr>
            <w:tcW w:w="4876" w:type="dxa"/>
          </w:tcPr>
          <w:p w:rsidR="002A6758" w:rsidRPr="00BA183C" w:rsidP="00CC5190" w14:paraId="5BBF9AC3" w14:textId="77777777">
            <w:pPr>
              <w:pStyle w:val="AmColumnHeading"/>
              <w:keepNext/>
              <w:jc w:val="left"/>
              <w:rPr>
                <w:i w:val="0"/>
              </w:rPr>
            </w:pPr>
            <w:r w:rsidRPr="00BA183C">
              <w:rPr>
                <w:i w:val="0"/>
              </w:rPr>
              <w:t>INTERINSTITUTIONAL AGREEMENT</w:t>
            </w:r>
          </w:p>
          <w:p w:rsidR="002A6758" w:rsidRPr="00BA183C" w:rsidP="00CC5190" w14:paraId="60A11B9B" w14:textId="77777777">
            <w:pPr>
              <w:pStyle w:val="AmColumnHeading"/>
              <w:keepNext/>
              <w:jc w:val="left"/>
              <w:rPr>
                <w:i w:val="0"/>
              </w:rPr>
            </w:pPr>
            <w:r w:rsidRPr="00BA183C">
              <w:rPr>
                <w:i w:val="0"/>
              </w:rPr>
              <w:t>between the European Parliament, the Council of the European Union and the European Commission on cooperation in budgetary matters and on sound financial management</w:t>
            </w:r>
          </w:p>
        </w:tc>
      </w:tr>
    </w:tbl>
    <w:p w:rsidR="002A6758" w:rsidRPr="00BA183C" w:rsidP="002A6758" w14:paraId="48B24209" w14:textId="77777777">
      <w:pPr>
        <w:rPr>
          <w:rStyle w:val="HideTWBExt"/>
          <w:rFonts w:ascii="Times New Roman" w:hAnsi="Times New Roman"/>
          <w:noProof w:val="0"/>
          <w:vanish w:val="0"/>
          <w:color w:val="auto"/>
          <w:sz w:val="24"/>
        </w:rPr>
      </w:pPr>
    </w:p>
    <w:p w:rsidR="002A6758" w:rsidRPr="00BA183C" w:rsidP="002A6758" w14:paraId="799C210B" w14:textId="77777777">
      <w:pPr>
        <w:pStyle w:val="AmNumberTabs"/>
        <w:keepNext/>
      </w:pPr>
      <w:r w:rsidRPr="00BA183C">
        <w:t>Modification</w:t>
      </w:r>
      <w:r w:rsidRPr="00BA183C">
        <w:tab/>
      </w:r>
      <w:r w:rsidRPr="00BA183C">
        <w:tab/>
        <w:t>23</w:t>
      </w:r>
    </w:p>
    <w:p w:rsidR="002A6758" w:rsidRPr="00BA183C" w:rsidP="002A6758" w14:paraId="75AC91AA" w14:textId="77777777">
      <w:pPr>
        <w:pStyle w:val="NormalBold12b"/>
        <w:keepNext/>
      </w:pPr>
      <w:r w:rsidRPr="00BA183C">
        <w:t xml:space="preserve"> Proposal for Interinstitutional Agreement</w:t>
      </w:r>
    </w:p>
    <w:p w:rsidR="002A6758" w:rsidRPr="00BA183C" w:rsidP="002A6758" w14:paraId="785D0B89" w14:textId="77777777">
      <w:pPr>
        <w:pStyle w:val="NormalBold"/>
        <w:rPr>
          <w:rStyle w:val="HideTWBExt"/>
          <w:b w:val="0"/>
          <w:noProof w:val="0"/>
        </w:rPr>
      </w:pPr>
      <w:r w:rsidRPr="00BA183C">
        <w:t xml:space="preserve"> Recital 1</w:t>
      </w:r>
    </w:p>
    <w:tbl>
      <w:tblPr>
        <w:tblW w:w="9752" w:type="dxa"/>
        <w:jc w:val="center"/>
        <w:tblLayout w:type="fixed"/>
        <w:tblCellMar>
          <w:left w:w="340" w:type="dxa"/>
          <w:right w:w="340" w:type="dxa"/>
        </w:tblCellMar>
        <w:tblLook w:val="0000"/>
      </w:tblPr>
      <w:tblGrid>
        <w:gridCol w:w="4876"/>
        <w:gridCol w:w="4876"/>
      </w:tblGrid>
      <w:tr w14:paraId="539D3DFC" w14:textId="77777777" w:rsidTr="00CC5190">
        <w:tblPrEx>
          <w:tblW w:w="9752" w:type="dxa"/>
          <w:jc w:val="center"/>
          <w:tblLayout w:type="fixed"/>
          <w:tblLook w:val="0000"/>
        </w:tblPrEx>
        <w:trPr>
          <w:jc w:val="center"/>
        </w:trPr>
        <w:tc>
          <w:tcPr>
            <w:tcW w:w="9752" w:type="dxa"/>
            <w:gridSpan w:val="2"/>
          </w:tcPr>
          <w:p w:rsidR="002A6758" w:rsidRPr="00BA183C" w:rsidP="00CC5190" w14:paraId="24906C73" w14:textId="77777777">
            <w:pPr>
              <w:keepNext/>
            </w:pPr>
          </w:p>
        </w:tc>
      </w:tr>
      <w:tr w14:paraId="2D232E90" w14:textId="77777777" w:rsidTr="00CC5190">
        <w:tblPrEx>
          <w:tblW w:w="9752" w:type="dxa"/>
          <w:jc w:val="center"/>
          <w:tblLayout w:type="fixed"/>
          <w:tblLook w:val="0000"/>
        </w:tblPrEx>
        <w:trPr>
          <w:jc w:val="center"/>
        </w:trPr>
        <w:tc>
          <w:tcPr>
            <w:tcW w:w="4876" w:type="dxa"/>
          </w:tcPr>
          <w:p w:rsidR="002A6758" w:rsidRPr="00BA183C" w:rsidP="00CC5190" w14:paraId="525FCDF4" w14:textId="77777777">
            <w:pPr>
              <w:pStyle w:val="AmColumnHeading"/>
              <w:keepNext/>
            </w:pPr>
            <w:r w:rsidRPr="00BA183C">
              <w:t>Text proposed by the Commission</w:t>
            </w:r>
          </w:p>
        </w:tc>
        <w:tc>
          <w:tcPr>
            <w:tcW w:w="4876" w:type="dxa"/>
          </w:tcPr>
          <w:p w:rsidR="002A6758" w:rsidRPr="00BA183C" w:rsidP="00CC5190" w14:paraId="406CE893" w14:textId="77777777">
            <w:pPr>
              <w:pStyle w:val="AmColumnHeading"/>
              <w:keepNext/>
            </w:pPr>
            <w:r w:rsidRPr="00BA183C">
              <w:t>Modification</w:t>
            </w:r>
          </w:p>
        </w:tc>
      </w:tr>
      <w:tr w14:paraId="0059B836" w14:textId="77777777" w:rsidTr="00CC5190">
        <w:tblPrEx>
          <w:tblW w:w="9752" w:type="dxa"/>
          <w:jc w:val="center"/>
          <w:tblLayout w:type="fixed"/>
          <w:tblLook w:val="0000"/>
        </w:tblPrEx>
        <w:trPr>
          <w:jc w:val="center"/>
        </w:trPr>
        <w:tc>
          <w:tcPr>
            <w:tcW w:w="4876" w:type="dxa"/>
          </w:tcPr>
          <w:p w:rsidR="002A6758" w:rsidRPr="00BA183C" w:rsidP="00CC5190" w14:paraId="39BE1804" w14:textId="77777777">
            <w:pPr>
              <w:pStyle w:val="AmColumnHeading"/>
              <w:jc w:val="left"/>
              <w:rPr>
                <w:b/>
                <w:bCs/>
                <w:iCs/>
              </w:rPr>
            </w:pPr>
            <w:r w:rsidRPr="00BA183C">
              <w:rPr>
                <w:i w:val="0"/>
              </w:rPr>
              <w:t>1.</w:t>
            </w:r>
            <w:r w:rsidRPr="00BA183C">
              <w:rPr>
                <w:i w:val="0"/>
              </w:rPr>
              <w:tab/>
              <w:t xml:space="preserve">The purpose of this Agreement, adopted in accordance with Article 295 of the Treaty on the Functioning of the European Union (TFEU), is to </w:t>
            </w:r>
            <w:r w:rsidRPr="00BA183C">
              <w:rPr>
                <w:b/>
                <w:bCs/>
                <w:iCs/>
              </w:rPr>
              <w:t>implement</w:t>
            </w:r>
            <w:r w:rsidRPr="00BA183C">
              <w:rPr>
                <w:i w:val="0"/>
              </w:rPr>
              <w:t xml:space="preserve"> </w:t>
            </w:r>
            <w:r w:rsidRPr="00BA183C">
              <w:rPr>
                <w:b/>
                <w:bCs/>
                <w:iCs/>
              </w:rPr>
              <w:t>budgetary discipline</w:t>
            </w:r>
            <w:r w:rsidRPr="00BA183C">
              <w:rPr>
                <w:i w:val="0"/>
              </w:rPr>
              <w:t xml:space="preserve"> </w:t>
            </w:r>
            <w:r w:rsidRPr="00BA183C">
              <w:rPr>
                <w:b/>
                <w:bCs/>
                <w:iCs/>
              </w:rPr>
              <w:t>and</w:t>
            </w:r>
            <w:r w:rsidRPr="00BA183C">
              <w:rPr>
                <w:i w:val="0"/>
              </w:rPr>
              <w:t xml:space="preserve"> improve the functioning of the annual budgetary procedure and cooperation between the institutions on budgetary matters as well as to ensure sound financial management.</w:t>
            </w:r>
          </w:p>
        </w:tc>
        <w:tc>
          <w:tcPr>
            <w:tcW w:w="4876" w:type="dxa"/>
          </w:tcPr>
          <w:p w:rsidR="002A6758" w:rsidRPr="00BA183C" w:rsidP="00CC5190" w14:paraId="4CAC12CA" w14:textId="77777777">
            <w:pPr>
              <w:pStyle w:val="AmColumnHeading"/>
              <w:keepNext/>
              <w:jc w:val="left"/>
              <w:rPr>
                <w:i w:val="0"/>
              </w:rPr>
            </w:pPr>
            <w:r w:rsidRPr="00BA183C">
              <w:rPr>
                <w:i w:val="0"/>
              </w:rPr>
              <w:t>1.</w:t>
            </w:r>
            <w:r w:rsidRPr="00BA183C">
              <w:rPr>
                <w:i w:val="0"/>
              </w:rPr>
              <w:tab/>
              <w:t>The purpose of this Agreement, adopted in accordance with Article 295 of the Treaty on the Functioning of the European Union (TFEU), is to improve the functioning of the annual budgetary procedure and cooperation between the institutions on budgetary matters as well as to ensure sound financial management.</w:t>
            </w:r>
          </w:p>
        </w:tc>
      </w:tr>
    </w:tbl>
    <w:p w:rsidR="002A6758" w:rsidRPr="00BA183C" w:rsidP="002A6758" w14:paraId="0CFCA784" w14:textId="77777777"/>
    <w:p w:rsidR="002A6758" w:rsidRPr="00BA183C" w:rsidP="002A6758" w14:paraId="53B339C3" w14:textId="77777777">
      <w:pPr>
        <w:pStyle w:val="AmNumberTabs"/>
        <w:keepNext/>
      </w:pPr>
      <w:r w:rsidRPr="00BA183C">
        <w:t>Modification</w:t>
      </w:r>
      <w:r w:rsidRPr="00BA183C">
        <w:tab/>
      </w:r>
      <w:r w:rsidRPr="00BA183C">
        <w:tab/>
        <w:t>24</w:t>
      </w:r>
    </w:p>
    <w:p w:rsidR="002A6758" w:rsidRPr="00BA183C" w:rsidP="002A6758" w14:paraId="1DBBC8A5" w14:textId="77777777">
      <w:pPr>
        <w:pStyle w:val="NormalBold12b"/>
        <w:keepNext/>
      </w:pPr>
      <w:r w:rsidRPr="00BA183C">
        <w:t xml:space="preserve"> Proposal for Interinstitutional Agreement</w:t>
      </w:r>
    </w:p>
    <w:p w:rsidR="002A6758" w:rsidRPr="00BA183C" w:rsidP="002A6758" w14:paraId="480D3230" w14:textId="77777777">
      <w:pPr>
        <w:pStyle w:val="NormalBold12b"/>
        <w:keepNext/>
        <w:spacing w:before="0"/>
      </w:pPr>
      <w:r w:rsidRPr="00BA183C">
        <w:t xml:space="preserve"> Part 1</w:t>
      </w:r>
    </w:p>
    <w:p w:rsidR="002A6758" w:rsidRPr="00BA183C" w:rsidP="002A6758" w14:paraId="3D4B49E2" w14:textId="77777777">
      <w:pPr>
        <w:pStyle w:val="NormalBold12b"/>
        <w:keepNext/>
        <w:spacing w:before="0"/>
      </w:pPr>
      <w:r w:rsidRPr="00BA183C">
        <w:t xml:space="preserve"> </w:t>
      </w:r>
      <w:r w:rsidRPr="00BA183C">
        <w:rPr>
          <w:b w:val="0"/>
          <w:bCs/>
        </w:rPr>
        <w:t>Section A – point 7</w:t>
      </w:r>
    </w:p>
    <w:tbl>
      <w:tblPr>
        <w:tblpPr w:leftFromText="180" w:rightFromText="180" w:vertAnchor="text" w:tblpXSpec="center" w:tblpY="1"/>
        <w:tblOverlap w:val="never"/>
        <w:tblW w:w="9752" w:type="dxa"/>
        <w:tblLayout w:type="fixed"/>
        <w:tblCellMar>
          <w:left w:w="340" w:type="dxa"/>
          <w:right w:w="340" w:type="dxa"/>
        </w:tblCellMar>
        <w:tblLook w:val="0000"/>
      </w:tblPr>
      <w:tblGrid>
        <w:gridCol w:w="4876"/>
        <w:gridCol w:w="4876"/>
      </w:tblGrid>
      <w:tr w14:paraId="14D38C8E" w14:textId="77777777" w:rsidTr="00CC5190">
        <w:tblPrEx>
          <w:tblW w:w="9752" w:type="dxa"/>
          <w:tblLayout w:type="fixed"/>
          <w:tblLook w:val="0000"/>
        </w:tblPrEx>
        <w:tc>
          <w:tcPr>
            <w:tcW w:w="9752" w:type="dxa"/>
            <w:gridSpan w:val="2"/>
          </w:tcPr>
          <w:p w:rsidR="002A6758" w:rsidRPr="00BA183C" w:rsidP="00CC5190" w14:paraId="0C5E32E7" w14:textId="77777777">
            <w:pPr>
              <w:keepNext/>
            </w:pPr>
          </w:p>
        </w:tc>
      </w:tr>
      <w:tr w14:paraId="5A384B01" w14:textId="77777777" w:rsidTr="00CC5190">
        <w:tblPrEx>
          <w:tblW w:w="9752" w:type="dxa"/>
          <w:tblLayout w:type="fixed"/>
          <w:tblLook w:val="0000"/>
        </w:tblPrEx>
        <w:tc>
          <w:tcPr>
            <w:tcW w:w="4876" w:type="dxa"/>
          </w:tcPr>
          <w:p w:rsidR="002A6758" w:rsidRPr="00BA183C" w:rsidP="00CC5190" w14:paraId="12C3E5C0" w14:textId="77777777">
            <w:pPr>
              <w:pStyle w:val="AmColumnHeading"/>
              <w:keepNext/>
            </w:pPr>
            <w:r w:rsidRPr="00BA183C">
              <w:t>Text proposed by the Commission</w:t>
            </w:r>
          </w:p>
        </w:tc>
        <w:tc>
          <w:tcPr>
            <w:tcW w:w="4876" w:type="dxa"/>
          </w:tcPr>
          <w:p w:rsidR="002A6758" w:rsidRPr="00BA183C" w:rsidP="00CC5190" w14:paraId="0051B924" w14:textId="77777777">
            <w:pPr>
              <w:pStyle w:val="AmColumnHeading"/>
              <w:keepNext/>
            </w:pPr>
            <w:r w:rsidRPr="00BA183C">
              <w:t>Modification</w:t>
            </w:r>
          </w:p>
        </w:tc>
      </w:tr>
      <w:tr w14:paraId="4FD30C28" w14:textId="77777777" w:rsidTr="00CC5190">
        <w:tblPrEx>
          <w:tblW w:w="9752" w:type="dxa"/>
          <w:tblLayout w:type="fixed"/>
          <w:tblLook w:val="0000"/>
        </w:tblPrEx>
        <w:tc>
          <w:tcPr>
            <w:tcW w:w="4876" w:type="dxa"/>
          </w:tcPr>
          <w:p w:rsidR="002A6758" w:rsidRPr="00BA183C" w:rsidP="00CC5190" w14:paraId="3CA256A8" w14:textId="77777777">
            <w:pPr>
              <w:pStyle w:val="AmColumnHeading"/>
              <w:jc w:val="left"/>
              <w:rPr>
                <w:b/>
                <w:bCs/>
                <w:iCs/>
              </w:rPr>
            </w:pPr>
            <w:r w:rsidRPr="00BA183C">
              <w:rPr>
                <w:i w:val="0"/>
              </w:rPr>
              <w:t>7.</w:t>
            </w:r>
            <w:r w:rsidRPr="00BA183C">
              <w:rPr>
                <w:i w:val="0"/>
              </w:rPr>
              <w:tab/>
              <w:t xml:space="preserve">In line with Article 312(5) TFEU, the Institutions shall take any measure necessary to facilitate the adoption of a new MFF or a revision thereof, in accordance with the special legislative procedure referred to in Article 312(2) TFEU. Such measures </w:t>
            </w:r>
            <w:r w:rsidRPr="00BA183C">
              <w:rPr>
                <w:b/>
                <w:bCs/>
                <w:iCs/>
              </w:rPr>
              <w:t>will</w:t>
            </w:r>
            <w:r w:rsidRPr="00BA183C">
              <w:rPr>
                <w:i w:val="0"/>
              </w:rPr>
              <w:t xml:space="preserve"> include regular meetings and exchange of information between the European Parliament </w:t>
            </w:r>
            <w:r w:rsidRPr="00BA183C">
              <w:rPr>
                <w:b/>
                <w:bCs/>
                <w:i w:val="0"/>
              </w:rPr>
              <w:t>and</w:t>
            </w:r>
            <w:r w:rsidRPr="00BA183C">
              <w:rPr>
                <w:i w:val="0"/>
              </w:rPr>
              <w:t xml:space="preserve"> the Council </w:t>
            </w:r>
            <w:r w:rsidRPr="00BA183C">
              <w:rPr>
                <w:b/>
                <w:bCs/>
                <w:iCs/>
              </w:rPr>
              <w:t>and</w:t>
            </w:r>
            <w:r w:rsidRPr="00BA183C">
              <w:rPr>
                <w:i w:val="0"/>
              </w:rPr>
              <w:t xml:space="preserve">, on the initiative of the Commission, meetings of the Presidents of the Institutions as set out in Article 324 TFEU </w:t>
            </w:r>
            <w:r w:rsidRPr="00BA183C">
              <w:rPr>
                <w:i w:val="0"/>
              </w:rPr>
              <w:t>in order to</w:t>
            </w:r>
            <w:r w:rsidRPr="00BA183C">
              <w:rPr>
                <w:i w:val="0"/>
              </w:rPr>
              <w:t xml:space="preserve"> promote consultation and the reconciliation of the positions of the Institutions. Where a proposal for a new MFF or for a substantial revision has been presented, the Institutions </w:t>
            </w:r>
            <w:r w:rsidRPr="00BA183C">
              <w:rPr>
                <w:b/>
                <w:bCs/>
                <w:iCs/>
              </w:rPr>
              <w:t>will</w:t>
            </w:r>
            <w:r w:rsidRPr="00BA183C">
              <w:rPr>
                <w:i w:val="0"/>
              </w:rPr>
              <w:t xml:space="preserve"> seek to determine specific arrangements for cooperation and dialogue between them throughout the procedure leading to its adoption.</w:t>
            </w:r>
          </w:p>
        </w:tc>
        <w:tc>
          <w:tcPr>
            <w:tcW w:w="4876" w:type="dxa"/>
          </w:tcPr>
          <w:p w:rsidR="002A6758" w:rsidRPr="00BA183C" w:rsidP="00CC5190" w14:paraId="3AE34578" w14:textId="77777777">
            <w:pPr>
              <w:pStyle w:val="AmColumnHeading"/>
              <w:keepNext/>
              <w:jc w:val="left"/>
            </w:pPr>
            <w:r w:rsidRPr="00BA183C">
              <w:rPr>
                <w:i w:val="0"/>
                <w:iCs/>
              </w:rPr>
              <w:t>7.</w:t>
            </w:r>
            <w:r w:rsidRPr="00BA183C">
              <w:tab/>
            </w:r>
            <w:r w:rsidRPr="00BA183C">
              <w:rPr>
                <w:i w:val="0"/>
                <w:iCs/>
              </w:rPr>
              <w:t xml:space="preserve">In line with Article 312(5) TFEU, the Institutions shall take any measure necessary to facilitate the adoption of a new MFF or a revision thereof, in accordance with the special legislative procedure referred to in Article 312(2) TFEU. Such measures </w:t>
            </w:r>
            <w:r w:rsidRPr="00BA183C">
              <w:rPr>
                <w:b/>
                <w:bCs/>
              </w:rPr>
              <w:t>shall</w:t>
            </w:r>
            <w:r w:rsidRPr="00BA183C">
              <w:rPr>
                <w:i w:val="0"/>
                <w:iCs/>
              </w:rPr>
              <w:t xml:space="preserve"> include</w:t>
            </w:r>
            <w:r w:rsidRPr="00BA183C">
              <w:rPr>
                <w:b/>
                <w:bCs/>
                <w:i w:val="0"/>
                <w:iCs/>
              </w:rPr>
              <w:t>:</w:t>
            </w:r>
          </w:p>
          <w:p w:rsidR="002A6758" w:rsidRPr="00BA183C" w:rsidP="00CC5190" w14:paraId="3BECEFA6" w14:textId="77777777">
            <w:pPr>
              <w:pStyle w:val="AmColumnHeading"/>
              <w:keepNext/>
              <w:jc w:val="left"/>
              <w:rPr>
                <w:b/>
                <w:bCs/>
                <w:iCs/>
              </w:rPr>
            </w:pPr>
            <w:r w:rsidRPr="00BA183C">
              <w:rPr>
                <w:b/>
                <w:bCs/>
                <w:iCs/>
              </w:rPr>
              <w:t>(a)</w:t>
            </w:r>
            <w:r w:rsidRPr="00BA183C">
              <w:rPr>
                <w:b/>
                <w:bCs/>
                <w:iCs/>
              </w:rPr>
              <w:tab/>
            </w:r>
            <w:r w:rsidRPr="00BA183C">
              <w:rPr>
                <w:i w:val="0"/>
                <w:iCs/>
              </w:rPr>
              <w:t>regular meetings and exchange of information between the European Parliament</w:t>
            </w:r>
            <w:r w:rsidRPr="00BA183C">
              <w:rPr>
                <w:b/>
                <w:bCs/>
                <w:i w:val="0"/>
                <w:iCs/>
              </w:rPr>
              <w:t>,</w:t>
            </w:r>
            <w:r w:rsidRPr="00BA183C">
              <w:rPr>
                <w:i w:val="0"/>
                <w:iCs/>
              </w:rPr>
              <w:t xml:space="preserve"> the Council</w:t>
            </w:r>
            <w:r w:rsidRPr="00BA183C">
              <w:t xml:space="preserve"> </w:t>
            </w:r>
            <w:r w:rsidRPr="00BA183C">
              <w:rPr>
                <w:b/>
                <w:bCs/>
                <w:iCs/>
              </w:rPr>
              <w:t>and the Commission at political and technical level throughout the entire process, including the presence of the European Parliament’s representatives at formal and informal meetings of the General Affairs Council at which the MFF is discussed;</w:t>
            </w:r>
          </w:p>
          <w:p w:rsidR="002A6758" w:rsidRPr="00BA183C" w:rsidP="00CC5190" w14:paraId="0BB29218" w14:textId="77777777">
            <w:pPr>
              <w:pStyle w:val="AmColumnHeading"/>
              <w:keepNext/>
              <w:jc w:val="left"/>
              <w:rPr>
                <w:b/>
                <w:bCs/>
                <w:iCs/>
              </w:rPr>
            </w:pPr>
            <w:r w:rsidRPr="00BA183C">
              <w:rPr>
                <w:b/>
                <w:bCs/>
                <w:iCs/>
              </w:rPr>
              <w:t>(b)</w:t>
            </w:r>
            <w:r w:rsidRPr="00BA183C">
              <w:rPr>
                <w:b/>
                <w:bCs/>
                <w:iCs/>
              </w:rPr>
              <w:tab/>
            </w:r>
            <w:r w:rsidRPr="00BA183C">
              <w:rPr>
                <w:i w:val="0"/>
                <w:iCs/>
              </w:rPr>
              <w:t>on the initiative of the Commission</w:t>
            </w:r>
            <w:r w:rsidRPr="00BA183C">
              <w:rPr>
                <w:b/>
                <w:bCs/>
                <w:i w:val="0"/>
                <w:iCs/>
              </w:rPr>
              <w:t>,</w:t>
            </w:r>
            <w:r w:rsidRPr="00BA183C">
              <w:rPr>
                <w:b/>
                <w:bCs/>
                <w:iCs/>
              </w:rPr>
              <w:t xml:space="preserve"> including when requested by the European Parliament or the Council</w:t>
            </w:r>
            <w:r w:rsidRPr="00BA183C">
              <w:t xml:space="preserve">, </w:t>
            </w:r>
            <w:r w:rsidRPr="00BA183C">
              <w:rPr>
                <w:i w:val="0"/>
                <w:iCs/>
              </w:rPr>
              <w:t xml:space="preserve">meetings of the Presidents of the Institutions as set out in Article 324 TFEU </w:t>
            </w:r>
            <w:r w:rsidRPr="00BA183C">
              <w:rPr>
                <w:i w:val="0"/>
                <w:iCs/>
              </w:rPr>
              <w:t>in order to</w:t>
            </w:r>
            <w:r w:rsidRPr="00BA183C">
              <w:rPr>
                <w:i w:val="0"/>
                <w:iCs/>
              </w:rPr>
              <w:t xml:space="preserve"> promote consultation and the reconciliation of the positions of the Institutions</w:t>
            </w:r>
            <w:r w:rsidRPr="00BA183C">
              <w:rPr>
                <w:b/>
                <w:bCs/>
                <w:iCs/>
              </w:rPr>
              <w:t>;</w:t>
            </w:r>
          </w:p>
          <w:p w:rsidR="002A6758" w:rsidRPr="00BA183C" w:rsidP="00CC5190" w14:paraId="5C9B4D94" w14:textId="77777777">
            <w:pPr>
              <w:pStyle w:val="AmColumnHeading"/>
              <w:keepNext/>
              <w:jc w:val="left"/>
              <w:rPr>
                <w:b/>
                <w:bCs/>
                <w:iCs/>
              </w:rPr>
            </w:pPr>
            <w:r w:rsidRPr="00BA183C">
              <w:rPr>
                <w:b/>
                <w:bCs/>
                <w:iCs/>
              </w:rPr>
              <w:t>(c)</w:t>
            </w:r>
            <w:r w:rsidRPr="00BA183C">
              <w:rPr>
                <w:b/>
                <w:bCs/>
                <w:iCs/>
              </w:rPr>
              <w:tab/>
              <w:t>transmission by the Commission of timely data and information, including at the request of the European Parliament or the Council, and the organisation of technical briefings for both institutions;</w:t>
            </w:r>
          </w:p>
          <w:p w:rsidR="002A6758" w:rsidRPr="00BA183C" w:rsidP="00CC5190" w14:paraId="4CFBFCB5" w14:textId="77777777">
            <w:pPr>
              <w:pStyle w:val="AmColumnHeading"/>
              <w:keepNext/>
              <w:jc w:val="left"/>
              <w:rPr>
                <w:b/>
                <w:bCs/>
                <w:iCs/>
              </w:rPr>
            </w:pPr>
            <w:r w:rsidRPr="00BA183C">
              <w:rPr>
                <w:b/>
                <w:bCs/>
                <w:iCs/>
              </w:rPr>
              <w:t>(d)</w:t>
            </w:r>
            <w:r w:rsidRPr="00BA183C">
              <w:rPr>
                <w:b/>
                <w:bCs/>
                <w:iCs/>
              </w:rPr>
              <w:tab/>
              <w:t>trilateral negotiations.</w:t>
            </w:r>
          </w:p>
          <w:p w:rsidR="002A6758" w:rsidRPr="00BA183C" w:rsidP="00CC5190" w14:paraId="7A1A92B4" w14:textId="77777777">
            <w:pPr>
              <w:pStyle w:val="AmColumnHeading"/>
              <w:keepNext/>
              <w:jc w:val="left"/>
            </w:pPr>
            <w:r w:rsidRPr="00BA183C">
              <w:rPr>
                <w:i w:val="0"/>
                <w:iCs/>
              </w:rPr>
              <w:t xml:space="preserve">Where a proposal for a new MFF or for a substantial revision has been presented, the Institutions </w:t>
            </w:r>
            <w:r w:rsidRPr="00BA183C">
              <w:rPr>
                <w:b/>
                <w:bCs/>
              </w:rPr>
              <w:t>shall</w:t>
            </w:r>
            <w:r w:rsidRPr="00BA183C">
              <w:rPr>
                <w:i w:val="0"/>
                <w:iCs/>
              </w:rPr>
              <w:t xml:space="preserve"> seek to determine specific arrangements for cooperation and dialogue between them throughout the procedure leading to its adoption</w:t>
            </w:r>
            <w:r w:rsidRPr="00BA183C">
              <w:t xml:space="preserve"> </w:t>
            </w:r>
            <w:r w:rsidRPr="00BA183C">
              <w:rPr>
                <w:b/>
                <w:bCs/>
                <w:iCs/>
              </w:rPr>
              <w:t>on the basis of</w:t>
            </w:r>
            <w:r w:rsidRPr="00BA183C">
              <w:rPr>
                <w:b/>
                <w:bCs/>
                <w:iCs/>
              </w:rPr>
              <w:t xml:space="preserve"> a calendar proposed by Commission, including in particular the measures laid down in the first subparagraph.</w:t>
            </w:r>
          </w:p>
          <w:p w:rsidR="002A6758" w:rsidRPr="00BA183C" w:rsidP="00CC5190" w14:paraId="687AF342" w14:textId="77777777">
            <w:pPr>
              <w:pStyle w:val="AmColumnHeading"/>
              <w:keepNext/>
              <w:jc w:val="left"/>
              <w:rPr>
                <w:b/>
                <w:bCs/>
                <w:iCs/>
              </w:rPr>
            </w:pPr>
            <w:r w:rsidRPr="00BA183C">
              <w:rPr>
                <w:b/>
                <w:bCs/>
                <w:iCs/>
              </w:rPr>
              <w:t xml:space="preserve">Where there are delays to the calendar referred to in the second subparagraph that give rise to a risk of no Council regulation determining a new financial </w:t>
            </w:r>
            <w:r w:rsidRPr="00BA183C">
              <w:rPr>
                <w:b/>
                <w:bCs/>
                <w:iCs/>
              </w:rPr>
              <w:t>framework being adopted by the end of the previous financial framework, the Commission shall present a contingency plan to the European Parliament and the Council.</w:t>
            </w:r>
          </w:p>
        </w:tc>
      </w:tr>
    </w:tbl>
    <w:p w:rsidR="002A6758" w:rsidRPr="00BA183C" w:rsidP="002A6758" w14:paraId="6E864AEC" w14:textId="77777777">
      <w:pPr>
        <w:pStyle w:val="AmNumberTabs"/>
        <w:keepNext/>
      </w:pPr>
      <w:r w:rsidRPr="00BA183C">
        <w:t>Modification</w:t>
      </w:r>
      <w:r w:rsidRPr="00BA183C">
        <w:tab/>
      </w:r>
      <w:r w:rsidRPr="00BA183C">
        <w:tab/>
        <w:t>25</w:t>
      </w:r>
    </w:p>
    <w:p w:rsidR="002A6758" w:rsidRPr="00BA183C" w:rsidP="002A6758" w14:paraId="30F52B42" w14:textId="77777777">
      <w:pPr>
        <w:pStyle w:val="NormalBold12b"/>
        <w:keepNext/>
      </w:pPr>
      <w:r w:rsidRPr="00BA183C">
        <w:t xml:space="preserve"> Proposal for Interinstitutional Agreement</w:t>
      </w:r>
    </w:p>
    <w:p w:rsidR="002A6758" w:rsidRPr="00BA183C" w:rsidP="002A6758" w14:paraId="48894FA1" w14:textId="77777777">
      <w:pPr>
        <w:pStyle w:val="NormalBold12b"/>
        <w:keepNext/>
        <w:spacing w:before="0"/>
      </w:pPr>
      <w:r w:rsidRPr="00BA183C">
        <w:t xml:space="preserve"> Part 1 </w:t>
      </w:r>
    </w:p>
    <w:p w:rsidR="002A6758" w:rsidRPr="00BA183C" w:rsidP="002A6758" w14:paraId="56C0A65C" w14:textId="77777777">
      <w:pPr>
        <w:pStyle w:val="NormalBold12b"/>
        <w:keepNext/>
        <w:spacing w:before="0"/>
      </w:pPr>
      <w:r w:rsidRPr="00BA183C">
        <w:t xml:space="preserve"> </w:t>
      </w:r>
      <w:r w:rsidRPr="00BA183C">
        <w:rPr>
          <w:b w:val="0"/>
          <w:bCs/>
        </w:rPr>
        <w:t xml:space="preserve">Section B – point 9 </w:t>
      </w:r>
    </w:p>
    <w:tbl>
      <w:tblPr>
        <w:tblW w:w="9752" w:type="dxa"/>
        <w:jc w:val="center"/>
        <w:tblLayout w:type="fixed"/>
        <w:tblCellMar>
          <w:left w:w="340" w:type="dxa"/>
          <w:right w:w="340" w:type="dxa"/>
        </w:tblCellMar>
        <w:tblLook w:val="0000"/>
      </w:tblPr>
      <w:tblGrid>
        <w:gridCol w:w="4876"/>
        <w:gridCol w:w="4876"/>
      </w:tblGrid>
      <w:tr w14:paraId="192B2FFF" w14:textId="77777777" w:rsidTr="00CC5190">
        <w:tblPrEx>
          <w:tblW w:w="9752" w:type="dxa"/>
          <w:jc w:val="center"/>
          <w:tblLayout w:type="fixed"/>
          <w:tblLook w:val="0000"/>
        </w:tblPrEx>
        <w:trPr>
          <w:jc w:val="center"/>
        </w:trPr>
        <w:tc>
          <w:tcPr>
            <w:tcW w:w="9752" w:type="dxa"/>
            <w:gridSpan w:val="2"/>
          </w:tcPr>
          <w:p w:rsidR="002A6758" w:rsidRPr="00BA183C" w:rsidP="00CC5190" w14:paraId="37BAED37" w14:textId="77777777">
            <w:pPr>
              <w:keepNext/>
            </w:pPr>
          </w:p>
        </w:tc>
      </w:tr>
      <w:tr w14:paraId="02F7CD7A" w14:textId="77777777" w:rsidTr="00CC5190">
        <w:tblPrEx>
          <w:tblW w:w="9752" w:type="dxa"/>
          <w:jc w:val="center"/>
          <w:tblLayout w:type="fixed"/>
          <w:tblLook w:val="0000"/>
        </w:tblPrEx>
        <w:trPr>
          <w:jc w:val="center"/>
        </w:trPr>
        <w:tc>
          <w:tcPr>
            <w:tcW w:w="4876" w:type="dxa"/>
          </w:tcPr>
          <w:p w:rsidR="002A6758" w:rsidRPr="00BA183C" w:rsidP="00CC5190" w14:paraId="28DD1B63" w14:textId="77777777">
            <w:pPr>
              <w:pStyle w:val="AmColumnHeading"/>
              <w:keepNext/>
            </w:pPr>
            <w:r w:rsidRPr="00BA183C">
              <w:t>Text proposed by the Commission</w:t>
            </w:r>
          </w:p>
        </w:tc>
        <w:tc>
          <w:tcPr>
            <w:tcW w:w="4876" w:type="dxa"/>
          </w:tcPr>
          <w:p w:rsidR="002A6758" w:rsidRPr="00BA183C" w:rsidP="00CC5190" w14:paraId="45705EF6" w14:textId="77777777">
            <w:pPr>
              <w:pStyle w:val="AmColumnHeading"/>
              <w:keepNext/>
            </w:pPr>
            <w:r w:rsidRPr="00BA183C">
              <w:t>Modification</w:t>
            </w:r>
          </w:p>
        </w:tc>
      </w:tr>
      <w:tr w14:paraId="4CDAC527" w14:textId="77777777" w:rsidTr="00CC5190">
        <w:tblPrEx>
          <w:tblW w:w="9752" w:type="dxa"/>
          <w:jc w:val="center"/>
          <w:tblLayout w:type="fixed"/>
          <w:tblLook w:val="0000"/>
        </w:tblPrEx>
        <w:trPr>
          <w:jc w:val="center"/>
        </w:trPr>
        <w:tc>
          <w:tcPr>
            <w:tcW w:w="4876" w:type="dxa"/>
          </w:tcPr>
          <w:p w:rsidR="002A6758" w:rsidRPr="00BA183C" w:rsidP="00CC5190" w14:paraId="77926715" w14:textId="77777777">
            <w:pPr>
              <w:pStyle w:val="AmColumnHeading"/>
              <w:keepNext/>
              <w:rPr>
                <w:b/>
                <w:bCs/>
              </w:rPr>
            </w:pPr>
            <w:r w:rsidRPr="00BA183C">
              <w:t xml:space="preserve"> </w:t>
            </w:r>
            <w:r w:rsidRPr="00BA183C">
              <w:rPr>
                <w:b/>
                <w:bCs/>
              </w:rPr>
              <w:t>Single Margin Instrument</w:t>
            </w:r>
          </w:p>
          <w:p w:rsidR="002A6758" w:rsidRPr="00BA183C" w:rsidP="00CC5190" w14:paraId="46897F73" w14:textId="77777777">
            <w:pPr>
              <w:pStyle w:val="AmColumnHeading"/>
              <w:keepNext/>
              <w:jc w:val="left"/>
              <w:rPr>
                <w:b/>
                <w:bCs/>
              </w:rPr>
            </w:pPr>
            <w:r w:rsidRPr="00BA183C">
              <w:rPr>
                <w:b/>
                <w:bCs/>
              </w:rPr>
              <w:t>9.</w:t>
            </w:r>
            <w:r w:rsidRPr="00BA183C">
              <w:rPr>
                <w:b/>
                <w:bCs/>
              </w:rPr>
              <w:tab/>
              <w:t>The mobilisation of all or part of the amounts referred to in Article 7(1), point (c) of the MFF Regulation (‘Contingency Margin’) shall be proposed by the Commission after it has ascertained that the necessary commitment or payment appropriations</w:t>
            </w:r>
            <w:r w:rsidRPr="00BA183C">
              <w:rPr>
                <w:b/>
                <w:bCs/>
              </w:rPr>
              <w:t>, as the case may be, cannot</w:t>
            </w:r>
            <w:r w:rsidRPr="00BA183C">
              <w:rPr>
                <w:b/>
                <w:bCs/>
              </w:rPr>
              <w:t xml:space="preserve"> be financed otherwise. Such a proposal may be made in relation to a draft budget or draft amending budget.</w:t>
            </w:r>
          </w:p>
          <w:p w:rsidR="002A6758" w:rsidRPr="00BA183C" w:rsidP="00CC5190" w14:paraId="23EB420F" w14:textId="77777777">
            <w:pPr>
              <w:pStyle w:val="Normal6a"/>
              <w:rPr>
                <w:b/>
                <w:bCs/>
              </w:rPr>
            </w:pPr>
            <w:r w:rsidRPr="00BA183C">
              <w:rPr>
                <w:b/>
                <w:bCs/>
              </w:rPr>
              <w:tab/>
            </w:r>
            <w:r w:rsidRPr="00BA183C">
              <w:rPr>
                <w:b/>
                <w:bCs/>
                <w:i/>
                <w:iCs/>
              </w:rPr>
              <w:t>The Contingency Margin may be mobilised by the European Parliament and the Council in the framework of the budgetary procedure set out in Article 314 TFEU.</w:t>
            </w:r>
          </w:p>
        </w:tc>
        <w:tc>
          <w:tcPr>
            <w:tcW w:w="4876" w:type="dxa"/>
          </w:tcPr>
          <w:p w:rsidR="002A6758" w:rsidRPr="00BA183C" w:rsidP="00CC5190" w14:paraId="135206C7" w14:textId="77777777">
            <w:pPr>
              <w:pStyle w:val="Normal6a"/>
              <w:rPr>
                <w:i/>
                <w:iCs/>
                <w:szCs w:val="24"/>
              </w:rPr>
            </w:pPr>
            <w:r w:rsidRPr="00BA183C">
              <w:rPr>
                <w:b/>
                <w:bCs/>
                <w:i/>
                <w:iCs/>
              </w:rPr>
              <w:t>deleted</w:t>
            </w:r>
          </w:p>
        </w:tc>
      </w:tr>
    </w:tbl>
    <w:p w:rsidR="002A6758" w:rsidRPr="00BA183C" w:rsidP="002A6758" w14:paraId="7FCA403B" w14:textId="77777777">
      <w:pPr>
        <w:pStyle w:val="AmNumberTabs"/>
        <w:keepNext/>
      </w:pPr>
      <w:r w:rsidRPr="00BA183C">
        <w:t>Modification</w:t>
      </w:r>
      <w:r w:rsidRPr="00BA183C">
        <w:tab/>
      </w:r>
      <w:r w:rsidRPr="00BA183C">
        <w:tab/>
        <w:t>26</w:t>
      </w:r>
    </w:p>
    <w:p w:rsidR="002A6758" w:rsidRPr="00BA183C" w:rsidP="002A6758" w14:paraId="0D0F1A30" w14:textId="77777777">
      <w:pPr>
        <w:pStyle w:val="NormalBold12b"/>
        <w:keepNext/>
      </w:pPr>
      <w:r w:rsidRPr="00BA183C">
        <w:t xml:space="preserve"> Proposal for Interinstitutional Agreement</w:t>
      </w:r>
    </w:p>
    <w:p w:rsidR="002A6758" w:rsidRPr="00BA183C" w:rsidP="002A6758" w14:paraId="176C5591" w14:textId="77777777">
      <w:pPr>
        <w:pStyle w:val="NormalBold12b"/>
        <w:keepNext/>
        <w:spacing w:before="0"/>
      </w:pPr>
      <w:r w:rsidRPr="00BA183C">
        <w:t xml:space="preserve"> Part 1</w:t>
      </w:r>
    </w:p>
    <w:p w:rsidR="002A6758" w:rsidRPr="00BA183C" w:rsidP="002A6758" w14:paraId="321B6302" w14:textId="77777777">
      <w:pPr>
        <w:pStyle w:val="NormalBold12b"/>
        <w:keepNext/>
        <w:spacing w:before="0"/>
      </w:pPr>
      <w:r w:rsidRPr="00BA183C">
        <w:t xml:space="preserve"> </w:t>
      </w:r>
      <w:r w:rsidRPr="00BA183C">
        <w:rPr>
          <w:b w:val="0"/>
          <w:bCs/>
        </w:rPr>
        <w:t>Section B – point 9 a (new)</w:t>
      </w:r>
    </w:p>
    <w:tbl>
      <w:tblPr>
        <w:tblW w:w="9752" w:type="dxa"/>
        <w:jc w:val="center"/>
        <w:tblLayout w:type="fixed"/>
        <w:tblCellMar>
          <w:left w:w="340" w:type="dxa"/>
          <w:right w:w="340" w:type="dxa"/>
        </w:tblCellMar>
        <w:tblLook w:val="0000"/>
      </w:tblPr>
      <w:tblGrid>
        <w:gridCol w:w="4876"/>
        <w:gridCol w:w="4876"/>
      </w:tblGrid>
      <w:tr w14:paraId="4EB21A85" w14:textId="77777777" w:rsidTr="00CC5190">
        <w:tblPrEx>
          <w:tblW w:w="9752" w:type="dxa"/>
          <w:jc w:val="center"/>
          <w:tblLayout w:type="fixed"/>
          <w:tblLook w:val="0000"/>
        </w:tblPrEx>
        <w:trPr>
          <w:jc w:val="center"/>
        </w:trPr>
        <w:tc>
          <w:tcPr>
            <w:tcW w:w="9752" w:type="dxa"/>
            <w:gridSpan w:val="2"/>
          </w:tcPr>
          <w:p w:rsidR="002A6758" w:rsidRPr="00BA183C" w:rsidP="00CC5190" w14:paraId="5FB21A91" w14:textId="77777777">
            <w:pPr>
              <w:keepNext/>
            </w:pPr>
          </w:p>
        </w:tc>
      </w:tr>
      <w:tr w14:paraId="74222250" w14:textId="77777777" w:rsidTr="00CC5190">
        <w:tblPrEx>
          <w:tblW w:w="9752" w:type="dxa"/>
          <w:jc w:val="center"/>
          <w:tblLayout w:type="fixed"/>
          <w:tblLook w:val="0000"/>
        </w:tblPrEx>
        <w:trPr>
          <w:jc w:val="center"/>
        </w:trPr>
        <w:tc>
          <w:tcPr>
            <w:tcW w:w="4876" w:type="dxa"/>
          </w:tcPr>
          <w:p w:rsidR="002A6758" w:rsidRPr="00BA183C" w:rsidP="00CC5190" w14:paraId="21B04519" w14:textId="77777777">
            <w:pPr>
              <w:pStyle w:val="AmColumnHeading"/>
              <w:keepNext/>
            </w:pPr>
            <w:r w:rsidRPr="00BA183C">
              <w:t>Text proposed by the Commission</w:t>
            </w:r>
          </w:p>
        </w:tc>
        <w:tc>
          <w:tcPr>
            <w:tcW w:w="4876" w:type="dxa"/>
          </w:tcPr>
          <w:p w:rsidR="002A6758" w:rsidRPr="00BA183C" w:rsidP="00CC5190" w14:paraId="02578F53" w14:textId="77777777">
            <w:pPr>
              <w:pStyle w:val="AmColumnHeading"/>
              <w:keepNext/>
            </w:pPr>
            <w:r w:rsidRPr="00BA183C">
              <w:t>Modification</w:t>
            </w:r>
          </w:p>
        </w:tc>
      </w:tr>
      <w:tr w14:paraId="3D5A2396" w14:textId="77777777" w:rsidTr="00CC5190">
        <w:tblPrEx>
          <w:tblW w:w="9752" w:type="dxa"/>
          <w:jc w:val="center"/>
          <w:tblLayout w:type="fixed"/>
          <w:tblLook w:val="0000"/>
        </w:tblPrEx>
        <w:trPr>
          <w:jc w:val="center"/>
        </w:trPr>
        <w:tc>
          <w:tcPr>
            <w:tcW w:w="4876" w:type="dxa"/>
          </w:tcPr>
          <w:p w:rsidR="002A6758" w:rsidRPr="00BA183C" w:rsidP="00CC5190" w14:paraId="5C8B5BFC" w14:textId="77777777">
            <w:pPr>
              <w:pStyle w:val="AmColumnHeading"/>
              <w:jc w:val="left"/>
              <w:rPr>
                <w:b/>
                <w:bCs/>
                <w:iCs/>
              </w:rPr>
            </w:pPr>
          </w:p>
        </w:tc>
        <w:tc>
          <w:tcPr>
            <w:tcW w:w="4876" w:type="dxa"/>
          </w:tcPr>
          <w:p w:rsidR="002A6758" w:rsidRPr="00BA183C" w:rsidP="00CC5190" w14:paraId="6954CC4E" w14:textId="77777777">
            <w:pPr>
              <w:pStyle w:val="AmColumnHeading"/>
              <w:keepNext/>
              <w:jc w:val="left"/>
              <w:rPr>
                <w:b/>
                <w:bCs/>
              </w:rPr>
            </w:pPr>
            <w:r w:rsidRPr="00BA183C">
              <w:rPr>
                <w:b/>
                <w:bCs/>
              </w:rPr>
              <w:t xml:space="preserve">Solidarity Reserve for Natural Disasters </w:t>
            </w:r>
          </w:p>
          <w:p w:rsidR="002A6758" w:rsidRPr="00BA183C" w:rsidP="00CC5190" w14:paraId="752EAC8A" w14:textId="77777777">
            <w:pPr>
              <w:pStyle w:val="AmColumnHeading"/>
              <w:keepNext/>
              <w:jc w:val="left"/>
              <w:rPr>
                <w:b/>
                <w:bCs/>
                <w:iCs/>
              </w:rPr>
            </w:pPr>
            <w:r w:rsidRPr="00BA183C">
              <w:rPr>
                <w:b/>
                <w:bCs/>
                <w:iCs/>
              </w:rPr>
              <w:t>9a.</w:t>
            </w:r>
            <w:r w:rsidRPr="00BA183C">
              <w:rPr>
                <w:b/>
                <w:bCs/>
                <w:iCs/>
              </w:rPr>
              <w:tab/>
              <w:t xml:space="preserve">Where the Commission considers that the conditions for mobilising the </w:t>
            </w:r>
            <w:r w:rsidRPr="00BA183C">
              <w:rPr>
                <w:b/>
                <w:bCs/>
              </w:rPr>
              <w:t xml:space="preserve">Solidarity Reserve for Natural Disasters </w:t>
            </w:r>
            <w:r w:rsidRPr="00BA183C">
              <w:rPr>
                <w:b/>
                <w:bCs/>
                <w:iCs/>
              </w:rPr>
              <w:t xml:space="preserve">are met, it shall submit a proposal to the European Parliament and to the Council for a transfer from that Reserve to the </w:t>
            </w:r>
            <w:r w:rsidRPr="00BA183C">
              <w:rPr>
                <w:b/>
                <w:bCs/>
                <w:iCs/>
              </w:rPr>
              <w:t>corresponding budget lines in accordance with the Financial Regulation.</w:t>
            </w:r>
          </w:p>
          <w:p w:rsidR="002A6758" w:rsidRPr="00BA183C" w:rsidP="00CC5190" w14:paraId="1A9E3308" w14:textId="77777777">
            <w:pPr>
              <w:pStyle w:val="AmColumnHeading"/>
              <w:keepNext/>
              <w:jc w:val="left"/>
              <w:rPr>
                <w:b/>
                <w:bCs/>
                <w:iCs/>
              </w:rPr>
            </w:pPr>
            <w:r w:rsidRPr="00BA183C">
              <w:rPr>
                <w:b/>
                <w:bCs/>
                <w:iCs/>
              </w:rPr>
              <w:t>The decision to mobilise amounts under Article 8a (1) of the MFF Regulation shall be taken jointly by the European Parliament and by the Council on a proposal from the Commission.</w:t>
            </w:r>
          </w:p>
          <w:p w:rsidR="002A6758" w:rsidRPr="00BA183C" w:rsidP="00CC5190" w14:paraId="421867FD" w14:textId="77777777">
            <w:pPr>
              <w:pStyle w:val="AmColumnHeading"/>
              <w:keepNext/>
              <w:jc w:val="left"/>
              <w:rPr>
                <w:b/>
                <w:bCs/>
                <w:iCs/>
              </w:rPr>
            </w:pPr>
            <w:r w:rsidRPr="00BA183C">
              <w:rPr>
                <w:b/>
                <w:bCs/>
                <w:iCs/>
              </w:rPr>
              <w:t xml:space="preserve">Before making any proposal for a transfer from the </w:t>
            </w:r>
            <w:r w:rsidRPr="00BA183C">
              <w:rPr>
                <w:b/>
                <w:bCs/>
              </w:rPr>
              <w:t>Solidarity Reserve for Natural Disasters</w:t>
            </w:r>
            <w:r w:rsidRPr="00BA183C">
              <w:rPr>
                <w:b/>
                <w:bCs/>
                <w:iCs/>
              </w:rPr>
              <w:t xml:space="preserve"> for assistance, the Commission shall examine the scope for reallocating appropriations.</w:t>
            </w:r>
          </w:p>
        </w:tc>
      </w:tr>
    </w:tbl>
    <w:p w:rsidR="002A6758" w:rsidRPr="00BA183C" w:rsidP="002A6758" w14:paraId="461400B1" w14:textId="77777777"/>
    <w:p w:rsidR="002A6758" w:rsidRPr="00BA183C" w:rsidP="002A6758" w14:paraId="086B5FEB" w14:textId="77777777">
      <w:pPr>
        <w:pStyle w:val="AmNumberTabs"/>
        <w:keepNext/>
      </w:pPr>
      <w:r w:rsidRPr="00BA183C">
        <w:t>Modification</w:t>
      </w:r>
      <w:r w:rsidRPr="00BA183C">
        <w:tab/>
      </w:r>
      <w:r w:rsidRPr="00BA183C">
        <w:tab/>
        <w:t>27</w:t>
      </w:r>
    </w:p>
    <w:p w:rsidR="002A6758" w:rsidRPr="00BA183C" w:rsidP="002A6758" w14:paraId="1A4B7724" w14:textId="77777777">
      <w:pPr>
        <w:pStyle w:val="NormalBold12b"/>
        <w:keepNext/>
      </w:pPr>
      <w:r w:rsidRPr="00BA183C">
        <w:t xml:space="preserve"> Proposal for Interinstitutional Agreement</w:t>
      </w:r>
    </w:p>
    <w:p w:rsidR="002A6758" w:rsidRPr="00BA183C" w:rsidP="002A6758" w14:paraId="5C265F77" w14:textId="77777777">
      <w:pPr>
        <w:pStyle w:val="NormalBold12b"/>
        <w:keepNext/>
        <w:spacing w:before="0"/>
      </w:pPr>
      <w:r w:rsidRPr="00BA183C">
        <w:t xml:space="preserve"> Part 2</w:t>
      </w:r>
    </w:p>
    <w:p w:rsidR="002A6758" w:rsidRPr="00BA183C" w:rsidP="002A6758" w14:paraId="47294BB2" w14:textId="77777777">
      <w:pPr>
        <w:pStyle w:val="NormalBold12b"/>
        <w:keepNext/>
        <w:spacing w:before="0"/>
      </w:pPr>
      <w:r w:rsidRPr="00BA183C">
        <w:t xml:space="preserve"> </w:t>
      </w:r>
      <w:r w:rsidRPr="00BA183C">
        <w:rPr>
          <w:b w:val="0"/>
          <w:bCs/>
        </w:rPr>
        <w:t xml:space="preserve">Section A – point 10 </w:t>
      </w:r>
      <w:r w:rsidRPr="00BA183C">
        <w:t>–</w:t>
      </w:r>
      <w:r w:rsidRPr="00BA183C">
        <w:rPr>
          <w:b w:val="0"/>
          <w:bCs/>
        </w:rPr>
        <w:t xml:space="preserve"> subparagraphs 2 and 3</w:t>
      </w:r>
    </w:p>
    <w:tbl>
      <w:tblPr>
        <w:tblW w:w="9752" w:type="dxa"/>
        <w:jc w:val="center"/>
        <w:tblLayout w:type="fixed"/>
        <w:tblCellMar>
          <w:left w:w="340" w:type="dxa"/>
          <w:right w:w="340" w:type="dxa"/>
        </w:tblCellMar>
        <w:tblLook w:val="0000"/>
      </w:tblPr>
      <w:tblGrid>
        <w:gridCol w:w="4876"/>
        <w:gridCol w:w="4876"/>
      </w:tblGrid>
      <w:tr w14:paraId="26A39D9E" w14:textId="77777777" w:rsidTr="00CC5190">
        <w:tblPrEx>
          <w:tblW w:w="9752" w:type="dxa"/>
          <w:jc w:val="center"/>
          <w:tblLayout w:type="fixed"/>
          <w:tblLook w:val="0000"/>
        </w:tblPrEx>
        <w:trPr>
          <w:jc w:val="center"/>
        </w:trPr>
        <w:tc>
          <w:tcPr>
            <w:tcW w:w="9752" w:type="dxa"/>
            <w:gridSpan w:val="2"/>
          </w:tcPr>
          <w:p w:rsidR="002A6758" w:rsidRPr="00BA183C" w:rsidP="00CC5190" w14:paraId="1649C1FC" w14:textId="77777777">
            <w:pPr>
              <w:keepNext/>
            </w:pPr>
          </w:p>
        </w:tc>
      </w:tr>
      <w:tr w14:paraId="521DE9BF" w14:textId="77777777" w:rsidTr="00CC5190">
        <w:tblPrEx>
          <w:tblW w:w="9752" w:type="dxa"/>
          <w:jc w:val="center"/>
          <w:tblLayout w:type="fixed"/>
          <w:tblLook w:val="0000"/>
        </w:tblPrEx>
        <w:trPr>
          <w:jc w:val="center"/>
        </w:trPr>
        <w:tc>
          <w:tcPr>
            <w:tcW w:w="4876" w:type="dxa"/>
          </w:tcPr>
          <w:p w:rsidR="002A6758" w:rsidRPr="00BA183C" w:rsidP="00CC5190" w14:paraId="6DE26B4C" w14:textId="77777777">
            <w:pPr>
              <w:pStyle w:val="AmColumnHeading"/>
              <w:keepNext/>
            </w:pPr>
            <w:r w:rsidRPr="00BA183C">
              <w:t>Text proposed by the Commission</w:t>
            </w:r>
          </w:p>
        </w:tc>
        <w:tc>
          <w:tcPr>
            <w:tcW w:w="4876" w:type="dxa"/>
          </w:tcPr>
          <w:p w:rsidR="002A6758" w:rsidRPr="00BA183C" w:rsidP="00CC5190" w14:paraId="223B2598" w14:textId="77777777">
            <w:pPr>
              <w:pStyle w:val="AmColumnHeading"/>
              <w:keepNext/>
            </w:pPr>
            <w:r w:rsidRPr="00BA183C">
              <w:t>Modification</w:t>
            </w:r>
          </w:p>
        </w:tc>
      </w:tr>
      <w:tr w14:paraId="572CD8A0" w14:textId="77777777" w:rsidTr="00CC5190">
        <w:tblPrEx>
          <w:tblW w:w="9752" w:type="dxa"/>
          <w:jc w:val="center"/>
          <w:tblLayout w:type="fixed"/>
          <w:tblLook w:val="0000"/>
        </w:tblPrEx>
        <w:trPr>
          <w:jc w:val="center"/>
        </w:trPr>
        <w:tc>
          <w:tcPr>
            <w:tcW w:w="4876" w:type="dxa"/>
          </w:tcPr>
          <w:p w:rsidR="002A6758" w:rsidRPr="00BA183C" w:rsidP="00CC5190" w14:paraId="609D20B2" w14:textId="77777777">
            <w:pPr>
              <w:pStyle w:val="AmColumnHeading"/>
              <w:keepNext/>
              <w:jc w:val="left"/>
              <w:rPr>
                <w:i w:val="0"/>
                <w:iCs/>
              </w:rPr>
            </w:pPr>
            <w:r w:rsidRPr="00BA183C">
              <w:rPr>
                <w:i w:val="0"/>
                <w:iCs/>
              </w:rPr>
              <w:t xml:space="preserve">The European Parliament and the Council, and the Commission when it draws up the draft budget, undertake not to depart by more than </w:t>
            </w:r>
            <w:r w:rsidRPr="00BA183C">
              <w:rPr>
                <w:b/>
                <w:bCs/>
              </w:rPr>
              <w:t>20</w:t>
            </w:r>
            <w:r w:rsidRPr="00BA183C">
              <w:rPr>
                <w:i w:val="0"/>
                <w:iCs/>
              </w:rPr>
              <w:t xml:space="preserve"> % from that amount for the entire duration of the programme or instrument concerned, unless duly justified new circumstances arise, including in relation to the Union’s policy priorities, with account being taken of the results obtained from implementing the programmes and instruments.</w:t>
            </w:r>
          </w:p>
          <w:p w:rsidR="002A6758" w:rsidRPr="00BA183C" w:rsidP="00CC5190" w14:paraId="06FC447A" w14:textId="77777777">
            <w:pPr>
              <w:pStyle w:val="AmColumnHeading"/>
              <w:keepNext/>
              <w:jc w:val="left"/>
              <w:rPr>
                <w:i w:val="0"/>
                <w:iCs/>
              </w:rPr>
            </w:pPr>
          </w:p>
          <w:p w:rsidR="002A6758" w:rsidRPr="00BA183C" w:rsidP="00CC5190" w14:paraId="16DBC0CF" w14:textId="77777777">
            <w:pPr>
              <w:pStyle w:val="AmColumnHeading"/>
              <w:keepNext/>
              <w:spacing w:before="240"/>
              <w:jc w:val="left"/>
              <w:rPr>
                <w:i w:val="0"/>
                <w:iCs/>
              </w:rPr>
            </w:pPr>
          </w:p>
          <w:p w:rsidR="002A6758" w:rsidRPr="00BA183C" w:rsidP="00CC5190" w14:paraId="0780796E" w14:textId="77777777">
            <w:pPr>
              <w:pStyle w:val="AmColumnHeading"/>
              <w:keepNext/>
              <w:spacing w:before="240" w:after="120"/>
              <w:jc w:val="left"/>
              <w:rPr>
                <w:i w:val="0"/>
                <w:iCs/>
              </w:rPr>
            </w:pPr>
          </w:p>
          <w:p w:rsidR="002A6758" w:rsidRPr="00BA183C" w:rsidP="00CC5190" w14:paraId="66BF1539" w14:textId="77777777">
            <w:pPr>
              <w:pStyle w:val="AmColumnHeading"/>
              <w:spacing w:after="360"/>
              <w:jc w:val="left"/>
              <w:rPr>
                <w:b/>
                <w:bCs/>
                <w:iCs/>
              </w:rPr>
            </w:pPr>
            <w:r w:rsidRPr="00BA183C">
              <w:rPr>
                <w:i w:val="0"/>
                <w:iCs/>
              </w:rPr>
              <w:t xml:space="preserve">This point </w:t>
            </w:r>
            <w:r w:rsidRPr="00BA183C">
              <w:rPr>
                <w:b/>
                <w:bCs/>
              </w:rPr>
              <w:t xml:space="preserve">does </w:t>
            </w:r>
            <w:r w:rsidRPr="00BA183C">
              <w:rPr>
                <w:i w:val="0"/>
                <w:iCs/>
              </w:rPr>
              <w:t>not apply to appropriations pre-allocated per Member State under Regulation [(EU) XXXX/XX] [National and Regional Partnership Fund].</w:t>
            </w:r>
          </w:p>
        </w:tc>
        <w:tc>
          <w:tcPr>
            <w:tcW w:w="4876" w:type="dxa"/>
          </w:tcPr>
          <w:p w:rsidR="002A6758" w:rsidRPr="00BA183C" w:rsidP="00CC5190" w14:paraId="4B9E289D" w14:textId="77777777">
            <w:pPr>
              <w:pStyle w:val="AmColumnHeading"/>
              <w:keepNext/>
              <w:jc w:val="left"/>
              <w:rPr>
                <w:i w:val="0"/>
                <w:iCs/>
              </w:rPr>
            </w:pPr>
            <w:r w:rsidRPr="00BA183C">
              <w:rPr>
                <w:i w:val="0"/>
                <w:iCs/>
              </w:rPr>
              <w:t xml:space="preserve">The European Parliament and the Council, and the Commission when it draws up the draft budget, undertake not to depart by more than </w:t>
            </w:r>
            <w:r w:rsidRPr="00BA183C">
              <w:rPr>
                <w:b/>
                <w:bCs/>
              </w:rPr>
              <w:t>5</w:t>
            </w:r>
            <w:r w:rsidRPr="00BA183C">
              <w:rPr>
                <w:i w:val="0"/>
                <w:iCs/>
              </w:rPr>
              <w:t xml:space="preserve"> % from that amount for the entire duration of the programme or instrument concerned, unless duly justified new circumstances arise, including in relation to the Union’s policy priorities, with account being taken of the results obtained from implementing the programmes and instruments. </w:t>
            </w:r>
            <w:r w:rsidRPr="00BA183C">
              <w:rPr>
                <w:b/>
                <w:bCs/>
              </w:rPr>
              <w:t>Any increase resulting from such variation shall remain beneath the existing ceiling for the heading concerned, without prejudice to the use of instruments referred to in the MFF Regulation and in this Agreement.</w:t>
            </w:r>
          </w:p>
          <w:p w:rsidR="002A6758" w:rsidRPr="00BA183C" w:rsidP="00CC5190" w14:paraId="0D88E103" w14:textId="77777777">
            <w:pPr>
              <w:pStyle w:val="AmColumnHeading"/>
              <w:keepNext/>
              <w:jc w:val="left"/>
              <w:rPr>
                <w:i w:val="0"/>
              </w:rPr>
            </w:pPr>
            <w:r w:rsidRPr="00BA183C">
              <w:rPr>
                <w:i w:val="0"/>
                <w:iCs/>
              </w:rPr>
              <w:t xml:space="preserve">This point </w:t>
            </w:r>
            <w:r w:rsidRPr="00BA183C">
              <w:rPr>
                <w:b/>
                <w:bCs/>
              </w:rPr>
              <w:t xml:space="preserve">shall </w:t>
            </w:r>
            <w:r w:rsidRPr="00BA183C">
              <w:rPr>
                <w:i w:val="0"/>
                <w:iCs/>
              </w:rPr>
              <w:t>not apply to appropriations pre-allocated per Member State under Regulation [(EU) XXXX/XX] [National and Regional Partnership Fund].</w:t>
            </w:r>
          </w:p>
        </w:tc>
      </w:tr>
    </w:tbl>
    <w:p w:rsidR="002A6758" w:rsidRPr="00BA183C" w:rsidP="002A6758" w14:paraId="6E7F563A" w14:textId="77777777">
      <w:pPr>
        <w:rPr>
          <w:rStyle w:val="HideTWBExt"/>
          <w:rFonts w:ascii="Times New Roman" w:hAnsi="Times New Roman"/>
          <w:noProof w:val="0"/>
          <w:vanish w:val="0"/>
          <w:color w:val="auto"/>
          <w:sz w:val="24"/>
        </w:rPr>
      </w:pPr>
    </w:p>
    <w:p w:rsidR="002A6758" w:rsidRPr="00BA183C" w:rsidP="002A6758" w14:paraId="261BE2B0" w14:textId="77777777">
      <w:pPr>
        <w:pStyle w:val="AmNumberTabs"/>
        <w:keepNext/>
      </w:pPr>
      <w:r w:rsidRPr="00BA183C">
        <w:t>Modification</w:t>
      </w:r>
      <w:r w:rsidRPr="00BA183C">
        <w:tab/>
      </w:r>
      <w:r w:rsidRPr="00BA183C">
        <w:tab/>
        <w:t>28</w:t>
      </w:r>
    </w:p>
    <w:p w:rsidR="002A6758" w:rsidRPr="00BA183C" w:rsidP="002A6758" w14:paraId="16D437E8" w14:textId="77777777">
      <w:pPr>
        <w:pStyle w:val="NormalBold12b"/>
        <w:keepNext/>
      </w:pPr>
      <w:r w:rsidRPr="00BA183C">
        <w:t xml:space="preserve"> Proposal for Interinstitutional Agreement</w:t>
      </w:r>
    </w:p>
    <w:p w:rsidR="002A6758" w:rsidRPr="00BA183C" w:rsidP="002A6758" w14:paraId="66717B12" w14:textId="77777777">
      <w:pPr>
        <w:pStyle w:val="NormalBold12b"/>
        <w:keepNext/>
        <w:spacing w:before="0"/>
      </w:pPr>
      <w:r w:rsidRPr="00BA183C">
        <w:t xml:space="preserve"> Part 2</w:t>
      </w:r>
    </w:p>
    <w:p w:rsidR="002A6758" w:rsidRPr="00BA183C" w:rsidP="002A6758" w14:paraId="2A8B5FCB" w14:textId="77777777">
      <w:pPr>
        <w:pStyle w:val="NormalBold12b"/>
        <w:keepNext/>
        <w:spacing w:before="0"/>
      </w:pPr>
      <w:r w:rsidRPr="00BA183C">
        <w:t xml:space="preserve"> </w:t>
      </w:r>
      <w:r w:rsidRPr="00BA183C">
        <w:rPr>
          <w:b w:val="0"/>
          <w:bCs/>
        </w:rPr>
        <w:t xml:space="preserve">Section A – point 11 </w:t>
      </w:r>
    </w:p>
    <w:tbl>
      <w:tblPr>
        <w:tblW w:w="9752" w:type="dxa"/>
        <w:jc w:val="center"/>
        <w:tblLayout w:type="fixed"/>
        <w:tblCellMar>
          <w:left w:w="340" w:type="dxa"/>
          <w:right w:w="340" w:type="dxa"/>
        </w:tblCellMar>
        <w:tblLook w:val="0000"/>
      </w:tblPr>
      <w:tblGrid>
        <w:gridCol w:w="4876"/>
        <w:gridCol w:w="4876"/>
      </w:tblGrid>
      <w:tr w14:paraId="1408CFE6" w14:textId="77777777" w:rsidTr="00CC5190">
        <w:tblPrEx>
          <w:tblW w:w="9752" w:type="dxa"/>
          <w:jc w:val="center"/>
          <w:tblLayout w:type="fixed"/>
          <w:tblLook w:val="0000"/>
        </w:tblPrEx>
        <w:trPr>
          <w:jc w:val="center"/>
        </w:trPr>
        <w:tc>
          <w:tcPr>
            <w:tcW w:w="9752" w:type="dxa"/>
            <w:gridSpan w:val="2"/>
          </w:tcPr>
          <w:p w:rsidR="002A6758" w:rsidRPr="00BA183C" w:rsidP="00CC5190" w14:paraId="3FE6CB0F" w14:textId="77777777">
            <w:pPr>
              <w:keepNext/>
            </w:pPr>
          </w:p>
        </w:tc>
      </w:tr>
      <w:tr w14:paraId="6EEE2E55" w14:textId="77777777" w:rsidTr="00CC5190">
        <w:tblPrEx>
          <w:tblW w:w="9752" w:type="dxa"/>
          <w:jc w:val="center"/>
          <w:tblLayout w:type="fixed"/>
          <w:tblLook w:val="0000"/>
        </w:tblPrEx>
        <w:trPr>
          <w:jc w:val="center"/>
        </w:trPr>
        <w:tc>
          <w:tcPr>
            <w:tcW w:w="4876" w:type="dxa"/>
          </w:tcPr>
          <w:p w:rsidR="002A6758" w:rsidRPr="00BA183C" w:rsidP="00CC5190" w14:paraId="311C6F0A" w14:textId="77777777">
            <w:pPr>
              <w:pStyle w:val="AmColumnHeading"/>
              <w:keepNext/>
            </w:pPr>
            <w:r w:rsidRPr="00BA183C">
              <w:t>Text proposed by the Commission</w:t>
            </w:r>
          </w:p>
        </w:tc>
        <w:tc>
          <w:tcPr>
            <w:tcW w:w="4876" w:type="dxa"/>
          </w:tcPr>
          <w:p w:rsidR="002A6758" w:rsidRPr="00BA183C" w:rsidP="00CC5190" w14:paraId="2ADCAD39" w14:textId="77777777">
            <w:pPr>
              <w:pStyle w:val="AmColumnHeading"/>
              <w:keepNext/>
              <w:rPr>
                <w:i w:val="0"/>
                <w:iCs/>
              </w:rPr>
            </w:pPr>
            <w:r w:rsidRPr="00BA183C">
              <w:rPr>
                <w:i w:val="0"/>
                <w:iCs/>
              </w:rPr>
              <w:t>Modification</w:t>
            </w:r>
          </w:p>
        </w:tc>
      </w:tr>
      <w:tr w14:paraId="7618729D" w14:textId="77777777" w:rsidTr="00CC5190">
        <w:tblPrEx>
          <w:tblW w:w="9752" w:type="dxa"/>
          <w:jc w:val="center"/>
          <w:tblLayout w:type="fixed"/>
          <w:tblLook w:val="0000"/>
        </w:tblPrEx>
        <w:trPr>
          <w:jc w:val="center"/>
        </w:trPr>
        <w:tc>
          <w:tcPr>
            <w:tcW w:w="4876" w:type="dxa"/>
          </w:tcPr>
          <w:p w:rsidR="002A6758" w:rsidRPr="00BA183C" w:rsidP="00CC5190" w14:paraId="42746FC9" w14:textId="77777777">
            <w:pPr>
              <w:pStyle w:val="AmColumnHeading"/>
              <w:jc w:val="left"/>
              <w:rPr>
                <w:i w:val="0"/>
                <w:iCs/>
              </w:rPr>
            </w:pPr>
            <w:r w:rsidRPr="00BA183C">
              <w:rPr>
                <w:i w:val="0"/>
                <w:iCs/>
              </w:rPr>
              <w:t>11.</w:t>
            </w:r>
            <w:r w:rsidRPr="00BA183C">
              <w:rPr>
                <w:i w:val="0"/>
                <w:iCs/>
              </w:rPr>
              <w:tab/>
            </w:r>
            <w:r w:rsidRPr="00BA183C">
              <w:rPr>
                <w:i w:val="0"/>
                <w:iCs/>
              </w:rPr>
              <w:t>In order to</w:t>
            </w:r>
            <w:r w:rsidRPr="00BA183C">
              <w:rPr>
                <w:i w:val="0"/>
                <w:iCs/>
              </w:rPr>
              <w:t xml:space="preserve"> provide precise and reliable forecasts of the budgetary implications of basic acts within the meaning of Article 2(4) of the Financial Regulation and of pending legislative proposals, the Commission shall attach to the draft budget a complete indicative financial programming for headings 2 and 3 of the MFF. That programming, structured by heading, policy area and budget line, </w:t>
            </w:r>
            <w:r w:rsidRPr="00BA183C">
              <w:rPr>
                <w:b/>
                <w:bCs/>
              </w:rPr>
              <w:t xml:space="preserve">should </w:t>
            </w:r>
            <w:r w:rsidRPr="00BA183C">
              <w:rPr>
                <w:i w:val="0"/>
                <w:iCs/>
              </w:rPr>
              <w:t>identify:</w:t>
            </w:r>
          </w:p>
          <w:p w:rsidR="002A6758" w:rsidRPr="00BA183C" w:rsidP="00CC5190" w14:paraId="07F14412" w14:textId="77777777">
            <w:pPr>
              <w:pStyle w:val="AmColumnHeading"/>
              <w:jc w:val="left"/>
              <w:rPr>
                <w:i w:val="0"/>
                <w:iCs/>
              </w:rPr>
            </w:pPr>
          </w:p>
          <w:p w:rsidR="002A6758" w:rsidRPr="00BA183C" w:rsidP="00CC5190" w14:paraId="4DCD160B" w14:textId="77777777">
            <w:pPr>
              <w:pStyle w:val="AmColumnHeading"/>
              <w:jc w:val="left"/>
              <w:rPr>
                <w:i w:val="0"/>
                <w:iCs/>
              </w:rPr>
            </w:pPr>
            <w:r w:rsidRPr="00BA183C">
              <w:rPr>
                <w:i w:val="0"/>
                <w:iCs/>
              </w:rPr>
              <w:t>(a) the basic acts, with a distinction being drawn between multiannual programmes, legal acts establishing or entrusting tasks to decentralised agencies, and annual actions:</w:t>
            </w:r>
          </w:p>
          <w:p w:rsidR="002A6758" w:rsidRPr="00BA183C" w:rsidP="00CC5190" w14:paraId="4FD383FB" w14:textId="77777777">
            <w:pPr>
              <w:pStyle w:val="AmColumnHeading"/>
              <w:jc w:val="left"/>
              <w:rPr>
                <w:i w:val="0"/>
                <w:iCs/>
              </w:rPr>
            </w:pPr>
            <w:r w:rsidRPr="00BA183C">
              <w:rPr>
                <w:i w:val="0"/>
                <w:iCs/>
              </w:rPr>
              <w:t xml:space="preserve">(1) for multiannual programmes the Commission </w:t>
            </w:r>
            <w:r w:rsidRPr="00BA183C">
              <w:rPr>
                <w:b/>
                <w:bCs/>
              </w:rPr>
              <w:t>should</w:t>
            </w:r>
            <w:r w:rsidRPr="00BA183C">
              <w:rPr>
                <w:b/>
                <w:bCs/>
                <w:i w:val="0"/>
                <w:iCs/>
              </w:rPr>
              <w:t xml:space="preserve"> </w:t>
            </w:r>
            <w:r w:rsidRPr="00BA183C">
              <w:rPr>
                <w:i w:val="0"/>
                <w:iCs/>
              </w:rPr>
              <w:t>indicate the procedure under which they were adopted, the duration of the programmes, the total indicative financial envelope and the share allocated to administrative expenditure;</w:t>
            </w:r>
          </w:p>
          <w:p w:rsidR="002A6758" w:rsidRPr="00BA183C" w:rsidP="00CC5190" w14:paraId="007B01D0" w14:textId="77777777">
            <w:pPr>
              <w:pStyle w:val="AmColumnHeading"/>
              <w:jc w:val="left"/>
              <w:rPr>
                <w:i w:val="0"/>
                <w:iCs/>
              </w:rPr>
            </w:pPr>
            <w:r w:rsidRPr="00BA183C">
              <w:rPr>
                <w:i w:val="0"/>
                <w:iCs/>
              </w:rPr>
              <w:t>(2) for legal acts establishing or entrusting new tasks to decentralised agencies, the Commission</w:t>
            </w:r>
            <w:r w:rsidRPr="00BA183C">
              <w:rPr>
                <w:b/>
                <w:bCs/>
                <w:i w:val="0"/>
                <w:iCs/>
              </w:rPr>
              <w:t xml:space="preserve"> </w:t>
            </w:r>
            <w:r w:rsidRPr="00BA183C">
              <w:rPr>
                <w:b/>
                <w:bCs/>
              </w:rPr>
              <w:t>should</w:t>
            </w:r>
            <w:r w:rsidRPr="00BA183C">
              <w:t xml:space="preserve"> </w:t>
            </w:r>
            <w:r w:rsidRPr="00BA183C">
              <w:rPr>
                <w:i w:val="0"/>
                <w:iCs/>
              </w:rPr>
              <w:t>indicate the legal basis under which they were adopted and provide multiannual estimates;</w:t>
            </w:r>
          </w:p>
          <w:p w:rsidR="002A6758" w:rsidRPr="00BA183C" w:rsidP="00CC5190" w14:paraId="0A0142EF" w14:textId="77777777">
            <w:pPr>
              <w:pStyle w:val="AmColumnHeading"/>
              <w:jc w:val="left"/>
              <w:rPr>
                <w:i w:val="0"/>
                <w:iCs/>
              </w:rPr>
            </w:pPr>
            <w:r w:rsidRPr="00BA183C">
              <w:rPr>
                <w:i w:val="0"/>
                <w:iCs/>
              </w:rPr>
              <w:t>(3) for annual actions (relating to pilot projects, preparatory actions) and actions financed under the prerogatives of the Commission, the Commission</w:t>
            </w:r>
            <w:r w:rsidRPr="00BA183C">
              <w:rPr>
                <w:b/>
                <w:bCs/>
                <w:i w:val="0"/>
                <w:iCs/>
              </w:rPr>
              <w:t xml:space="preserve"> </w:t>
            </w:r>
            <w:r w:rsidRPr="00BA183C">
              <w:rPr>
                <w:b/>
                <w:bCs/>
              </w:rPr>
              <w:t>should</w:t>
            </w:r>
            <w:r w:rsidRPr="00BA183C">
              <w:t xml:space="preserve"> </w:t>
            </w:r>
            <w:r w:rsidRPr="00BA183C">
              <w:rPr>
                <w:i w:val="0"/>
                <w:iCs/>
              </w:rPr>
              <w:t>provide multiannual estimates;</w:t>
            </w:r>
          </w:p>
          <w:p w:rsidR="002A6758" w:rsidRPr="00BA183C" w:rsidP="00CC5190" w14:paraId="6D719168" w14:textId="77777777">
            <w:pPr>
              <w:pStyle w:val="AmColumnHeading"/>
              <w:jc w:val="left"/>
              <w:rPr>
                <w:i w:val="0"/>
                <w:iCs/>
              </w:rPr>
            </w:pPr>
            <w:r w:rsidRPr="00BA183C">
              <w:rPr>
                <w:i w:val="0"/>
                <w:iCs/>
              </w:rPr>
              <w:t>(b) pending legislative proposals from the Commission with the latest update on their potential budgetary impact including, when necessary, the related need for reprogramming in case of adoption.</w:t>
            </w:r>
          </w:p>
          <w:p w:rsidR="002A6758" w:rsidRPr="00BA183C" w:rsidP="00CC5190" w14:paraId="38E42C2B" w14:textId="77777777">
            <w:pPr>
              <w:pStyle w:val="AmColumnHeading"/>
              <w:jc w:val="left"/>
              <w:rPr>
                <w:i w:val="0"/>
                <w:iCs/>
              </w:rPr>
            </w:pPr>
          </w:p>
          <w:p w:rsidR="002A6758" w:rsidRPr="00BA183C" w:rsidP="00CC5190" w14:paraId="247F46B6" w14:textId="77777777">
            <w:pPr>
              <w:pStyle w:val="AmColumnHeading"/>
              <w:jc w:val="left"/>
              <w:rPr>
                <w:i w:val="0"/>
                <w:iCs/>
              </w:rPr>
            </w:pPr>
          </w:p>
          <w:p w:rsidR="002A6758" w:rsidRPr="00BA183C" w:rsidP="00CC5190" w14:paraId="41C88CD5" w14:textId="77777777">
            <w:pPr>
              <w:pStyle w:val="AmColumnHeading"/>
              <w:spacing w:after="360"/>
              <w:jc w:val="left"/>
              <w:rPr>
                <w:i w:val="0"/>
                <w:iCs/>
              </w:rPr>
            </w:pPr>
            <w:r w:rsidRPr="00BA183C">
              <w:rPr>
                <w:i w:val="0"/>
                <w:iCs/>
              </w:rPr>
              <w:t>The indicative financial programming shall show transparently unallocated reserves and ‘cushions’ within multiannual programmes.</w:t>
            </w:r>
          </w:p>
          <w:p w:rsidR="002A6758" w:rsidRPr="00BA183C" w:rsidP="00CC5190" w14:paraId="45CFA39E" w14:textId="77777777">
            <w:pPr>
              <w:pStyle w:val="AmColumnHeading"/>
              <w:jc w:val="left"/>
              <w:rPr>
                <w:i w:val="0"/>
                <w:iCs/>
              </w:rPr>
            </w:pPr>
            <w:r w:rsidRPr="00BA183C">
              <w:rPr>
                <w:i w:val="0"/>
                <w:iCs/>
              </w:rPr>
              <w:t xml:space="preserve">The Commission </w:t>
            </w:r>
            <w:r w:rsidRPr="00BA183C">
              <w:rPr>
                <w:b/>
                <w:bCs/>
              </w:rPr>
              <w:t>should consider ways of</w:t>
            </w:r>
            <w:r w:rsidRPr="00BA183C">
              <w:rPr>
                <w:i w:val="0"/>
                <w:iCs/>
              </w:rPr>
              <w:t xml:space="preserve"> </w:t>
            </w:r>
            <w:r w:rsidRPr="00BA183C">
              <w:rPr>
                <w:b/>
                <w:bCs/>
              </w:rPr>
              <w:t>cross-referencing</w:t>
            </w:r>
            <w:r w:rsidRPr="00BA183C">
              <w:rPr>
                <w:i w:val="0"/>
                <w:iCs/>
              </w:rPr>
              <w:t xml:space="preserve"> the financial programming with its legislative programming to provide more precise and reliable forecasts. For each legislative proposal, the Commission </w:t>
            </w:r>
            <w:r w:rsidRPr="00BA183C">
              <w:rPr>
                <w:b/>
                <w:bCs/>
              </w:rPr>
              <w:t>should</w:t>
            </w:r>
            <w:r w:rsidRPr="00BA183C">
              <w:rPr>
                <w:i w:val="0"/>
                <w:iCs/>
              </w:rPr>
              <w:t xml:space="preserve"> indicate whether it is included in the programming communicated at the time of the presentation of the draft budget or after the final adoption of the budget. The Commission </w:t>
            </w:r>
            <w:r w:rsidRPr="00BA183C">
              <w:rPr>
                <w:b/>
                <w:bCs/>
              </w:rPr>
              <w:t>should</w:t>
            </w:r>
            <w:r w:rsidRPr="00BA183C">
              <w:rPr>
                <w:i w:val="0"/>
                <w:iCs/>
              </w:rPr>
              <w:t xml:space="preserve"> inform the European Parliament and the Council </w:t>
            </w:r>
            <w:r w:rsidRPr="00BA183C">
              <w:rPr>
                <w:i w:val="0"/>
                <w:iCs/>
              </w:rPr>
              <w:t>in particular of</w:t>
            </w:r>
            <w:r w:rsidRPr="00BA183C">
              <w:rPr>
                <w:i w:val="0"/>
                <w:iCs/>
              </w:rPr>
              <w:t>:</w:t>
            </w:r>
          </w:p>
          <w:p w:rsidR="002A6758" w:rsidRPr="00BA183C" w:rsidP="00CC5190" w14:paraId="49C4AEE0" w14:textId="77777777">
            <w:pPr>
              <w:pStyle w:val="AmColumnHeading"/>
              <w:jc w:val="left"/>
              <w:rPr>
                <w:i w:val="0"/>
                <w:iCs/>
              </w:rPr>
            </w:pPr>
            <w:r w:rsidRPr="00BA183C">
              <w:rPr>
                <w:i w:val="0"/>
                <w:iCs/>
              </w:rPr>
              <w:t xml:space="preserve">(a) all new legislative acts </w:t>
            </w:r>
            <w:r w:rsidRPr="00BA183C">
              <w:rPr>
                <w:i w:val="0"/>
                <w:iCs/>
              </w:rPr>
              <w:t>adopted</w:t>
            </w:r>
            <w:r w:rsidRPr="00BA183C">
              <w:rPr>
                <w:i w:val="0"/>
                <w:iCs/>
              </w:rPr>
              <w:t xml:space="preserve"> and all pending proposals presented but not included in programming communicated at the time of the draft budget or after the final adoption of the budget (with the corresponding amounts);</w:t>
            </w:r>
          </w:p>
          <w:p w:rsidR="002A6758" w:rsidRPr="00BA183C" w:rsidP="00CC5190" w14:paraId="1975B659" w14:textId="77777777">
            <w:pPr>
              <w:pStyle w:val="AmColumnHeading"/>
              <w:jc w:val="left"/>
              <w:rPr>
                <w:i w:val="0"/>
                <w:iCs/>
              </w:rPr>
            </w:pPr>
            <w:r w:rsidRPr="00BA183C">
              <w:rPr>
                <w:i w:val="0"/>
                <w:iCs/>
              </w:rPr>
              <w:t>(b) legislation foreseen in the Commission’s annual legislative work programme, with an indication of whether the actions are likely to have a financial impact.</w:t>
            </w:r>
          </w:p>
          <w:p w:rsidR="002A6758" w:rsidRPr="00BA183C" w:rsidP="00CC5190" w14:paraId="53E1282E" w14:textId="77777777">
            <w:pPr>
              <w:pStyle w:val="AmColumnHeading"/>
              <w:jc w:val="left"/>
              <w:rPr>
                <w:i w:val="0"/>
                <w:iCs/>
              </w:rPr>
            </w:pPr>
            <w:r w:rsidRPr="00BA183C">
              <w:rPr>
                <w:i w:val="0"/>
                <w:iCs/>
              </w:rPr>
              <w:t xml:space="preserve">Whenever necessary, the Commission </w:t>
            </w:r>
            <w:r w:rsidRPr="00BA183C">
              <w:rPr>
                <w:b/>
                <w:bCs/>
              </w:rPr>
              <w:t>should</w:t>
            </w:r>
            <w:r w:rsidRPr="00BA183C">
              <w:rPr>
                <w:i w:val="0"/>
                <w:iCs/>
              </w:rPr>
              <w:t xml:space="preserve"> indicate the reprogramming entailed by new legislative proposals.</w:t>
            </w:r>
          </w:p>
          <w:p w:rsidR="002A6758" w:rsidRPr="00BA183C" w:rsidP="00CC5190" w14:paraId="7FCF6139" w14:textId="77777777">
            <w:pPr>
              <w:pStyle w:val="AmColumnHeading"/>
              <w:spacing w:after="120"/>
              <w:jc w:val="left"/>
            </w:pPr>
            <w:r w:rsidRPr="00BA183C">
              <w:rPr>
                <w:i w:val="0"/>
                <w:iCs/>
              </w:rPr>
              <w:t>The indicative financial programming shall be updated after the adoption of the budget to incorporate the results of the budgetary procedure and any other relevant decision.</w:t>
            </w:r>
          </w:p>
        </w:tc>
        <w:tc>
          <w:tcPr>
            <w:tcW w:w="4876" w:type="dxa"/>
          </w:tcPr>
          <w:p w:rsidR="002A6758" w:rsidRPr="00BA183C" w:rsidP="00CC5190" w14:paraId="51D1B2DB" w14:textId="77777777">
            <w:pPr>
              <w:pStyle w:val="AmColumnHeading"/>
              <w:jc w:val="left"/>
              <w:rPr>
                <w:i w:val="0"/>
                <w:iCs/>
                <w:szCs w:val="24"/>
              </w:rPr>
            </w:pPr>
            <w:r w:rsidRPr="00BA183C">
              <w:rPr>
                <w:i w:val="0"/>
                <w:iCs/>
                <w:szCs w:val="24"/>
              </w:rPr>
              <w:t>11.</w:t>
            </w:r>
            <w:r w:rsidRPr="00BA183C">
              <w:rPr>
                <w:i w:val="0"/>
                <w:iCs/>
                <w:szCs w:val="24"/>
              </w:rPr>
              <w:tab/>
              <w:t xml:space="preserve">In order to provide precise and reliable forecasts of the budgetary implications of basic acts within the meaning of Article 2(4) of the Financial Regulation and of pending legislative proposals, the Commission shall attach to the draft budget a complete indicative financial programming for </w:t>
            </w:r>
            <w:r w:rsidRPr="00BA183C">
              <w:rPr>
                <w:b/>
                <w:bCs/>
                <w:szCs w:val="24"/>
              </w:rPr>
              <w:t>the EU Facility established in the [NRPP Regulation] and for all the programmes in</w:t>
            </w:r>
            <w:r w:rsidRPr="00BA183C">
              <w:rPr>
                <w:i w:val="0"/>
                <w:iCs/>
                <w:szCs w:val="24"/>
              </w:rPr>
              <w:t xml:space="preserve"> headings 2 and 3 of the MFF. That programming, structured by heading, policy area and budget line, </w:t>
            </w:r>
            <w:r w:rsidRPr="00BA183C">
              <w:rPr>
                <w:b/>
                <w:bCs/>
                <w:szCs w:val="24"/>
              </w:rPr>
              <w:t>shall</w:t>
            </w:r>
            <w:r w:rsidRPr="00BA183C">
              <w:rPr>
                <w:i w:val="0"/>
                <w:iCs/>
                <w:szCs w:val="24"/>
              </w:rPr>
              <w:t xml:space="preserve"> identify:</w:t>
            </w:r>
          </w:p>
          <w:p w:rsidR="002A6758" w:rsidRPr="00BA183C" w:rsidP="00CC5190" w14:paraId="74C74BCE" w14:textId="77777777">
            <w:pPr>
              <w:pStyle w:val="AmColumnHeading"/>
              <w:jc w:val="left"/>
              <w:rPr>
                <w:i w:val="0"/>
                <w:iCs/>
                <w:szCs w:val="24"/>
              </w:rPr>
            </w:pPr>
            <w:r w:rsidRPr="00BA183C">
              <w:rPr>
                <w:i w:val="0"/>
                <w:iCs/>
                <w:szCs w:val="24"/>
              </w:rPr>
              <w:t>(a) the basic acts, with a distinction being drawn between multiannual programmes, legal acts establishing or entrusting tasks to decentralised agencies, and annual actions:</w:t>
            </w:r>
          </w:p>
          <w:p w:rsidR="002A6758" w:rsidRPr="00BA183C" w:rsidP="00CC5190" w14:paraId="1CB40C48" w14:textId="77777777">
            <w:pPr>
              <w:pStyle w:val="AmColumnHeading"/>
              <w:jc w:val="left"/>
              <w:rPr>
                <w:i w:val="0"/>
                <w:iCs/>
                <w:szCs w:val="24"/>
              </w:rPr>
            </w:pPr>
            <w:r w:rsidRPr="00BA183C">
              <w:rPr>
                <w:i w:val="0"/>
                <w:iCs/>
                <w:szCs w:val="24"/>
              </w:rPr>
              <w:t xml:space="preserve">(1) for multiannual programmes the Commission </w:t>
            </w:r>
            <w:r w:rsidRPr="00BA183C">
              <w:rPr>
                <w:b/>
                <w:bCs/>
                <w:szCs w:val="24"/>
              </w:rPr>
              <w:t>shall</w:t>
            </w:r>
            <w:r w:rsidRPr="00BA183C">
              <w:rPr>
                <w:szCs w:val="24"/>
              </w:rPr>
              <w:t xml:space="preserve"> </w:t>
            </w:r>
            <w:r w:rsidRPr="00BA183C">
              <w:rPr>
                <w:i w:val="0"/>
                <w:iCs/>
                <w:szCs w:val="24"/>
              </w:rPr>
              <w:t>indicate the procedure under which they were adopted, the duration of the programmes, the total indicative financial envelope and the share allocated to administrative expenditure;</w:t>
            </w:r>
          </w:p>
          <w:p w:rsidR="002A6758" w:rsidRPr="00BA183C" w:rsidP="00CC5190" w14:paraId="4247F61B" w14:textId="77777777">
            <w:pPr>
              <w:pStyle w:val="AmColumnHeading"/>
              <w:jc w:val="left"/>
              <w:rPr>
                <w:i w:val="0"/>
                <w:iCs/>
                <w:szCs w:val="24"/>
              </w:rPr>
            </w:pPr>
            <w:r w:rsidRPr="00BA183C">
              <w:rPr>
                <w:i w:val="0"/>
                <w:iCs/>
                <w:szCs w:val="24"/>
              </w:rPr>
              <w:t>(2) for legal acts establishing or entrusting new tasks to decentralised agencies, the Commission</w:t>
            </w:r>
            <w:r w:rsidRPr="00BA183C">
              <w:rPr>
                <w:szCs w:val="24"/>
              </w:rPr>
              <w:t xml:space="preserve"> </w:t>
            </w:r>
            <w:r w:rsidRPr="00BA183C">
              <w:rPr>
                <w:b/>
                <w:bCs/>
                <w:szCs w:val="24"/>
              </w:rPr>
              <w:t>shall</w:t>
            </w:r>
            <w:r w:rsidRPr="00BA183C">
              <w:rPr>
                <w:i w:val="0"/>
                <w:iCs/>
                <w:szCs w:val="24"/>
              </w:rPr>
              <w:t xml:space="preserve"> indicate the legal basis under which they were adopted and provide multiannual estimates;</w:t>
            </w:r>
          </w:p>
          <w:p w:rsidR="002A6758" w:rsidRPr="00BA183C" w:rsidP="00CC5190" w14:paraId="5DB93C61" w14:textId="77777777">
            <w:pPr>
              <w:pStyle w:val="AmColumnHeading"/>
              <w:jc w:val="left"/>
              <w:rPr>
                <w:i w:val="0"/>
                <w:iCs/>
                <w:szCs w:val="24"/>
              </w:rPr>
            </w:pPr>
            <w:r w:rsidRPr="00BA183C">
              <w:rPr>
                <w:i w:val="0"/>
                <w:iCs/>
                <w:szCs w:val="24"/>
              </w:rPr>
              <w:t xml:space="preserve">(3) for annual actions (relating to pilot projects, preparatory actions) and actions financed under the prerogatives of the Commission, the Commission </w:t>
            </w:r>
            <w:r w:rsidRPr="00BA183C">
              <w:rPr>
                <w:b/>
                <w:bCs/>
                <w:szCs w:val="24"/>
              </w:rPr>
              <w:t>shall</w:t>
            </w:r>
            <w:r w:rsidRPr="00BA183C">
              <w:rPr>
                <w:szCs w:val="24"/>
              </w:rPr>
              <w:t xml:space="preserve"> </w:t>
            </w:r>
            <w:r w:rsidRPr="00BA183C">
              <w:rPr>
                <w:i w:val="0"/>
                <w:iCs/>
                <w:szCs w:val="24"/>
              </w:rPr>
              <w:t>provide multiannual estimates;</w:t>
            </w:r>
          </w:p>
          <w:p w:rsidR="002A6758" w:rsidRPr="00BA183C" w:rsidP="00CC5190" w14:paraId="264E3586" w14:textId="77777777">
            <w:pPr>
              <w:pStyle w:val="AmColumnHeading"/>
              <w:jc w:val="left"/>
              <w:rPr>
                <w:i w:val="0"/>
                <w:iCs/>
                <w:szCs w:val="24"/>
              </w:rPr>
            </w:pPr>
            <w:r w:rsidRPr="00BA183C">
              <w:rPr>
                <w:i w:val="0"/>
                <w:iCs/>
                <w:szCs w:val="24"/>
              </w:rPr>
              <w:t>(b) pending legislative proposals from the Commission with the latest update on their potential budgetary impact including, when necessary, the related need for reprogramming in case of adoption.</w:t>
            </w:r>
          </w:p>
          <w:p w:rsidR="002A6758" w:rsidRPr="00BA183C" w:rsidP="00CC5190" w14:paraId="216818D1" w14:textId="77777777">
            <w:pPr>
              <w:pStyle w:val="AmColumnHeading"/>
              <w:jc w:val="left"/>
              <w:rPr>
                <w:i w:val="0"/>
                <w:iCs/>
                <w:szCs w:val="24"/>
              </w:rPr>
            </w:pPr>
            <w:r w:rsidRPr="00BA183C">
              <w:rPr>
                <w:b/>
                <w:bCs/>
                <w:szCs w:val="24"/>
              </w:rPr>
              <w:t>The Commission shall also attach to the draft budget an indicative financial programming by main objectives of the funds under shared management under heading 1.</w:t>
            </w:r>
            <w:r w:rsidRPr="00BA183C">
              <w:rPr>
                <w:b/>
                <w:bCs/>
                <w:i w:val="0"/>
                <w:iCs/>
                <w:szCs w:val="24"/>
              </w:rPr>
              <w:t xml:space="preserve"> </w:t>
            </w:r>
            <w:r w:rsidRPr="00BA183C">
              <w:rPr>
                <w:i w:val="0"/>
                <w:iCs/>
                <w:szCs w:val="24"/>
              </w:rPr>
              <w:t>The indicative financial programming shall show transparently unallocated reserves and ‘cushions’ within multiannual programmes.</w:t>
            </w:r>
          </w:p>
          <w:p w:rsidR="002A6758" w:rsidRPr="00BA183C" w:rsidP="00CC5190" w14:paraId="318CDA2D" w14:textId="77777777">
            <w:pPr>
              <w:pStyle w:val="AmColumnHeading"/>
              <w:jc w:val="left"/>
              <w:rPr>
                <w:i w:val="0"/>
                <w:iCs/>
                <w:szCs w:val="24"/>
              </w:rPr>
            </w:pPr>
            <w:r w:rsidRPr="00BA183C">
              <w:rPr>
                <w:i w:val="0"/>
                <w:iCs/>
                <w:szCs w:val="24"/>
              </w:rPr>
              <w:t xml:space="preserve">The Commission </w:t>
            </w:r>
            <w:r w:rsidRPr="00BA183C">
              <w:rPr>
                <w:b/>
                <w:bCs/>
                <w:szCs w:val="24"/>
              </w:rPr>
              <w:t>shall cross-reference</w:t>
            </w:r>
            <w:r w:rsidRPr="00BA183C">
              <w:rPr>
                <w:i w:val="0"/>
                <w:iCs/>
                <w:szCs w:val="24"/>
              </w:rPr>
              <w:t xml:space="preserve"> the financial programming with its legislative programming to provide more precise and reliable forecasts. For each legislative proposal, the Commission </w:t>
            </w:r>
            <w:r w:rsidRPr="00BA183C">
              <w:rPr>
                <w:b/>
                <w:bCs/>
                <w:szCs w:val="24"/>
              </w:rPr>
              <w:t>shall</w:t>
            </w:r>
            <w:r w:rsidRPr="00BA183C">
              <w:rPr>
                <w:i w:val="0"/>
                <w:iCs/>
                <w:szCs w:val="24"/>
              </w:rPr>
              <w:t xml:space="preserve"> indicate whether it is included in the programming communicated at the time of the presentation of the draft budget or after the final adoption of the budget. The Commission </w:t>
            </w:r>
            <w:r w:rsidRPr="00BA183C">
              <w:rPr>
                <w:b/>
                <w:bCs/>
                <w:szCs w:val="24"/>
              </w:rPr>
              <w:t>shall</w:t>
            </w:r>
            <w:r w:rsidRPr="00BA183C">
              <w:rPr>
                <w:i w:val="0"/>
                <w:iCs/>
                <w:szCs w:val="24"/>
              </w:rPr>
              <w:t xml:space="preserve"> inform the European Parliament and the Council </w:t>
            </w:r>
            <w:r w:rsidRPr="00BA183C">
              <w:rPr>
                <w:i w:val="0"/>
                <w:iCs/>
                <w:szCs w:val="24"/>
              </w:rPr>
              <w:t>in particular of</w:t>
            </w:r>
            <w:r w:rsidRPr="00BA183C">
              <w:rPr>
                <w:i w:val="0"/>
                <w:iCs/>
                <w:szCs w:val="24"/>
              </w:rPr>
              <w:t>:</w:t>
            </w:r>
          </w:p>
          <w:p w:rsidR="002A6758" w:rsidRPr="00BA183C" w:rsidP="00CC5190" w14:paraId="039AB86F" w14:textId="77777777">
            <w:pPr>
              <w:pStyle w:val="AmColumnHeading"/>
              <w:spacing w:after="0"/>
              <w:jc w:val="left"/>
              <w:rPr>
                <w:i w:val="0"/>
                <w:iCs/>
                <w:szCs w:val="24"/>
              </w:rPr>
            </w:pPr>
          </w:p>
          <w:p w:rsidR="002A6758" w:rsidRPr="00BA183C" w:rsidP="00CC5190" w14:paraId="61A223C2" w14:textId="77777777">
            <w:pPr>
              <w:pStyle w:val="AmColumnHeading"/>
              <w:jc w:val="left"/>
              <w:rPr>
                <w:i w:val="0"/>
                <w:iCs/>
                <w:szCs w:val="24"/>
              </w:rPr>
            </w:pPr>
            <w:r w:rsidRPr="00BA183C">
              <w:rPr>
                <w:i w:val="0"/>
                <w:iCs/>
                <w:szCs w:val="24"/>
              </w:rPr>
              <w:t xml:space="preserve">(a) all new legislative acts </w:t>
            </w:r>
            <w:r w:rsidRPr="00BA183C">
              <w:rPr>
                <w:i w:val="0"/>
                <w:iCs/>
                <w:szCs w:val="24"/>
              </w:rPr>
              <w:t>adopted</w:t>
            </w:r>
            <w:r w:rsidRPr="00BA183C">
              <w:rPr>
                <w:i w:val="0"/>
                <w:iCs/>
                <w:szCs w:val="24"/>
              </w:rPr>
              <w:t xml:space="preserve"> and all pending proposals presented but not included in programming communicated at the time of the draft budget or after the final adoption of the budget (with the corresponding amounts);</w:t>
            </w:r>
          </w:p>
          <w:p w:rsidR="002A6758" w:rsidRPr="00BA183C" w:rsidP="00CC5190" w14:paraId="2442B47A" w14:textId="77777777">
            <w:pPr>
              <w:pStyle w:val="AmColumnHeading"/>
              <w:spacing w:before="120"/>
              <w:jc w:val="left"/>
              <w:rPr>
                <w:i w:val="0"/>
                <w:iCs/>
                <w:szCs w:val="24"/>
              </w:rPr>
            </w:pPr>
            <w:r w:rsidRPr="00BA183C">
              <w:rPr>
                <w:i w:val="0"/>
                <w:iCs/>
                <w:szCs w:val="24"/>
              </w:rPr>
              <w:t>(b) legislation foreseen in the Commission’s annual legislative work programme, with an indication of whether the actions are likely to have a financial impact.</w:t>
            </w:r>
          </w:p>
          <w:p w:rsidR="002A6758" w:rsidRPr="00BA183C" w:rsidP="00CC5190" w14:paraId="2E126E7C" w14:textId="77777777">
            <w:pPr>
              <w:pStyle w:val="AmColumnHeading"/>
              <w:jc w:val="left"/>
              <w:rPr>
                <w:i w:val="0"/>
                <w:iCs/>
                <w:szCs w:val="24"/>
              </w:rPr>
            </w:pPr>
            <w:r w:rsidRPr="00BA183C">
              <w:rPr>
                <w:i w:val="0"/>
                <w:iCs/>
                <w:szCs w:val="24"/>
              </w:rPr>
              <w:t xml:space="preserve">Whenever necessary, the Commission </w:t>
            </w:r>
            <w:r w:rsidRPr="00BA183C">
              <w:rPr>
                <w:b/>
                <w:bCs/>
                <w:szCs w:val="24"/>
              </w:rPr>
              <w:t>shall</w:t>
            </w:r>
            <w:r w:rsidRPr="00BA183C">
              <w:rPr>
                <w:szCs w:val="24"/>
              </w:rPr>
              <w:t xml:space="preserve"> </w:t>
            </w:r>
            <w:r w:rsidRPr="00BA183C">
              <w:rPr>
                <w:i w:val="0"/>
                <w:iCs/>
                <w:szCs w:val="24"/>
              </w:rPr>
              <w:t>indicate the reprogramming entailed by new legislative proposals.</w:t>
            </w:r>
          </w:p>
          <w:p w:rsidR="002A6758" w:rsidRPr="00BA183C" w:rsidP="00CC5190" w14:paraId="14254D70" w14:textId="77777777">
            <w:pPr>
              <w:pStyle w:val="AmColumnHeading"/>
              <w:jc w:val="left"/>
              <w:rPr>
                <w:i w:val="0"/>
                <w:iCs/>
                <w:szCs w:val="24"/>
              </w:rPr>
            </w:pPr>
            <w:r w:rsidRPr="00BA183C">
              <w:rPr>
                <w:i w:val="0"/>
                <w:iCs/>
                <w:szCs w:val="24"/>
              </w:rPr>
              <w:t>The indicative financial programming shall be updated after the adoption of the budget to incorporate the results of the budgetary procedure and any other relevant decision.</w:t>
            </w:r>
            <w:r w:rsidRPr="00BA183C">
              <w:rPr>
                <w:i w:val="0"/>
                <w:iCs/>
                <w:szCs w:val="24"/>
                <w:u w:val="single"/>
              </w:rPr>
              <w:t xml:space="preserve"> </w:t>
            </w:r>
            <w:r w:rsidRPr="00BA183C">
              <w:rPr>
                <w:b/>
                <w:bCs/>
                <w:szCs w:val="24"/>
              </w:rPr>
              <w:t xml:space="preserve">It shall provide a detailed overview for the entire programming </w:t>
            </w:r>
            <w:r w:rsidRPr="00BA183C">
              <w:rPr>
                <w:b/>
                <w:bCs/>
                <w:szCs w:val="24"/>
              </w:rPr>
              <w:t>period,</w:t>
            </w:r>
            <w:r w:rsidRPr="00BA183C">
              <w:rPr>
                <w:b/>
                <w:bCs/>
                <w:szCs w:val="24"/>
              </w:rPr>
              <w:t xml:space="preserve"> a detailed explanation of the changes made in comparison with the financial programming of the previous year and any departure from the prime reference amount referred to in point 10.</w:t>
            </w:r>
            <w:r w:rsidRPr="00BA183C">
              <w:rPr>
                <w:i w:val="0"/>
                <w:iCs/>
                <w:szCs w:val="24"/>
              </w:rPr>
              <w:t xml:space="preserve"> </w:t>
            </w:r>
          </w:p>
        </w:tc>
      </w:tr>
    </w:tbl>
    <w:p w:rsidR="002A6758" w:rsidRPr="00BA183C" w:rsidP="002A6758" w14:paraId="22F1E254" w14:textId="77777777">
      <w:pPr>
        <w:rPr>
          <w:rStyle w:val="HideTWBExt"/>
          <w:rFonts w:ascii="Times New Roman" w:hAnsi="Times New Roman"/>
          <w:noProof w:val="0"/>
          <w:vanish w:val="0"/>
          <w:color w:val="auto"/>
          <w:sz w:val="24"/>
        </w:rPr>
      </w:pPr>
    </w:p>
    <w:p w:rsidR="002A6758" w:rsidRPr="00BA183C" w:rsidP="002A6758" w14:paraId="34847C92" w14:textId="77777777">
      <w:pPr>
        <w:pStyle w:val="AmNumberTabs"/>
        <w:keepNext/>
      </w:pPr>
      <w:r w:rsidRPr="00BA183C">
        <w:t>Modification</w:t>
      </w:r>
      <w:r w:rsidRPr="00BA183C">
        <w:tab/>
      </w:r>
      <w:r w:rsidRPr="00BA183C">
        <w:tab/>
        <w:t>29</w:t>
      </w:r>
    </w:p>
    <w:p w:rsidR="002A6758" w:rsidRPr="00BA183C" w:rsidP="002A6758" w14:paraId="59ABAE86" w14:textId="77777777">
      <w:pPr>
        <w:pStyle w:val="NormalBold12b"/>
        <w:keepNext/>
      </w:pPr>
      <w:r w:rsidRPr="00BA183C">
        <w:t>Proposal for Interinstitutional Agreement</w:t>
      </w:r>
    </w:p>
    <w:p w:rsidR="002A6758" w:rsidRPr="00BA183C" w:rsidP="002A6758" w14:paraId="2A534171" w14:textId="77777777">
      <w:pPr>
        <w:pStyle w:val="NormalBold"/>
      </w:pPr>
      <w:r w:rsidRPr="00BA183C">
        <w:t>Part 2</w:t>
      </w:r>
    </w:p>
    <w:p w:rsidR="002A6758" w:rsidRPr="00BA183C" w:rsidP="002A6758" w14:paraId="57026211" w14:textId="77777777">
      <w:r w:rsidRPr="00BA183C">
        <w:t>Section A – point 11b (new)</w:t>
      </w:r>
    </w:p>
    <w:tbl>
      <w:tblPr>
        <w:tblW w:w="9752" w:type="dxa"/>
        <w:jc w:val="center"/>
        <w:tblLayout w:type="fixed"/>
        <w:tblCellMar>
          <w:left w:w="340" w:type="dxa"/>
          <w:right w:w="340" w:type="dxa"/>
        </w:tblCellMar>
        <w:tblLook w:val="0000"/>
      </w:tblPr>
      <w:tblGrid>
        <w:gridCol w:w="4876"/>
        <w:gridCol w:w="4876"/>
      </w:tblGrid>
      <w:tr w14:paraId="6D04C877" w14:textId="77777777" w:rsidTr="00CC5190">
        <w:tblPrEx>
          <w:tblW w:w="9752" w:type="dxa"/>
          <w:jc w:val="center"/>
          <w:tblLayout w:type="fixed"/>
          <w:tblLook w:val="0000"/>
        </w:tblPrEx>
        <w:trPr>
          <w:jc w:val="center"/>
        </w:trPr>
        <w:tc>
          <w:tcPr>
            <w:tcW w:w="9752" w:type="dxa"/>
            <w:gridSpan w:val="2"/>
          </w:tcPr>
          <w:p w:rsidR="002A6758" w:rsidRPr="00BA183C" w:rsidP="00CC5190" w14:paraId="11791419" w14:textId="77777777">
            <w:pPr>
              <w:keepNext/>
            </w:pPr>
          </w:p>
        </w:tc>
      </w:tr>
      <w:tr w14:paraId="660344CC" w14:textId="77777777" w:rsidTr="00CC5190">
        <w:tblPrEx>
          <w:tblW w:w="9752" w:type="dxa"/>
          <w:jc w:val="center"/>
          <w:tblLayout w:type="fixed"/>
          <w:tblLook w:val="0000"/>
        </w:tblPrEx>
        <w:trPr>
          <w:jc w:val="center"/>
        </w:trPr>
        <w:tc>
          <w:tcPr>
            <w:tcW w:w="4876" w:type="dxa"/>
          </w:tcPr>
          <w:p w:rsidR="002A6758" w:rsidRPr="00BA183C" w:rsidP="00CC5190" w14:paraId="6B8B5EB6" w14:textId="77777777">
            <w:pPr>
              <w:pStyle w:val="AmColumnHeading"/>
              <w:keepNext/>
            </w:pPr>
            <w:r w:rsidRPr="00BA183C">
              <w:t>Text proposed by the Commission</w:t>
            </w:r>
          </w:p>
        </w:tc>
        <w:tc>
          <w:tcPr>
            <w:tcW w:w="4876" w:type="dxa"/>
          </w:tcPr>
          <w:p w:rsidR="002A6758" w:rsidRPr="00BA183C" w:rsidP="00CC5190" w14:paraId="5CBD5218" w14:textId="77777777">
            <w:pPr>
              <w:pStyle w:val="AmColumnHeading"/>
              <w:keepNext/>
            </w:pPr>
            <w:r w:rsidRPr="00BA183C">
              <w:t>Modification</w:t>
            </w:r>
          </w:p>
        </w:tc>
      </w:tr>
      <w:tr w14:paraId="50D2D308" w14:textId="77777777" w:rsidTr="00CC5190">
        <w:tblPrEx>
          <w:tblW w:w="9752" w:type="dxa"/>
          <w:jc w:val="center"/>
          <w:tblLayout w:type="fixed"/>
          <w:tblLook w:val="0000"/>
        </w:tblPrEx>
        <w:trPr>
          <w:jc w:val="center"/>
        </w:trPr>
        <w:tc>
          <w:tcPr>
            <w:tcW w:w="4876" w:type="dxa"/>
          </w:tcPr>
          <w:p w:rsidR="002A6758" w:rsidRPr="00BA183C" w:rsidP="00CC5190" w14:paraId="26733D66" w14:textId="77777777">
            <w:pPr>
              <w:pStyle w:val="Normal6a"/>
            </w:pPr>
            <w:r w:rsidRPr="00BA183C">
              <w:t xml:space="preserve"> </w:t>
            </w:r>
          </w:p>
        </w:tc>
        <w:tc>
          <w:tcPr>
            <w:tcW w:w="4876" w:type="dxa"/>
          </w:tcPr>
          <w:p w:rsidR="002A6758" w:rsidRPr="00BA183C" w:rsidP="00CC5190" w14:paraId="2E072C20" w14:textId="77777777">
            <w:pPr>
              <w:pStyle w:val="Normal6a"/>
              <w:jc w:val="center"/>
              <w:rPr>
                <w:b/>
                <w:bCs/>
                <w:i/>
              </w:rPr>
            </w:pPr>
            <w:r w:rsidRPr="00BA183C">
              <w:rPr>
                <w:b/>
                <w:bCs/>
                <w:i/>
              </w:rPr>
              <w:t>Own Resources Dialogue</w:t>
            </w:r>
          </w:p>
          <w:p w:rsidR="002A6758" w:rsidRPr="00BA183C" w:rsidP="00CC5190" w14:paraId="643498B2" w14:textId="77777777">
            <w:pPr>
              <w:pStyle w:val="Normal6a"/>
              <w:rPr>
                <w:szCs w:val="24"/>
              </w:rPr>
            </w:pPr>
            <w:r w:rsidRPr="00BA183C">
              <w:rPr>
                <w:b/>
                <w:bCs/>
                <w:i/>
              </w:rPr>
              <w:t>11b.</w:t>
            </w:r>
            <w:r w:rsidRPr="00BA183C">
              <w:rPr>
                <w:b/>
                <w:bCs/>
                <w:iCs/>
              </w:rPr>
              <w:tab/>
            </w:r>
            <w:r w:rsidRPr="00BA183C">
              <w:rPr>
                <w:b/>
                <w:bCs/>
                <w:i/>
                <w:iCs/>
              </w:rPr>
              <w:t>The three Institutions will maintain the interinstitutional regular dialogue on Own Resources, meeting at least once per Council Presidency and at a higher frequency at the request of one institution.</w:t>
            </w:r>
          </w:p>
        </w:tc>
      </w:tr>
    </w:tbl>
    <w:p w:rsidR="002A6758" w:rsidRPr="00BA183C" w:rsidP="002A6758" w14:paraId="42F6C91A" w14:textId="77777777"/>
    <w:p w:rsidR="002A6758" w:rsidRPr="00BA183C" w:rsidP="002A6758" w14:paraId="108DB334" w14:textId="77777777">
      <w:pPr>
        <w:pStyle w:val="AmNumberTabs"/>
        <w:keepNext/>
      </w:pPr>
      <w:r w:rsidRPr="00BA183C">
        <w:t>Modification</w:t>
      </w:r>
      <w:r w:rsidRPr="00BA183C">
        <w:tab/>
      </w:r>
      <w:r w:rsidRPr="00BA183C">
        <w:tab/>
        <w:t>30</w:t>
      </w:r>
    </w:p>
    <w:p w:rsidR="002A6758" w:rsidRPr="00BA183C" w:rsidP="002A6758" w14:paraId="272093AE" w14:textId="77777777">
      <w:pPr>
        <w:pStyle w:val="NormalBold12b"/>
        <w:keepNext/>
      </w:pPr>
      <w:r w:rsidRPr="00BA183C">
        <w:t>Proposal for Interinstitutional Agreement</w:t>
      </w:r>
    </w:p>
    <w:p w:rsidR="002A6758" w:rsidRPr="00BA183C" w:rsidP="002A6758" w14:paraId="27CE401F" w14:textId="77777777">
      <w:pPr>
        <w:pStyle w:val="NormalBold"/>
      </w:pPr>
      <w:r w:rsidRPr="00BA183C">
        <w:t>Part 2</w:t>
      </w:r>
    </w:p>
    <w:p w:rsidR="002A6758" w:rsidRPr="00BA183C" w:rsidP="002A6758" w14:paraId="2E7EAACC" w14:textId="77777777">
      <w:r w:rsidRPr="00BA183C">
        <w:t>Section A – point 11c (new)</w:t>
      </w:r>
    </w:p>
    <w:tbl>
      <w:tblPr>
        <w:tblW w:w="9752" w:type="dxa"/>
        <w:jc w:val="center"/>
        <w:tblLayout w:type="fixed"/>
        <w:tblCellMar>
          <w:left w:w="340" w:type="dxa"/>
          <w:right w:w="340" w:type="dxa"/>
        </w:tblCellMar>
        <w:tblLook w:val="0000"/>
      </w:tblPr>
      <w:tblGrid>
        <w:gridCol w:w="4876"/>
        <w:gridCol w:w="4876"/>
      </w:tblGrid>
      <w:tr w14:paraId="444AB1EB" w14:textId="77777777" w:rsidTr="00CC5190">
        <w:tblPrEx>
          <w:tblW w:w="9752" w:type="dxa"/>
          <w:jc w:val="center"/>
          <w:tblLayout w:type="fixed"/>
          <w:tblLook w:val="0000"/>
        </w:tblPrEx>
        <w:trPr>
          <w:jc w:val="center"/>
        </w:trPr>
        <w:tc>
          <w:tcPr>
            <w:tcW w:w="9752" w:type="dxa"/>
            <w:gridSpan w:val="2"/>
          </w:tcPr>
          <w:p w:rsidR="002A6758" w:rsidRPr="00BA183C" w:rsidP="00CC5190" w14:paraId="4C6B1D2A" w14:textId="77777777">
            <w:pPr>
              <w:keepNext/>
            </w:pPr>
          </w:p>
        </w:tc>
      </w:tr>
      <w:tr w14:paraId="5675246E" w14:textId="77777777" w:rsidTr="00CC5190">
        <w:tblPrEx>
          <w:tblW w:w="9752" w:type="dxa"/>
          <w:jc w:val="center"/>
          <w:tblLayout w:type="fixed"/>
          <w:tblLook w:val="0000"/>
        </w:tblPrEx>
        <w:trPr>
          <w:jc w:val="center"/>
        </w:trPr>
        <w:tc>
          <w:tcPr>
            <w:tcW w:w="4876" w:type="dxa"/>
          </w:tcPr>
          <w:p w:rsidR="002A6758" w:rsidRPr="00BA183C" w:rsidP="00CC5190" w14:paraId="0098602A" w14:textId="77777777">
            <w:pPr>
              <w:pStyle w:val="AmColumnHeading"/>
              <w:keepNext/>
            </w:pPr>
            <w:r w:rsidRPr="00BA183C">
              <w:t>Text proposed by the Commission</w:t>
            </w:r>
          </w:p>
        </w:tc>
        <w:tc>
          <w:tcPr>
            <w:tcW w:w="4876" w:type="dxa"/>
          </w:tcPr>
          <w:p w:rsidR="002A6758" w:rsidRPr="00BA183C" w:rsidP="00CC5190" w14:paraId="70ADCBED" w14:textId="77777777">
            <w:pPr>
              <w:pStyle w:val="AmColumnHeading"/>
              <w:keepNext/>
            </w:pPr>
            <w:r w:rsidRPr="00BA183C">
              <w:t>Modification</w:t>
            </w:r>
          </w:p>
        </w:tc>
      </w:tr>
      <w:tr w14:paraId="009E2EF8" w14:textId="77777777" w:rsidTr="00CC5190">
        <w:tblPrEx>
          <w:tblW w:w="9752" w:type="dxa"/>
          <w:jc w:val="center"/>
          <w:tblLayout w:type="fixed"/>
          <w:tblLook w:val="0000"/>
        </w:tblPrEx>
        <w:trPr>
          <w:jc w:val="center"/>
        </w:trPr>
        <w:tc>
          <w:tcPr>
            <w:tcW w:w="4876" w:type="dxa"/>
          </w:tcPr>
          <w:p w:rsidR="002A6758" w:rsidRPr="00BA183C" w:rsidP="00CC5190" w14:paraId="6703738A" w14:textId="77777777">
            <w:pPr>
              <w:pStyle w:val="Normal6a"/>
            </w:pPr>
            <w:r w:rsidRPr="00BA183C">
              <w:t xml:space="preserve"> </w:t>
            </w:r>
          </w:p>
        </w:tc>
        <w:tc>
          <w:tcPr>
            <w:tcW w:w="4876" w:type="dxa"/>
          </w:tcPr>
          <w:p w:rsidR="002A6758" w:rsidRPr="00BA183C" w:rsidP="00CC5190" w14:paraId="0A745E56" w14:textId="77777777">
            <w:pPr>
              <w:pStyle w:val="Normal6a"/>
              <w:jc w:val="center"/>
              <w:rPr>
                <w:b/>
                <w:bCs/>
                <w:i/>
              </w:rPr>
            </w:pPr>
            <w:r w:rsidRPr="00BA183C">
              <w:rPr>
                <w:b/>
                <w:bCs/>
                <w:i/>
              </w:rPr>
              <w:t>Pledges</w:t>
            </w:r>
          </w:p>
          <w:p w:rsidR="002A6758" w:rsidRPr="00BA183C" w:rsidP="00CC5190" w14:paraId="2D53BD9E" w14:textId="77777777">
            <w:pPr>
              <w:pStyle w:val="Normal6a"/>
              <w:rPr>
                <w:iCs/>
              </w:rPr>
            </w:pPr>
            <w:r w:rsidRPr="00BA183C">
              <w:rPr>
                <w:b/>
                <w:bCs/>
                <w:i/>
              </w:rPr>
              <w:t>11c.</w:t>
            </w:r>
            <w:r w:rsidRPr="00BA183C">
              <w:rPr>
                <w:b/>
                <w:bCs/>
                <w:iCs/>
              </w:rPr>
              <w:tab/>
            </w:r>
            <w:r w:rsidRPr="00BA183C">
              <w:rPr>
                <w:b/>
                <w:i/>
              </w:rPr>
              <w:t>Before announcing financial pledges in support of third countries, the Commission shall inform and take into account the views expressed by the budgetary authority on these matters; for any such case, the Commission shall provide detailed and comprehensive information, including on the source of financing for financial commitments, whether existing resources are being redirected or new resources are to be mobilised, including when involving loans, or any use of flexibilities, cushions or otherwise unallocated amounts</w:t>
            </w:r>
            <w:r w:rsidRPr="00BA183C">
              <w:rPr>
                <w:b/>
                <w:bCs/>
                <w:i/>
                <w:iCs/>
              </w:rPr>
              <w:t>.</w:t>
            </w:r>
          </w:p>
        </w:tc>
      </w:tr>
      <w:tr w14:paraId="55298CCF" w14:textId="77777777" w:rsidTr="00CC5190">
        <w:tblPrEx>
          <w:tblW w:w="9752" w:type="dxa"/>
          <w:jc w:val="center"/>
          <w:tblLayout w:type="fixed"/>
          <w:tblLook w:val="0000"/>
        </w:tblPrEx>
        <w:trPr>
          <w:jc w:val="center"/>
        </w:trPr>
        <w:tc>
          <w:tcPr>
            <w:tcW w:w="4876" w:type="dxa"/>
          </w:tcPr>
          <w:p w:rsidR="002A6758" w:rsidRPr="00BA183C" w:rsidP="00CC5190" w14:paraId="4F7C8808" w14:textId="77777777">
            <w:pPr>
              <w:pStyle w:val="Normal6a"/>
            </w:pPr>
          </w:p>
        </w:tc>
        <w:tc>
          <w:tcPr>
            <w:tcW w:w="4876" w:type="dxa"/>
          </w:tcPr>
          <w:p w:rsidR="002A6758" w:rsidRPr="00BA183C" w:rsidP="00CC5190" w14:paraId="777B6DA0" w14:textId="77777777">
            <w:pPr>
              <w:pStyle w:val="Normal6a"/>
              <w:rPr>
                <w:b/>
                <w:bCs/>
                <w:i/>
              </w:rPr>
            </w:pPr>
          </w:p>
        </w:tc>
      </w:tr>
    </w:tbl>
    <w:p w:rsidR="002A6758" w:rsidRPr="00BA183C" w:rsidP="002A6758" w14:paraId="360BBA71" w14:textId="77777777"/>
    <w:p w:rsidR="002A6758" w:rsidRPr="00BA183C" w:rsidP="002A6758" w14:paraId="7AFC4156" w14:textId="77777777">
      <w:pPr>
        <w:pStyle w:val="AmNumberTabs"/>
        <w:keepNext/>
      </w:pPr>
      <w:r w:rsidRPr="00BA183C">
        <w:t>Modification</w:t>
      </w:r>
      <w:r w:rsidRPr="00BA183C">
        <w:tab/>
      </w:r>
      <w:r w:rsidRPr="00BA183C">
        <w:tab/>
        <w:t>31</w:t>
      </w:r>
    </w:p>
    <w:p w:rsidR="002A6758" w:rsidRPr="00BA183C" w:rsidP="002A6758" w14:paraId="3A637A9A" w14:textId="77777777">
      <w:pPr>
        <w:pStyle w:val="NormalBold12b"/>
        <w:keepNext/>
      </w:pPr>
      <w:r w:rsidRPr="00BA183C">
        <w:t xml:space="preserve"> Proposal for Interinstitutional Agreement</w:t>
      </w:r>
    </w:p>
    <w:p w:rsidR="002A6758" w:rsidRPr="00BA183C" w:rsidP="002A6758" w14:paraId="15633140" w14:textId="77777777">
      <w:pPr>
        <w:pStyle w:val="NormalBold12b"/>
        <w:keepNext/>
        <w:spacing w:before="0"/>
      </w:pPr>
      <w:r w:rsidRPr="00BA183C">
        <w:t xml:space="preserve"> Part 2</w:t>
      </w:r>
    </w:p>
    <w:p w:rsidR="002A6758" w:rsidRPr="00BA183C" w:rsidP="002A6758" w14:paraId="19652CC9" w14:textId="77777777">
      <w:pPr>
        <w:pStyle w:val="NormalBold12b"/>
        <w:keepNext/>
        <w:spacing w:before="0"/>
      </w:pPr>
      <w:r w:rsidRPr="00BA183C">
        <w:t xml:space="preserve"> </w:t>
      </w:r>
      <w:r w:rsidRPr="00BA183C">
        <w:rPr>
          <w:b w:val="0"/>
          <w:bCs/>
        </w:rPr>
        <w:t xml:space="preserve">Section B – title </w:t>
      </w:r>
    </w:p>
    <w:tbl>
      <w:tblPr>
        <w:tblW w:w="9752" w:type="dxa"/>
        <w:jc w:val="center"/>
        <w:tblLayout w:type="fixed"/>
        <w:tblCellMar>
          <w:left w:w="340" w:type="dxa"/>
          <w:right w:w="340" w:type="dxa"/>
        </w:tblCellMar>
        <w:tblLook w:val="0000"/>
      </w:tblPr>
      <w:tblGrid>
        <w:gridCol w:w="4876"/>
        <w:gridCol w:w="4876"/>
      </w:tblGrid>
      <w:tr w14:paraId="49C8BB30" w14:textId="77777777" w:rsidTr="00CC5190">
        <w:tblPrEx>
          <w:tblW w:w="9752" w:type="dxa"/>
          <w:jc w:val="center"/>
          <w:tblLayout w:type="fixed"/>
          <w:tblLook w:val="0000"/>
        </w:tblPrEx>
        <w:trPr>
          <w:jc w:val="center"/>
        </w:trPr>
        <w:tc>
          <w:tcPr>
            <w:tcW w:w="9752" w:type="dxa"/>
            <w:gridSpan w:val="2"/>
          </w:tcPr>
          <w:p w:rsidR="002A6758" w:rsidRPr="00BA183C" w:rsidP="00CC5190" w14:paraId="5973C7E6" w14:textId="77777777">
            <w:pPr>
              <w:keepNext/>
            </w:pPr>
          </w:p>
        </w:tc>
      </w:tr>
      <w:tr w14:paraId="700AF4E8" w14:textId="77777777" w:rsidTr="00CC5190">
        <w:tblPrEx>
          <w:tblW w:w="9752" w:type="dxa"/>
          <w:jc w:val="center"/>
          <w:tblLayout w:type="fixed"/>
          <w:tblLook w:val="0000"/>
        </w:tblPrEx>
        <w:trPr>
          <w:jc w:val="center"/>
        </w:trPr>
        <w:tc>
          <w:tcPr>
            <w:tcW w:w="4876" w:type="dxa"/>
          </w:tcPr>
          <w:p w:rsidR="002A6758" w:rsidRPr="00BA183C" w:rsidP="00CC5190" w14:paraId="34C20B36" w14:textId="77777777">
            <w:pPr>
              <w:pStyle w:val="AmColumnHeading"/>
              <w:keepNext/>
            </w:pPr>
            <w:r w:rsidRPr="00BA183C">
              <w:t>Text proposed by the Commission</w:t>
            </w:r>
          </w:p>
        </w:tc>
        <w:tc>
          <w:tcPr>
            <w:tcW w:w="4876" w:type="dxa"/>
          </w:tcPr>
          <w:p w:rsidR="002A6758" w:rsidRPr="00BA183C" w:rsidP="00CC5190" w14:paraId="1334EA3D" w14:textId="77777777">
            <w:pPr>
              <w:pStyle w:val="AmColumnHeading"/>
              <w:keepNext/>
            </w:pPr>
            <w:r w:rsidRPr="00BA183C">
              <w:t>Modification</w:t>
            </w:r>
          </w:p>
        </w:tc>
      </w:tr>
      <w:tr w14:paraId="364B9D68" w14:textId="77777777" w:rsidTr="00CC5190">
        <w:tblPrEx>
          <w:tblW w:w="9752" w:type="dxa"/>
          <w:jc w:val="center"/>
          <w:tblLayout w:type="fixed"/>
          <w:tblLook w:val="0000"/>
        </w:tblPrEx>
        <w:trPr>
          <w:jc w:val="center"/>
        </w:trPr>
        <w:tc>
          <w:tcPr>
            <w:tcW w:w="4876" w:type="dxa"/>
          </w:tcPr>
          <w:p w:rsidR="002A6758" w:rsidRPr="00BA183C" w:rsidP="00CC5190" w14:paraId="6F6264CF" w14:textId="77777777">
            <w:pPr>
              <w:pStyle w:val="AmColumnHeading"/>
              <w:jc w:val="left"/>
              <w:rPr>
                <w:b/>
                <w:bCs/>
                <w:iCs/>
              </w:rPr>
            </w:pPr>
            <w:r w:rsidRPr="00BA183C">
              <w:rPr>
                <w:b/>
                <w:bCs/>
                <w:iCs/>
              </w:rPr>
              <w:t>B. DECENTRALISED AGENCIES AND EUROPEAN SCHOOLS</w:t>
            </w:r>
          </w:p>
        </w:tc>
        <w:tc>
          <w:tcPr>
            <w:tcW w:w="4876" w:type="dxa"/>
          </w:tcPr>
          <w:p w:rsidR="002A6758" w:rsidRPr="00BA183C" w:rsidP="00CC5190" w14:paraId="2CC25535" w14:textId="77777777">
            <w:pPr>
              <w:pStyle w:val="AmColumnHeading"/>
              <w:jc w:val="left"/>
              <w:rPr>
                <w:b/>
                <w:bCs/>
                <w:iCs/>
                <w:szCs w:val="24"/>
              </w:rPr>
            </w:pPr>
            <w:r w:rsidRPr="00BA183C">
              <w:rPr>
                <w:b/>
                <w:bCs/>
                <w:iCs/>
                <w:szCs w:val="24"/>
              </w:rPr>
              <w:t xml:space="preserve">B. FINANCIAL STATEMENT </w:t>
            </w:r>
          </w:p>
        </w:tc>
      </w:tr>
    </w:tbl>
    <w:p w:rsidR="002A6758" w:rsidRPr="00BA183C" w:rsidP="002A6758" w14:paraId="0DE27FBE" w14:textId="77777777"/>
    <w:p w:rsidR="002A6758" w:rsidRPr="00BA183C" w:rsidP="002A6758" w14:paraId="454B5126" w14:textId="77777777">
      <w:pPr>
        <w:pStyle w:val="AmNumberTabs"/>
        <w:keepNext/>
      </w:pPr>
      <w:r w:rsidRPr="00BA183C">
        <w:t>Modification</w:t>
      </w:r>
      <w:r w:rsidRPr="00BA183C">
        <w:tab/>
      </w:r>
      <w:r w:rsidRPr="00BA183C">
        <w:tab/>
        <w:t>32</w:t>
      </w:r>
    </w:p>
    <w:p w:rsidR="002A6758" w:rsidRPr="00BA183C" w:rsidP="002A6758" w14:paraId="7574F053" w14:textId="77777777">
      <w:pPr>
        <w:pStyle w:val="NormalBold12b"/>
        <w:keepNext/>
      </w:pPr>
      <w:r w:rsidRPr="00BA183C">
        <w:t xml:space="preserve"> Proposal for Interinstitutional Agreement</w:t>
      </w:r>
    </w:p>
    <w:p w:rsidR="002A6758" w:rsidRPr="00BA183C" w:rsidP="002A6758" w14:paraId="223491F8" w14:textId="77777777">
      <w:pPr>
        <w:pStyle w:val="NormalBold12b"/>
        <w:keepNext/>
        <w:spacing w:before="0"/>
      </w:pPr>
      <w:r w:rsidRPr="00BA183C">
        <w:t xml:space="preserve"> Part 2</w:t>
      </w:r>
    </w:p>
    <w:p w:rsidR="002A6758" w:rsidRPr="00BA183C" w:rsidP="002A6758" w14:paraId="55D0ADA3" w14:textId="77777777">
      <w:pPr>
        <w:pStyle w:val="NormalBold12b"/>
        <w:keepNext/>
        <w:spacing w:before="0"/>
      </w:pPr>
      <w:r w:rsidRPr="00BA183C">
        <w:t xml:space="preserve"> </w:t>
      </w:r>
      <w:r w:rsidRPr="00BA183C">
        <w:rPr>
          <w:b w:val="0"/>
          <w:bCs/>
        </w:rPr>
        <w:t>Section B – point 12 – subparagraphs 1 to 3</w:t>
      </w:r>
    </w:p>
    <w:tbl>
      <w:tblPr>
        <w:tblW w:w="9752" w:type="dxa"/>
        <w:jc w:val="center"/>
        <w:tblLayout w:type="fixed"/>
        <w:tblCellMar>
          <w:left w:w="340" w:type="dxa"/>
          <w:right w:w="340" w:type="dxa"/>
        </w:tblCellMar>
        <w:tblLook w:val="0000"/>
      </w:tblPr>
      <w:tblGrid>
        <w:gridCol w:w="4876"/>
        <w:gridCol w:w="4876"/>
      </w:tblGrid>
      <w:tr w14:paraId="0286B857" w14:textId="77777777" w:rsidTr="00CC5190">
        <w:tblPrEx>
          <w:tblW w:w="9752" w:type="dxa"/>
          <w:jc w:val="center"/>
          <w:tblLayout w:type="fixed"/>
          <w:tblLook w:val="0000"/>
        </w:tblPrEx>
        <w:trPr>
          <w:jc w:val="center"/>
        </w:trPr>
        <w:tc>
          <w:tcPr>
            <w:tcW w:w="9752" w:type="dxa"/>
            <w:gridSpan w:val="2"/>
          </w:tcPr>
          <w:p w:rsidR="002A6758" w:rsidRPr="00BA183C" w:rsidP="00CC5190" w14:paraId="41A21830" w14:textId="77777777">
            <w:pPr>
              <w:keepNext/>
            </w:pPr>
          </w:p>
        </w:tc>
      </w:tr>
      <w:tr w14:paraId="115DDD61" w14:textId="77777777" w:rsidTr="00CC5190">
        <w:tblPrEx>
          <w:tblW w:w="9752" w:type="dxa"/>
          <w:jc w:val="center"/>
          <w:tblLayout w:type="fixed"/>
          <w:tblLook w:val="0000"/>
        </w:tblPrEx>
        <w:trPr>
          <w:jc w:val="center"/>
        </w:trPr>
        <w:tc>
          <w:tcPr>
            <w:tcW w:w="4876" w:type="dxa"/>
          </w:tcPr>
          <w:p w:rsidR="002A6758" w:rsidRPr="00BA183C" w:rsidP="00CC5190" w14:paraId="055A9F5A" w14:textId="77777777">
            <w:pPr>
              <w:pStyle w:val="AmColumnHeading"/>
              <w:keepNext/>
            </w:pPr>
            <w:r w:rsidRPr="00BA183C">
              <w:t>Text proposed by the Commission</w:t>
            </w:r>
          </w:p>
        </w:tc>
        <w:tc>
          <w:tcPr>
            <w:tcW w:w="4876" w:type="dxa"/>
          </w:tcPr>
          <w:p w:rsidR="002A6758" w:rsidRPr="00BA183C" w:rsidP="00CC5190" w14:paraId="009FE697" w14:textId="77777777">
            <w:pPr>
              <w:pStyle w:val="AmColumnHeading"/>
              <w:keepNext/>
            </w:pPr>
            <w:r w:rsidRPr="00BA183C">
              <w:t>Modification</w:t>
            </w:r>
          </w:p>
        </w:tc>
      </w:tr>
      <w:tr w14:paraId="3DB32DBD" w14:textId="77777777" w:rsidTr="00CC5190">
        <w:tblPrEx>
          <w:tblW w:w="9752" w:type="dxa"/>
          <w:jc w:val="center"/>
          <w:tblLayout w:type="fixed"/>
          <w:tblLook w:val="0000"/>
        </w:tblPrEx>
        <w:trPr>
          <w:jc w:val="center"/>
        </w:trPr>
        <w:tc>
          <w:tcPr>
            <w:tcW w:w="4876" w:type="dxa"/>
          </w:tcPr>
          <w:p w:rsidR="002A6758" w:rsidRPr="00BA183C" w:rsidP="00CC5190" w14:paraId="5902951A" w14:textId="77777777">
            <w:pPr>
              <w:pStyle w:val="AmColumnHeading"/>
              <w:spacing w:after="600"/>
              <w:jc w:val="left"/>
              <w:rPr>
                <w:i w:val="0"/>
                <w:iCs/>
              </w:rPr>
            </w:pPr>
            <w:r w:rsidRPr="00BA183C">
              <w:rPr>
                <w:i w:val="0"/>
                <w:iCs/>
              </w:rPr>
              <w:t>12.</w:t>
            </w:r>
            <w:r w:rsidRPr="00BA183C">
              <w:rPr>
                <w:i w:val="0"/>
                <w:iCs/>
              </w:rPr>
              <w:tab/>
              <w:t>Before presenting a proposal for the creation of a new decentralised agency, and after having considered the assignment of the envisaged tasks to an existing institution, agency or body, the Commission</w:t>
            </w:r>
            <w:r w:rsidRPr="00BA183C">
              <w:rPr>
                <w:b/>
                <w:bCs/>
              </w:rPr>
              <w:t xml:space="preserve"> should</w:t>
            </w:r>
            <w:r w:rsidRPr="00BA183C">
              <w:rPr>
                <w:i w:val="0"/>
                <w:iCs/>
              </w:rPr>
              <w:t xml:space="preserve"> produce a sound, complete and objective impact assessment, taking into account, inter alia, the critical mass of staff and competencies needed, cost-benefit aspects, coherence, subsidiarity and proportionality, the impact on Union activities, and the budgetary implications for the expenditure heading concerned. </w:t>
            </w:r>
            <w:r w:rsidRPr="00BA183C">
              <w:rPr>
                <w:i w:val="0"/>
                <w:iCs/>
              </w:rPr>
              <w:t>On the basis of</w:t>
            </w:r>
            <w:r w:rsidRPr="00BA183C">
              <w:rPr>
                <w:i w:val="0"/>
                <w:iCs/>
              </w:rPr>
              <w:t xml:space="preserve"> that information and without prejudice to the legislative procedures </w:t>
            </w:r>
            <w:r w:rsidRPr="00BA183C">
              <w:rPr>
                <w:b/>
                <w:bCs/>
              </w:rPr>
              <w:t>governing the setting up of the decentralised agency</w:t>
            </w:r>
            <w:r w:rsidRPr="00BA183C">
              <w:rPr>
                <w:i w:val="0"/>
                <w:iCs/>
              </w:rPr>
              <w:t xml:space="preserve">, the European Parliament and the Council commit themselves, in the framework of budgetary cooperation, to arrive at a timely agreement </w:t>
            </w:r>
            <w:r w:rsidRPr="00BA183C">
              <w:rPr>
                <w:b/>
                <w:bCs/>
              </w:rPr>
              <w:t>on the financing of the proposed decentralised agency</w:t>
            </w:r>
            <w:r w:rsidRPr="00BA183C">
              <w:rPr>
                <w:i w:val="0"/>
                <w:iCs/>
              </w:rPr>
              <w:t>.</w:t>
            </w:r>
          </w:p>
          <w:p w:rsidR="002A6758" w:rsidRPr="00BA183C" w:rsidP="00CC5190" w14:paraId="531EF415" w14:textId="77777777">
            <w:pPr>
              <w:pStyle w:val="AmColumnHeading"/>
              <w:spacing w:before="120"/>
              <w:jc w:val="left"/>
              <w:rPr>
                <w:i w:val="0"/>
                <w:iCs/>
              </w:rPr>
            </w:pPr>
            <w:r w:rsidRPr="00BA183C">
              <w:rPr>
                <w:i w:val="0"/>
                <w:iCs/>
              </w:rPr>
              <w:t>The following procedural steps shall be applied:</w:t>
            </w:r>
          </w:p>
          <w:p w:rsidR="002A6758" w:rsidRPr="00BA183C" w:rsidP="00CC5190" w14:paraId="6586B7FF" w14:textId="77777777">
            <w:pPr>
              <w:pStyle w:val="AmColumnHeading"/>
              <w:jc w:val="left"/>
              <w:rPr>
                <w:i w:val="0"/>
                <w:iCs/>
              </w:rPr>
            </w:pPr>
            <w:r w:rsidRPr="00BA183C">
              <w:rPr>
                <w:i w:val="0"/>
                <w:iCs/>
              </w:rPr>
              <w:t>—</w:t>
            </w:r>
            <w:r w:rsidRPr="00BA183C">
              <w:rPr>
                <w:i w:val="0"/>
                <w:iCs/>
              </w:rPr>
              <w:tab/>
              <w:t xml:space="preserve">firstly, the Commission shall systematically present any proposal for setting up a new decentralised agency to the first budgetary trilogue following the </w:t>
            </w:r>
            <w:r w:rsidRPr="00BA183C">
              <w:rPr>
                <w:i w:val="0"/>
                <w:iCs/>
              </w:rPr>
              <w:t xml:space="preserve">adoption of its proposal, and shall present the financial statement accompanying the legislative proposal </w:t>
            </w:r>
            <w:r w:rsidRPr="00BA183C">
              <w:rPr>
                <w:b/>
                <w:bCs/>
              </w:rPr>
              <w:t>for the creation of the decentralised agency</w:t>
            </w:r>
            <w:r w:rsidRPr="00BA183C">
              <w:rPr>
                <w:i w:val="0"/>
                <w:iCs/>
              </w:rPr>
              <w:t xml:space="preserve"> and shall illustrate the consequences thereof for the remaining period of the financial programming;</w:t>
            </w:r>
          </w:p>
          <w:p w:rsidR="002A6758" w:rsidRPr="00BA183C" w:rsidP="00CC5190" w14:paraId="7C4DA0D4" w14:textId="77777777">
            <w:pPr>
              <w:pStyle w:val="AmColumnHeading"/>
              <w:jc w:val="left"/>
              <w:rPr>
                <w:i w:val="0"/>
                <w:iCs/>
              </w:rPr>
            </w:pPr>
          </w:p>
          <w:p w:rsidR="002A6758" w:rsidRPr="00BA183C" w:rsidP="00CC5190" w14:paraId="491FD422" w14:textId="77777777">
            <w:pPr>
              <w:pStyle w:val="AmColumnHeading"/>
              <w:jc w:val="left"/>
              <w:rPr>
                <w:i w:val="0"/>
                <w:iCs/>
              </w:rPr>
            </w:pPr>
            <w:r w:rsidRPr="00BA183C">
              <w:rPr>
                <w:i w:val="0"/>
                <w:iCs/>
              </w:rPr>
              <w:t>—</w:t>
            </w:r>
            <w:r w:rsidRPr="00BA183C">
              <w:rPr>
                <w:i w:val="0"/>
                <w:iCs/>
              </w:rPr>
              <w:tab/>
              <w:t>secondly, during the legislative process, the Commission shall</w:t>
            </w:r>
            <w:r w:rsidRPr="00BA183C">
              <w:rPr>
                <w:b/>
                <w:bCs/>
              </w:rPr>
              <w:t xml:space="preserve"> </w:t>
            </w:r>
            <w:r w:rsidRPr="00BA183C">
              <w:rPr>
                <w:i w:val="0"/>
                <w:iCs/>
              </w:rPr>
              <w:t xml:space="preserve">assist the legislator in assessing the financial consequences of the amendments proposed; those financial consequences </w:t>
            </w:r>
            <w:r w:rsidRPr="00BA183C">
              <w:rPr>
                <w:b/>
                <w:bCs/>
              </w:rPr>
              <w:t>should</w:t>
            </w:r>
            <w:r w:rsidRPr="00BA183C">
              <w:rPr>
                <w:i w:val="0"/>
                <w:iCs/>
              </w:rPr>
              <w:t xml:space="preserve"> be considered during the relevant </w:t>
            </w:r>
            <w:r w:rsidRPr="00BA183C">
              <w:rPr>
                <w:b/>
                <w:bCs/>
              </w:rPr>
              <w:t>steps of the applicable</w:t>
            </w:r>
            <w:r w:rsidRPr="00BA183C">
              <w:rPr>
                <w:i w:val="0"/>
                <w:iCs/>
              </w:rPr>
              <w:t xml:space="preserve"> legislative </w:t>
            </w:r>
            <w:r w:rsidRPr="00BA183C">
              <w:rPr>
                <w:b/>
                <w:bCs/>
              </w:rPr>
              <w:t>procedure</w:t>
            </w:r>
            <w:r w:rsidRPr="00BA183C">
              <w:rPr>
                <w:i w:val="0"/>
                <w:iCs/>
              </w:rPr>
              <w:t>;</w:t>
            </w:r>
          </w:p>
          <w:p w:rsidR="002A6758" w:rsidRPr="00BA183C" w:rsidP="00CC5190" w14:paraId="651A0493" w14:textId="77777777">
            <w:pPr>
              <w:pStyle w:val="AmColumnHeading"/>
              <w:spacing w:after="600"/>
              <w:jc w:val="left"/>
              <w:rPr>
                <w:i w:val="0"/>
                <w:iCs/>
              </w:rPr>
            </w:pPr>
            <w:r w:rsidRPr="00BA183C">
              <w:rPr>
                <w:i w:val="0"/>
                <w:iCs/>
              </w:rPr>
              <w:t>—</w:t>
            </w:r>
            <w:r w:rsidRPr="00BA183C">
              <w:rPr>
                <w:i w:val="0"/>
                <w:iCs/>
              </w:rPr>
              <w:tab/>
              <w:t xml:space="preserve">thirdly, before the conclusion of the legislative process, the Commission shall present an updated financial statement taking into account potential amendments by the legislator; that final financial statement </w:t>
            </w:r>
            <w:r w:rsidRPr="00BA183C">
              <w:rPr>
                <w:b/>
                <w:bCs/>
              </w:rPr>
              <w:t>shall be discussed</w:t>
            </w:r>
            <w:r w:rsidRPr="00BA183C">
              <w:rPr>
                <w:i w:val="0"/>
                <w:iCs/>
              </w:rPr>
              <w:t xml:space="preserve"> before a final agreement is reached and </w:t>
            </w:r>
            <w:r w:rsidRPr="00BA183C">
              <w:rPr>
                <w:b/>
                <w:bCs/>
              </w:rPr>
              <w:t>be</w:t>
            </w:r>
            <w:r w:rsidRPr="00BA183C">
              <w:rPr>
                <w:i w:val="0"/>
                <w:iCs/>
              </w:rPr>
              <w:t xml:space="preserve"> formally </w:t>
            </w:r>
            <w:r w:rsidRPr="00BA183C">
              <w:rPr>
                <w:b/>
                <w:bCs/>
              </w:rPr>
              <w:t xml:space="preserve">endorsed by the legislator; it </w:t>
            </w:r>
            <w:r w:rsidRPr="00BA183C">
              <w:rPr>
                <w:i w:val="0"/>
                <w:iCs/>
              </w:rPr>
              <w:t>shall also be placed on the agenda of a subsequent budgetary trilogue (in urgent cases, in simplified form), in view of reaching an agreement on the financing;</w:t>
            </w:r>
          </w:p>
          <w:p w:rsidR="002A6758" w:rsidRPr="00BA183C" w:rsidP="00CC5190" w14:paraId="322E6EA5" w14:textId="77777777">
            <w:pPr>
              <w:pStyle w:val="AmColumnHeading"/>
              <w:spacing w:after="1800"/>
              <w:jc w:val="left"/>
              <w:rPr>
                <w:i w:val="0"/>
                <w:iCs/>
              </w:rPr>
            </w:pPr>
            <w:r w:rsidRPr="00BA183C">
              <w:rPr>
                <w:i w:val="0"/>
                <w:iCs/>
              </w:rPr>
              <w:t>—</w:t>
            </w:r>
            <w:r w:rsidRPr="00BA183C">
              <w:rPr>
                <w:i w:val="0"/>
                <w:iCs/>
              </w:rPr>
              <w:tab/>
              <w:t xml:space="preserve">fourthly, the agreement reached, </w:t>
            </w:r>
            <w:r w:rsidRPr="00BA183C">
              <w:rPr>
                <w:i w:val="0"/>
                <w:iCs/>
              </w:rPr>
              <w:t>taking into account</w:t>
            </w:r>
            <w:r w:rsidRPr="00BA183C">
              <w:rPr>
                <w:i w:val="0"/>
                <w:iCs/>
              </w:rPr>
              <w:t xml:space="preserve"> the Commission’s budgetary assessment with regard to the content of the legislative process, shall be confirmed in a joint declaration; that joint declaration shall be subject to approval by the European Parliament and by the Council, each in accordance with its own rules of procedure.</w:t>
            </w:r>
          </w:p>
          <w:p w:rsidR="002A6758" w:rsidRPr="00BA183C" w:rsidP="00CC5190" w14:paraId="3A57715B" w14:textId="77777777">
            <w:pPr>
              <w:pStyle w:val="AmColumnHeading"/>
              <w:jc w:val="left"/>
              <w:rPr>
                <w:i w:val="0"/>
                <w:iCs/>
              </w:rPr>
            </w:pPr>
            <w:r w:rsidRPr="00BA183C">
              <w:rPr>
                <w:i w:val="0"/>
                <w:iCs/>
              </w:rPr>
              <w:t xml:space="preserve">The same procedure </w:t>
            </w:r>
            <w:r w:rsidRPr="00BA183C">
              <w:rPr>
                <w:b/>
                <w:bCs/>
              </w:rPr>
              <w:t>should</w:t>
            </w:r>
            <w:r w:rsidRPr="00BA183C">
              <w:rPr>
                <w:i w:val="0"/>
                <w:iCs/>
              </w:rPr>
              <w:t xml:space="preserve"> be applied to any amendment to a legal act concerning a decentralised agency which would have an </w:t>
            </w:r>
            <w:r w:rsidRPr="00BA183C">
              <w:rPr>
                <w:i w:val="0"/>
                <w:iCs/>
              </w:rPr>
              <w:t>impact on the resources of the agency in question.</w:t>
            </w:r>
          </w:p>
        </w:tc>
        <w:tc>
          <w:tcPr>
            <w:tcW w:w="4876" w:type="dxa"/>
          </w:tcPr>
          <w:p w:rsidR="002A6758" w:rsidP="00CC5190" w14:paraId="0BD58A8D" w14:textId="2A5C1088">
            <w:pPr>
              <w:pStyle w:val="AmColumnHeading"/>
              <w:jc w:val="left"/>
              <w:rPr>
                <w:i w:val="0"/>
                <w:iCs/>
              </w:rPr>
            </w:pPr>
            <w:r w:rsidRPr="00BA183C">
              <w:rPr>
                <w:i w:val="0"/>
                <w:iCs/>
              </w:rPr>
              <w:t>12.</w:t>
            </w:r>
            <w:r w:rsidRPr="00BA183C">
              <w:rPr>
                <w:i w:val="0"/>
                <w:iCs/>
              </w:rPr>
              <w:tab/>
              <w:t>Before presenting a proposal</w:t>
            </w:r>
            <w:r w:rsidRPr="00BA183C">
              <w:t xml:space="preserve"> </w:t>
            </w:r>
            <w:r w:rsidRPr="00BA183C">
              <w:rPr>
                <w:i w:val="0"/>
                <w:iCs/>
              </w:rPr>
              <w:t>for the creation of a new decentralised agency, and</w:t>
            </w:r>
            <w:r w:rsidRPr="00BA183C">
              <w:rPr>
                <w:b/>
                <w:bCs/>
              </w:rPr>
              <w:t>, where appropriate,</w:t>
            </w:r>
            <w:r w:rsidRPr="00BA183C">
              <w:rPr>
                <w:i w:val="0"/>
                <w:iCs/>
              </w:rPr>
              <w:t xml:space="preserve"> after having considered the assignment of </w:t>
            </w:r>
            <w:r w:rsidRPr="00BA183C">
              <w:rPr>
                <w:b/>
                <w:bCs/>
              </w:rPr>
              <w:t>any</w:t>
            </w:r>
            <w:r w:rsidRPr="00BA183C">
              <w:t xml:space="preserve"> </w:t>
            </w:r>
            <w:r w:rsidRPr="00BA183C">
              <w:rPr>
                <w:i w:val="0"/>
                <w:iCs/>
              </w:rPr>
              <w:t xml:space="preserve">envisaged tasks to an existing institution, agency or body, the Commission </w:t>
            </w:r>
            <w:r w:rsidRPr="00BA183C">
              <w:rPr>
                <w:b/>
                <w:bCs/>
              </w:rPr>
              <w:t>shall</w:t>
            </w:r>
            <w:r w:rsidRPr="00BA183C">
              <w:rPr>
                <w:i w:val="0"/>
                <w:iCs/>
              </w:rPr>
              <w:t xml:space="preserve"> produce a sound, complete and objective impact assessment, taking into account, inter alia, the critical mass of staff and competencies needed, cost-benefit aspects, coherence, subsidiarity and proportionality, the impact on </w:t>
            </w:r>
            <w:r w:rsidRPr="00BA183C">
              <w:rPr>
                <w:b/>
                <w:bCs/>
              </w:rPr>
              <w:t>national and</w:t>
            </w:r>
            <w:r w:rsidRPr="00BA183C">
              <w:rPr>
                <w:b/>
                <w:bCs/>
                <w:i w:val="0"/>
                <w:iCs/>
              </w:rPr>
              <w:t xml:space="preserve"> </w:t>
            </w:r>
            <w:r w:rsidRPr="00BA183C">
              <w:rPr>
                <w:i w:val="0"/>
                <w:iCs/>
              </w:rPr>
              <w:t xml:space="preserve">Union activities, and the budgetary implications for the expenditure heading concerned. </w:t>
            </w:r>
            <w:r w:rsidRPr="00BA183C">
              <w:rPr>
                <w:i w:val="0"/>
                <w:iCs/>
              </w:rPr>
              <w:t>On the basis of</w:t>
            </w:r>
            <w:r w:rsidRPr="00BA183C">
              <w:rPr>
                <w:i w:val="0"/>
                <w:iCs/>
              </w:rPr>
              <w:t xml:space="preserve"> that information and without prejudice to the legislative procedures </w:t>
            </w:r>
            <w:r w:rsidRPr="00BA183C">
              <w:rPr>
                <w:b/>
                <w:bCs/>
              </w:rPr>
              <w:t>concerned</w:t>
            </w:r>
            <w:r w:rsidRPr="00BA183C">
              <w:rPr>
                <w:i w:val="0"/>
                <w:iCs/>
              </w:rPr>
              <w:t>, the European Parliament and the Council commit themselves, in the framework of budgetary cooperation, to arrive at a timely agreement.</w:t>
            </w:r>
          </w:p>
          <w:p w:rsidR="003106D0" w:rsidRPr="00BA183C" w:rsidP="00CC5190" w14:paraId="0EB884ED" w14:textId="77777777">
            <w:pPr>
              <w:pStyle w:val="AmColumnHeading"/>
              <w:jc w:val="left"/>
              <w:rPr>
                <w:i w:val="0"/>
                <w:iCs/>
              </w:rPr>
            </w:pPr>
          </w:p>
          <w:p w:rsidR="002A6758" w:rsidRPr="00BA183C" w:rsidP="00CC5190" w14:paraId="1A310A68" w14:textId="77777777">
            <w:pPr>
              <w:pStyle w:val="AmColumnHeading"/>
              <w:jc w:val="left"/>
              <w:rPr>
                <w:i w:val="0"/>
                <w:iCs/>
              </w:rPr>
            </w:pPr>
            <w:r w:rsidRPr="00BA183C">
              <w:rPr>
                <w:i w:val="0"/>
                <w:iCs/>
              </w:rPr>
              <w:t>The following procedural steps shall be applied:</w:t>
            </w:r>
          </w:p>
          <w:p w:rsidR="002A6758" w:rsidRPr="00BA183C" w:rsidP="00CC5190" w14:paraId="666900AF" w14:textId="77777777">
            <w:pPr>
              <w:pStyle w:val="AmColumnHeading"/>
              <w:jc w:val="left"/>
              <w:rPr>
                <w:i w:val="0"/>
                <w:iCs/>
              </w:rPr>
            </w:pPr>
            <w:r w:rsidRPr="00BA183C">
              <w:rPr>
                <w:i w:val="0"/>
                <w:iCs/>
              </w:rPr>
              <w:t>—</w:t>
            </w:r>
            <w:r w:rsidRPr="00BA183C">
              <w:rPr>
                <w:i w:val="0"/>
                <w:iCs/>
              </w:rPr>
              <w:tab/>
              <w:t>firstly, the Commission shall systematically present any proposal for setting up a new decentralised agency</w:t>
            </w:r>
            <w:r w:rsidRPr="00BA183C">
              <w:rPr>
                <w:b/>
                <w:bCs/>
                <w:i w:val="0"/>
                <w:iCs/>
              </w:rPr>
              <w:t>,</w:t>
            </w:r>
            <w:r w:rsidRPr="00BA183C">
              <w:rPr>
                <w:i w:val="0"/>
                <w:iCs/>
              </w:rPr>
              <w:t xml:space="preserve"> to the first budgetary trilogue following the </w:t>
            </w:r>
            <w:r w:rsidRPr="00BA183C">
              <w:rPr>
                <w:i w:val="0"/>
                <w:iCs/>
              </w:rPr>
              <w:t>adoption of its proposal, and shall present the financial statement accompanying the legislative proposal and shall illustrate the consequences thereof for the remaining period of the financial programming;</w:t>
            </w:r>
          </w:p>
          <w:p w:rsidR="002A6758" w:rsidRPr="00BA183C" w:rsidP="00CC5190" w14:paraId="654C2FA9" w14:textId="77777777">
            <w:pPr>
              <w:pStyle w:val="AmColumnHeading"/>
              <w:spacing w:after="480"/>
              <w:jc w:val="left"/>
              <w:rPr>
                <w:i w:val="0"/>
                <w:iCs/>
              </w:rPr>
            </w:pPr>
            <w:r w:rsidRPr="00BA183C">
              <w:rPr>
                <w:i w:val="0"/>
                <w:iCs/>
              </w:rPr>
              <w:t>—</w:t>
            </w:r>
            <w:r w:rsidRPr="00BA183C">
              <w:rPr>
                <w:i w:val="0"/>
                <w:iCs/>
              </w:rPr>
              <w:tab/>
              <w:t xml:space="preserve">secondly, during the legislative process, the Commission shall assist the legislator in assessing the financial consequences of the amendments proposed; those financial consequences </w:t>
            </w:r>
            <w:r w:rsidRPr="00BA183C">
              <w:rPr>
                <w:b/>
                <w:bCs/>
              </w:rPr>
              <w:t>shall</w:t>
            </w:r>
            <w:r w:rsidRPr="00BA183C">
              <w:rPr>
                <w:i w:val="0"/>
                <w:iCs/>
              </w:rPr>
              <w:t xml:space="preserve"> be considered during the relevant legislative </w:t>
            </w:r>
            <w:r w:rsidRPr="00BA183C">
              <w:rPr>
                <w:b/>
                <w:bCs/>
              </w:rPr>
              <w:t>trilogues</w:t>
            </w:r>
            <w:r w:rsidRPr="00BA183C">
              <w:rPr>
                <w:i w:val="0"/>
                <w:iCs/>
              </w:rPr>
              <w:t>;</w:t>
            </w:r>
          </w:p>
          <w:p w:rsidR="002A6758" w:rsidRPr="00BA183C" w:rsidP="00CC5190" w14:paraId="36CD4A6D" w14:textId="77777777">
            <w:pPr>
              <w:pStyle w:val="AmColumnHeading"/>
              <w:jc w:val="left"/>
              <w:rPr>
                <w:i w:val="0"/>
                <w:iCs/>
              </w:rPr>
            </w:pPr>
            <w:r w:rsidRPr="00BA183C">
              <w:rPr>
                <w:i w:val="0"/>
                <w:iCs/>
              </w:rPr>
              <w:t>—</w:t>
            </w:r>
            <w:r w:rsidRPr="00BA183C">
              <w:rPr>
                <w:i w:val="0"/>
                <w:iCs/>
              </w:rPr>
              <w:tab/>
              <w:t xml:space="preserve">thirdly, before the conclusion of the legislative process, the Commission shall present an updated financial statement taking into account potential amendments by the legislator; </w:t>
            </w:r>
            <w:r w:rsidRPr="00BA183C">
              <w:rPr>
                <w:b/>
                <w:bCs/>
              </w:rPr>
              <w:t>the legislator shall discuss that updated</w:t>
            </w:r>
            <w:r w:rsidRPr="00BA183C">
              <w:rPr>
                <w:i w:val="0"/>
                <w:iCs/>
              </w:rPr>
              <w:t xml:space="preserve"> financial statement before a final agreement is reached and </w:t>
            </w:r>
            <w:r w:rsidRPr="00BA183C">
              <w:rPr>
                <w:b/>
                <w:bCs/>
              </w:rPr>
              <w:t>shall</w:t>
            </w:r>
            <w:r w:rsidRPr="00BA183C">
              <w:rPr>
                <w:b/>
                <w:bCs/>
                <w:i w:val="0"/>
                <w:iCs/>
              </w:rPr>
              <w:t xml:space="preserve"> </w:t>
            </w:r>
            <w:r w:rsidRPr="00BA183C">
              <w:rPr>
                <w:i w:val="0"/>
                <w:iCs/>
              </w:rPr>
              <w:t xml:space="preserve">formally </w:t>
            </w:r>
            <w:r w:rsidRPr="00BA183C">
              <w:rPr>
                <w:b/>
                <w:bCs/>
              </w:rPr>
              <w:t>endorse</w:t>
            </w:r>
            <w:r w:rsidRPr="00BA183C">
              <w:rPr>
                <w:i w:val="0"/>
                <w:iCs/>
              </w:rPr>
              <w:t xml:space="preserve"> the </w:t>
            </w:r>
            <w:r w:rsidRPr="00BA183C">
              <w:rPr>
                <w:b/>
                <w:bCs/>
              </w:rPr>
              <w:t>final financial statement</w:t>
            </w:r>
            <w:r w:rsidRPr="00BA183C">
              <w:t xml:space="preserve">; </w:t>
            </w:r>
            <w:r w:rsidRPr="00BA183C">
              <w:rPr>
                <w:b/>
                <w:bCs/>
              </w:rPr>
              <w:t>that final financial statement</w:t>
            </w:r>
            <w:r w:rsidRPr="00BA183C">
              <w:rPr>
                <w:i w:val="0"/>
                <w:iCs/>
              </w:rPr>
              <w:t xml:space="preserve"> shall also be placed on the agenda of a subsequent budgetary trilogue (in urgent cases, in simplified form), in view of reaching an agreement on the financing;</w:t>
            </w:r>
          </w:p>
          <w:p w:rsidR="002A6758" w:rsidRPr="00BA183C" w:rsidP="00CC5190" w14:paraId="7CACFDE1" w14:textId="77777777">
            <w:pPr>
              <w:pStyle w:val="AmColumnHeading"/>
              <w:jc w:val="left"/>
              <w:rPr>
                <w:i w:val="0"/>
                <w:iCs/>
              </w:rPr>
            </w:pPr>
            <w:r w:rsidRPr="00BA183C">
              <w:rPr>
                <w:i w:val="0"/>
                <w:iCs/>
              </w:rPr>
              <w:t>—</w:t>
            </w:r>
            <w:r w:rsidRPr="00BA183C">
              <w:rPr>
                <w:i w:val="0"/>
                <w:iCs/>
              </w:rPr>
              <w:tab/>
              <w:t xml:space="preserve">fourthly, the agreement reached, </w:t>
            </w:r>
            <w:r w:rsidRPr="00BA183C">
              <w:rPr>
                <w:i w:val="0"/>
                <w:iCs/>
              </w:rPr>
              <w:t>taking into account</w:t>
            </w:r>
            <w:r w:rsidRPr="00BA183C">
              <w:rPr>
                <w:i w:val="0"/>
                <w:iCs/>
              </w:rPr>
              <w:t xml:space="preserve"> the Commission’s budgetary assessment with regard to the content of the legislative process, shall be confirmed in a joint declaration; that joint declaration shall be subject to approval by the European Parliament and by the Council, each in accordance with its own rules of procedure.</w:t>
            </w:r>
          </w:p>
          <w:p w:rsidR="002A6758" w:rsidRPr="00BA183C" w:rsidP="00CC5190" w14:paraId="1394891E" w14:textId="77777777">
            <w:pPr>
              <w:pStyle w:val="AmColumnHeading"/>
              <w:widowControl w:val="0"/>
              <w:jc w:val="left"/>
              <w:rPr>
                <w:b/>
                <w:bCs/>
              </w:rPr>
            </w:pPr>
            <w:r w:rsidRPr="00BA183C">
              <w:rPr>
                <w:b/>
                <w:bCs/>
              </w:rPr>
              <w:t>The Commission shall provide a consolidated annual overview of all the changes made to programmes and agencies compared to the MFF baseline together with the draft budget.</w:t>
            </w:r>
          </w:p>
          <w:p w:rsidR="002A6758" w:rsidRPr="00BA183C" w:rsidP="00CC5190" w14:paraId="445CF86C" w14:textId="77777777">
            <w:pPr>
              <w:pStyle w:val="AmColumnHeading"/>
              <w:widowControl w:val="0"/>
              <w:jc w:val="left"/>
              <w:rPr>
                <w:szCs w:val="24"/>
              </w:rPr>
            </w:pPr>
            <w:r w:rsidRPr="00BA183C">
              <w:rPr>
                <w:i w:val="0"/>
                <w:iCs/>
              </w:rPr>
              <w:t xml:space="preserve">The same procedure </w:t>
            </w:r>
            <w:r w:rsidRPr="00BA183C">
              <w:rPr>
                <w:b/>
                <w:bCs/>
              </w:rPr>
              <w:t>shall</w:t>
            </w:r>
            <w:r w:rsidRPr="00BA183C">
              <w:t xml:space="preserve"> </w:t>
            </w:r>
            <w:r w:rsidRPr="00BA183C">
              <w:rPr>
                <w:i w:val="0"/>
                <w:iCs/>
              </w:rPr>
              <w:t>be applied to any amendment to a legal act concerning a decentralised agency which would have an impact on the resources of the agency in question.</w:t>
            </w:r>
          </w:p>
        </w:tc>
      </w:tr>
    </w:tbl>
    <w:p w:rsidR="002A6758" w:rsidRPr="00BA183C" w:rsidP="002A6758" w14:paraId="1DEE71B8" w14:textId="77777777"/>
    <w:p w:rsidR="002A6758" w:rsidRPr="00BA183C" w:rsidP="002A6758" w14:paraId="5F8D7350" w14:textId="77777777">
      <w:pPr>
        <w:pStyle w:val="AmNumberTabs"/>
        <w:keepNext/>
      </w:pPr>
      <w:r w:rsidRPr="00BA183C">
        <w:t>Modification</w:t>
      </w:r>
      <w:r w:rsidRPr="00BA183C">
        <w:tab/>
      </w:r>
      <w:r w:rsidRPr="00BA183C">
        <w:tab/>
        <w:t>33</w:t>
      </w:r>
    </w:p>
    <w:p w:rsidR="002A6758" w:rsidRPr="00BA183C" w:rsidP="002A6758" w14:paraId="508DAB3D" w14:textId="77777777">
      <w:pPr>
        <w:pStyle w:val="NormalBold12b"/>
        <w:keepNext/>
      </w:pPr>
      <w:r w:rsidRPr="00BA183C">
        <w:t xml:space="preserve"> Proposal for Interinstitutional Agreement</w:t>
      </w:r>
    </w:p>
    <w:p w:rsidR="002A6758" w:rsidRPr="00BA183C" w:rsidP="002A6758" w14:paraId="65EF2191" w14:textId="77777777">
      <w:pPr>
        <w:pStyle w:val="NormalBold12b"/>
        <w:keepNext/>
        <w:spacing w:before="0"/>
      </w:pPr>
      <w:r w:rsidRPr="00BA183C">
        <w:t xml:space="preserve"> Part 3</w:t>
      </w:r>
    </w:p>
    <w:p w:rsidR="002A6758" w:rsidRPr="00BA183C" w:rsidP="002A6758" w14:paraId="21E7B2C9" w14:textId="77777777">
      <w:pPr>
        <w:pStyle w:val="NormalBold12b"/>
        <w:keepNext/>
        <w:spacing w:before="0"/>
      </w:pPr>
      <w:r w:rsidRPr="00BA183C">
        <w:t xml:space="preserve"> </w:t>
      </w:r>
      <w:r w:rsidRPr="00BA183C">
        <w:rPr>
          <w:b w:val="0"/>
          <w:bCs/>
        </w:rPr>
        <w:t xml:space="preserve">Section B – point 13 </w:t>
      </w:r>
    </w:p>
    <w:tbl>
      <w:tblPr>
        <w:tblW w:w="9752" w:type="dxa"/>
        <w:jc w:val="center"/>
        <w:tblLayout w:type="fixed"/>
        <w:tblCellMar>
          <w:left w:w="340" w:type="dxa"/>
          <w:right w:w="340" w:type="dxa"/>
        </w:tblCellMar>
        <w:tblLook w:val="0000"/>
      </w:tblPr>
      <w:tblGrid>
        <w:gridCol w:w="4876"/>
        <w:gridCol w:w="4876"/>
      </w:tblGrid>
      <w:tr w14:paraId="52AFE8F8" w14:textId="77777777" w:rsidTr="00CC5190">
        <w:tblPrEx>
          <w:tblW w:w="9752" w:type="dxa"/>
          <w:jc w:val="center"/>
          <w:tblLayout w:type="fixed"/>
          <w:tblLook w:val="0000"/>
        </w:tblPrEx>
        <w:trPr>
          <w:jc w:val="center"/>
        </w:trPr>
        <w:tc>
          <w:tcPr>
            <w:tcW w:w="9752" w:type="dxa"/>
            <w:gridSpan w:val="2"/>
          </w:tcPr>
          <w:p w:rsidR="002A6758" w:rsidRPr="00BA183C" w:rsidP="00CC5190" w14:paraId="50C28D34" w14:textId="77777777">
            <w:pPr>
              <w:keepNext/>
            </w:pPr>
          </w:p>
        </w:tc>
      </w:tr>
      <w:tr w14:paraId="4CAEA6AB" w14:textId="77777777" w:rsidTr="00CC5190">
        <w:tblPrEx>
          <w:tblW w:w="9752" w:type="dxa"/>
          <w:jc w:val="center"/>
          <w:tblLayout w:type="fixed"/>
          <w:tblLook w:val="0000"/>
        </w:tblPrEx>
        <w:trPr>
          <w:jc w:val="center"/>
        </w:trPr>
        <w:tc>
          <w:tcPr>
            <w:tcW w:w="4876" w:type="dxa"/>
          </w:tcPr>
          <w:p w:rsidR="002A6758" w:rsidRPr="00BA183C" w:rsidP="00CC5190" w14:paraId="41894D35" w14:textId="77777777">
            <w:pPr>
              <w:pStyle w:val="AmColumnHeading"/>
              <w:keepNext/>
            </w:pPr>
            <w:r w:rsidRPr="00BA183C">
              <w:t>Text proposed by the Commission</w:t>
            </w:r>
          </w:p>
        </w:tc>
        <w:tc>
          <w:tcPr>
            <w:tcW w:w="4876" w:type="dxa"/>
          </w:tcPr>
          <w:p w:rsidR="002A6758" w:rsidRPr="00BA183C" w:rsidP="00CC5190" w14:paraId="4B63BF4C" w14:textId="77777777">
            <w:pPr>
              <w:pStyle w:val="AmColumnHeading"/>
              <w:keepNext/>
            </w:pPr>
            <w:r w:rsidRPr="00BA183C">
              <w:t>Modification</w:t>
            </w:r>
          </w:p>
        </w:tc>
      </w:tr>
      <w:tr w14:paraId="33796536" w14:textId="77777777" w:rsidTr="00CC5190">
        <w:tblPrEx>
          <w:tblW w:w="9752" w:type="dxa"/>
          <w:jc w:val="center"/>
          <w:tblLayout w:type="fixed"/>
          <w:tblLook w:val="0000"/>
        </w:tblPrEx>
        <w:trPr>
          <w:jc w:val="center"/>
        </w:trPr>
        <w:tc>
          <w:tcPr>
            <w:tcW w:w="4876" w:type="dxa"/>
          </w:tcPr>
          <w:p w:rsidR="002A6758" w:rsidRPr="00BA183C" w:rsidP="00CC5190" w14:paraId="633CC2B7" w14:textId="77777777">
            <w:pPr>
              <w:pStyle w:val="AmColumnHeading"/>
              <w:jc w:val="left"/>
              <w:rPr>
                <w:i w:val="0"/>
              </w:rPr>
            </w:pPr>
            <w:r w:rsidRPr="00BA183C">
              <w:rPr>
                <w:i w:val="0"/>
              </w:rPr>
              <w:t>13.</w:t>
            </w:r>
            <w:r w:rsidRPr="00BA183C">
              <w:rPr>
                <w:i w:val="0"/>
              </w:rPr>
              <w:tab/>
              <w:t>Relevant provisions from the Common Approach annexed to the Joint Statement of the European Parliament, the Council of the European Union and the European Commission on decentralised agencies signed on 19 July 2012</w:t>
            </w:r>
            <w:r w:rsidRPr="00BA183C">
              <w:rPr>
                <w:b/>
                <w:bCs/>
                <w:i w:val="0"/>
              </w:rPr>
              <w:t xml:space="preserve"> </w:t>
            </w:r>
            <w:r w:rsidRPr="00BA183C">
              <w:rPr>
                <w:b/>
                <w:bCs/>
                <w:iCs/>
              </w:rPr>
              <w:t>should</w:t>
            </w:r>
            <w:r w:rsidRPr="00BA183C">
              <w:rPr>
                <w:i w:val="0"/>
              </w:rPr>
              <w:t xml:space="preserve"> be duly </w:t>
            </w:r>
            <w:r w:rsidRPr="00BA183C">
              <w:rPr>
                <w:i w:val="0"/>
              </w:rPr>
              <w:t>taken into account</w:t>
            </w:r>
            <w:r w:rsidRPr="00BA183C">
              <w:rPr>
                <w:i w:val="0"/>
              </w:rPr>
              <w:t xml:space="preserve"> in the budgetary procedure.</w:t>
            </w:r>
          </w:p>
          <w:p w:rsidR="002A6758" w:rsidRPr="00BA183C" w:rsidP="00CC5190" w14:paraId="2D06C318" w14:textId="77777777">
            <w:pPr>
              <w:pStyle w:val="AmColumnHeading"/>
              <w:jc w:val="left"/>
              <w:rPr>
                <w:b/>
                <w:bCs/>
                <w:iCs/>
              </w:rPr>
            </w:pPr>
          </w:p>
        </w:tc>
        <w:tc>
          <w:tcPr>
            <w:tcW w:w="4876" w:type="dxa"/>
          </w:tcPr>
          <w:p w:rsidR="002A6758" w:rsidRPr="00BA183C" w:rsidP="00CC5190" w14:paraId="777736AC" w14:textId="77777777">
            <w:pPr>
              <w:pStyle w:val="AmColumnHeading"/>
              <w:widowControl w:val="0"/>
              <w:jc w:val="left"/>
              <w:rPr>
                <w:i w:val="0"/>
                <w:iCs/>
                <w:szCs w:val="24"/>
              </w:rPr>
            </w:pPr>
            <w:r w:rsidRPr="00BA183C">
              <w:rPr>
                <w:i w:val="0"/>
                <w:iCs/>
                <w:szCs w:val="24"/>
              </w:rPr>
              <w:t>13.</w:t>
            </w:r>
            <w:r w:rsidRPr="00BA183C">
              <w:rPr>
                <w:i w:val="0"/>
                <w:iCs/>
                <w:szCs w:val="24"/>
              </w:rPr>
              <w:tab/>
              <w:t xml:space="preserve">Relevant provisions from the Common Approach annexed to the Joint Statement of the European Parliament, the Council of the European Union and the European Commission on decentralised agencies signed on 19 July 2012 </w:t>
            </w:r>
            <w:r w:rsidRPr="00BA183C">
              <w:rPr>
                <w:b/>
                <w:bCs/>
                <w:szCs w:val="24"/>
              </w:rPr>
              <w:t>shall</w:t>
            </w:r>
            <w:r w:rsidRPr="00BA183C">
              <w:rPr>
                <w:szCs w:val="24"/>
              </w:rPr>
              <w:t xml:space="preserve"> </w:t>
            </w:r>
            <w:r w:rsidRPr="00BA183C">
              <w:rPr>
                <w:i w:val="0"/>
                <w:iCs/>
                <w:szCs w:val="24"/>
              </w:rPr>
              <w:t xml:space="preserve">be duly </w:t>
            </w:r>
            <w:r w:rsidRPr="00BA183C">
              <w:rPr>
                <w:i w:val="0"/>
                <w:iCs/>
                <w:szCs w:val="24"/>
              </w:rPr>
              <w:t>taken into account</w:t>
            </w:r>
            <w:r w:rsidRPr="00BA183C">
              <w:rPr>
                <w:i w:val="0"/>
                <w:iCs/>
                <w:szCs w:val="24"/>
              </w:rPr>
              <w:t xml:space="preserve"> in the budgetary procedure.</w:t>
            </w:r>
          </w:p>
        </w:tc>
      </w:tr>
    </w:tbl>
    <w:p w:rsidR="002A6758" w:rsidRPr="00BA183C" w:rsidP="002A6758" w14:paraId="532CA4DA" w14:textId="77777777"/>
    <w:p w:rsidR="002A6758" w:rsidRPr="00BA183C" w:rsidP="002A6758" w14:paraId="72BD3009" w14:textId="77777777">
      <w:pPr>
        <w:pStyle w:val="AmNumberTabs"/>
        <w:keepNext/>
      </w:pPr>
      <w:r w:rsidRPr="00BA183C">
        <w:t>Modification</w:t>
      </w:r>
      <w:r w:rsidRPr="00BA183C">
        <w:tab/>
      </w:r>
      <w:r w:rsidRPr="00BA183C">
        <w:tab/>
        <w:t>34</w:t>
      </w:r>
    </w:p>
    <w:p w:rsidR="002A6758" w:rsidRPr="00BA183C" w:rsidP="002A6758" w14:paraId="5EE8B83D" w14:textId="77777777">
      <w:pPr>
        <w:pStyle w:val="NormalBold12b"/>
        <w:keepNext/>
      </w:pPr>
      <w:r w:rsidRPr="00BA183C">
        <w:t>Proposal for Interinstitutional Agreement</w:t>
      </w:r>
    </w:p>
    <w:p w:rsidR="002A6758" w:rsidRPr="00BA183C" w:rsidP="002A6758" w14:paraId="20F0D673" w14:textId="77777777">
      <w:pPr>
        <w:pStyle w:val="NormalBold"/>
      </w:pPr>
      <w:r w:rsidRPr="00BA183C">
        <w:t>Part 3</w:t>
      </w:r>
    </w:p>
    <w:p w:rsidR="002A6758" w:rsidRPr="00BA183C" w:rsidP="002A6758" w14:paraId="525FCEE5" w14:textId="77777777">
      <w:r w:rsidRPr="00BA183C">
        <w:t>Section B – point 14</w:t>
      </w:r>
    </w:p>
    <w:tbl>
      <w:tblPr>
        <w:tblW w:w="9752" w:type="dxa"/>
        <w:jc w:val="center"/>
        <w:tblLayout w:type="fixed"/>
        <w:tblCellMar>
          <w:left w:w="340" w:type="dxa"/>
          <w:right w:w="340" w:type="dxa"/>
        </w:tblCellMar>
        <w:tblLook w:val="0000"/>
      </w:tblPr>
      <w:tblGrid>
        <w:gridCol w:w="4876"/>
        <w:gridCol w:w="4876"/>
      </w:tblGrid>
      <w:tr w14:paraId="17DB4AD2" w14:textId="77777777" w:rsidTr="00CC5190">
        <w:tblPrEx>
          <w:tblW w:w="9752" w:type="dxa"/>
          <w:jc w:val="center"/>
          <w:tblLayout w:type="fixed"/>
          <w:tblLook w:val="0000"/>
        </w:tblPrEx>
        <w:trPr>
          <w:jc w:val="center"/>
        </w:trPr>
        <w:tc>
          <w:tcPr>
            <w:tcW w:w="9752" w:type="dxa"/>
            <w:gridSpan w:val="2"/>
          </w:tcPr>
          <w:p w:rsidR="002A6758" w:rsidRPr="00BA183C" w:rsidP="00CC5190" w14:paraId="40910E38" w14:textId="77777777">
            <w:pPr>
              <w:keepNext/>
            </w:pPr>
          </w:p>
        </w:tc>
      </w:tr>
      <w:tr w14:paraId="21B46F2D" w14:textId="77777777" w:rsidTr="00CC5190">
        <w:tblPrEx>
          <w:tblW w:w="9752" w:type="dxa"/>
          <w:jc w:val="center"/>
          <w:tblLayout w:type="fixed"/>
          <w:tblLook w:val="0000"/>
        </w:tblPrEx>
        <w:trPr>
          <w:jc w:val="center"/>
        </w:trPr>
        <w:tc>
          <w:tcPr>
            <w:tcW w:w="4876" w:type="dxa"/>
          </w:tcPr>
          <w:p w:rsidR="002A6758" w:rsidRPr="00BA183C" w:rsidP="00CC5190" w14:paraId="52D210E9" w14:textId="77777777">
            <w:pPr>
              <w:pStyle w:val="AmColumnHeading"/>
              <w:keepNext/>
            </w:pPr>
            <w:r w:rsidRPr="00BA183C">
              <w:t>Text proposed by the Commission</w:t>
            </w:r>
          </w:p>
        </w:tc>
        <w:tc>
          <w:tcPr>
            <w:tcW w:w="4876" w:type="dxa"/>
          </w:tcPr>
          <w:p w:rsidR="002A6758" w:rsidRPr="00BA183C" w:rsidP="00CC5190" w14:paraId="5FDFA471" w14:textId="77777777">
            <w:pPr>
              <w:pStyle w:val="AmColumnHeading"/>
              <w:keepNext/>
            </w:pPr>
            <w:r w:rsidRPr="00BA183C">
              <w:t>Modification</w:t>
            </w:r>
          </w:p>
        </w:tc>
      </w:tr>
      <w:tr w14:paraId="4BED9D87" w14:textId="77777777" w:rsidTr="00CC5190">
        <w:tblPrEx>
          <w:tblW w:w="9752" w:type="dxa"/>
          <w:jc w:val="center"/>
          <w:tblLayout w:type="fixed"/>
          <w:tblLook w:val="0000"/>
        </w:tblPrEx>
        <w:trPr>
          <w:jc w:val="center"/>
        </w:trPr>
        <w:tc>
          <w:tcPr>
            <w:tcW w:w="4876" w:type="dxa"/>
          </w:tcPr>
          <w:p w:rsidR="002A6758" w:rsidRPr="00BA183C" w:rsidP="00CC5190" w14:paraId="2219C8F2" w14:textId="77777777">
            <w:pPr>
              <w:pStyle w:val="Normal6a"/>
            </w:pPr>
            <w:r w:rsidRPr="00BA183C">
              <w:t>14.</w:t>
            </w:r>
            <w:r w:rsidRPr="00BA183C">
              <w:tab/>
            </w:r>
            <w:r w:rsidRPr="00BA183C">
              <w:rPr>
                <w:iCs/>
              </w:rPr>
              <w:t>When the creation of a new European school is envisaged by the Board of Governors of the European Schools,</w:t>
            </w:r>
            <w:r w:rsidRPr="00BA183C">
              <w:rPr>
                <w:b/>
                <w:bCs/>
                <w:iCs/>
              </w:rPr>
              <w:t xml:space="preserve"> </w:t>
            </w:r>
            <w:r w:rsidRPr="00BA183C">
              <w:rPr>
                <w:b/>
                <w:bCs/>
                <w:i/>
              </w:rPr>
              <w:t>a similar procedure is to be applied, mutatis mutandis, for its budgetary implications on the Union budget.</w:t>
            </w:r>
          </w:p>
        </w:tc>
        <w:tc>
          <w:tcPr>
            <w:tcW w:w="4876" w:type="dxa"/>
          </w:tcPr>
          <w:p w:rsidR="002A6758" w:rsidRPr="00BA183C" w:rsidP="00CC5190" w14:paraId="523EBD36" w14:textId="77777777">
            <w:pPr>
              <w:pStyle w:val="Normal6a"/>
              <w:rPr>
                <w:szCs w:val="24"/>
              </w:rPr>
            </w:pPr>
            <w:r w:rsidRPr="00BA183C">
              <w:rPr>
                <w:iCs/>
              </w:rPr>
              <w:t>14.</w:t>
            </w:r>
            <w:r w:rsidRPr="00BA183C">
              <w:rPr>
                <w:iCs/>
              </w:rPr>
              <w:tab/>
            </w:r>
            <w:r w:rsidRPr="00BA183C">
              <w:rPr>
                <w:b/>
                <w:bCs/>
                <w:i/>
              </w:rPr>
              <w:t>The Commission shall notify the European Parliament and the Council</w:t>
            </w:r>
            <w:r w:rsidRPr="00BA183C">
              <w:rPr>
                <w:i/>
              </w:rPr>
              <w:t xml:space="preserve"> when the creation </w:t>
            </w:r>
            <w:r w:rsidRPr="00BA183C">
              <w:rPr>
                <w:b/>
                <w:bCs/>
                <w:i/>
              </w:rPr>
              <w:t>or extension</w:t>
            </w:r>
            <w:r w:rsidRPr="00BA183C">
              <w:t xml:space="preserve"> </w:t>
            </w:r>
            <w:r w:rsidRPr="00BA183C">
              <w:rPr>
                <w:iCs/>
              </w:rPr>
              <w:t>of a new European school is</w:t>
            </w:r>
            <w:r w:rsidRPr="00BA183C">
              <w:t xml:space="preserve"> </w:t>
            </w:r>
            <w:r w:rsidRPr="00BA183C">
              <w:rPr>
                <w:b/>
                <w:bCs/>
                <w:i/>
              </w:rPr>
              <w:t>first</w:t>
            </w:r>
            <w:r w:rsidRPr="00BA183C">
              <w:t xml:space="preserve"> </w:t>
            </w:r>
            <w:r w:rsidRPr="00BA183C">
              <w:rPr>
                <w:iCs/>
              </w:rPr>
              <w:t xml:space="preserve">envisaged by the Board of Governors of the European Schools, </w:t>
            </w:r>
            <w:r w:rsidRPr="00BA183C">
              <w:rPr>
                <w:b/>
                <w:bCs/>
                <w:i/>
              </w:rPr>
              <w:t>by means of a report containing preliminary information on the proposed creation or extension of the school, including the budgetary implications thereof. As soon as the Board of Governors decides on the creation or extension of a school, the Commission shall present the European Parliament and the Council with a second report containing up-to-date information on the budgetary implications of the decision.</w:t>
            </w:r>
          </w:p>
        </w:tc>
      </w:tr>
    </w:tbl>
    <w:p w:rsidR="002A6758" w:rsidRPr="00BA183C" w:rsidP="002A6758" w14:paraId="75C126DF" w14:textId="77777777"/>
    <w:p w:rsidR="002A6758" w:rsidRPr="00BA183C" w:rsidP="002A6758" w14:paraId="0DFD2942" w14:textId="77777777">
      <w:pPr>
        <w:pStyle w:val="AmNumberTabs"/>
        <w:keepNext/>
      </w:pPr>
      <w:r w:rsidRPr="00BA183C">
        <w:t>Modification</w:t>
      </w:r>
      <w:r w:rsidRPr="00BA183C">
        <w:tab/>
      </w:r>
      <w:r w:rsidRPr="00BA183C">
        <w:tab/>
        <w:t>35</w:t>
      </w:r>
    </w:p>
    <w:p w:rsidR="002A6758" w:rsidRPr="00BA183C" w:rsidP="002A6758" w14:paraId="44248059" w14:textId="77777777">
      <w:pPr>
        <w:pStyle w:val="NormalBold12b"/>
        <w:keepNext/>
      </w:pPr>
      <w:r w:rsidRPr="00BA183C">
        <w:t xml:space="preserve"> Proposal for Interinstitutional Agreement</w:t>
      </w:r>
    </w:p>
    <w:p w:rsidR="002A6758" w:rsidRPr="00BA183C" w:rsidP="002A6758" w14:paraId="475CB916" w14:textId="77777777">
      <w:pPr>
        <w:pStyle w:val="NormalBold12b"/>
        <w:keepNext/>
        <w:spacing w:before="0"/>
      </w:pPr>
      <w:r w:rsidRPr="00BA183C">
        <w:t xml:space="preserve"> Part 2</w:t>
      </w:r>
    </w:p>
    <w:p w:rsidR="002A6758" w:rsidRPr="00BA183C" w:rsidP="002A6758" w14:paraId="4B356A44" w14:textId="77777777">
      <w:pPr>
        <w:pStyle w:val="NormalBold12b"/>
        <w:keepNext/>
        <w:spacing w:before="0"/>
      </w:pPr>
      <w:r w:rsidRPr="00BA183C">
        <w:t xml:space="preserve"> </w:t>
      </w:r>
      <w:r w:rsidRPr="00BA183C">
        <w:rPr>
          <w:b w:val="0"/>
          <w:bCs/>
        </w:rPr>
        <w:t xml:space="preserve">Section B – point 15 </w:t>
      </w:r>
    </w:p>
    <w:p w:rsidR="002A6758" w:rsidRPr="00BA183C" w:rsidP="002A6758" w14:paraId="5B3A9469"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7E25F387" w14:textId="77777777" w:rsidTr="00CC5190">
        <w:tblPrEx>
          <w:tblW w:w="9752" w:type="dxa"/>
          <w:jc w:val="center"/>
          <w:tblLayout w:type="fixed"/>
          <w:tblLook w:val="0000"/>
        </w:tblPrEx>
        <w:trPr>
          <w:jc w:val="center"/>
        </w:trPr>
        <w:tc>
          <w:tcPr>
            <w:tcW w:w="9752" w:type="dxa"/>
            <w:gridSpan w:val="2"/>
          </w:tcPr>
          <w:p w:rsidR="002A6758" w:rsidRPr="00BA183C" w:rsidP="00CC5190" w14:paraId="715C5496" w14:textId="77777777">
            <w:pPr>
              <w:keepNext/>
            </w:pPr>
          </w:p>
        </w:tc>
      </w:tr>
      <w:tr w14:paraId="31C14A85" w14:textId="77777777" w:rsidTr="00CC5190">
        <w:tblPrEx>
          <w:tblW w:w="9752" w:type="dxa"/>
          <w:jc w:val="center"/>
          <w:tblLayout w:type="fixed"/>
          <w:tblLook w:val="0000"/>
        </w:tblPrEx>
        <w:trPr>
          <w:jc w:val="center"/>
        </w:trPr>
        <w:tc>
          <w:tcPr>
            <w:tcW w:w="4876" w:type="dxa"/>
          </w:tcPr>
          <w:p w:rsidR="002A6758" w:rsidRPr="00BA183C" w:rsidP="00CC5190" w14:paraId="10FC77C2" w14:textId="77777777">
            <w:pPr>
              <w:pStyle w:val="AmColumnHeading"/>
              <w:keepNext/>
            </w:pPr>
            <w:r w:rsidRPr="00BA183C">
              <w:t>Text proposed by the Commission</w:t>
            </w:r>
          </w:p>
        </w:tc>
        <w:tc>
          <w:tcPr>
            <w:tcW w:w="4876" w:type="dxa"/>
          </w:tcPr>
          <w:p w:rsidR="002A6758" w:rsidRPr="00BA183C" w:rsidP="00CC5190" w14:paraId="408B0EBD" w14:textId="77777777">
            <w:pPr>
              <w:pStyle w:val="AmColumnHeading"/>
              <w:keepNext/>
            </w:pPr>
            <w:r w:rsidRPr="00BA183C">
              <w:t>Modification</w:t>
            </w:r>
          </w:p>
        </w:tc>
      </w:tr>
      <w:tr w14:paraId="7B4D0DCB" w14:textId="77777777" w:rsidTr="00CC5190">
        <w:tblPrEx>
          <w:tblW w:w="9752" w:type="dxa"/>
          <w:jc w:val="center"/>
          <w:tblLayout w:type="fixed"/>
          <w:tblLook w:val="0000"/>
        </w:tblPrEx>
        <w:trPr>
          <w:jc w:val="center"/>
        </w:trPr>
        <w:tc>
          <w:tcPr>
            <w:tcW w:w="4876" w:type="dxa"/>
          </w:tcPr>
          <w:p w:rsidR="002A6758" w:rsidRPr="00BA183C" w:rsidP="00CC5190" w14:paraId="5F548C55" w14:textId="77777777">
            <w:pPr>
              <w:pStyle w:val="AmColumnHeading"/>
              <w:jc w:val="left"/>
              <w:rPr>
                <w:b/>
                <w:bCs/>
                <w:iCs/>
              </w:rPr>
            </w:pPr>
            <w:r w:rsidRPr="00BA183C">
              <w:rPr>
                <w:i w:val="0"/>
              </w:rPr>
              <w:t>15.</w:t>
            </w:r>
            <w:r w:rsidRPr="00BA183C">
              <w:rPr>
                <w:i w:val="0"/>
              </w:rPr>
              <w:tab/>
              <w:t xml:space="preserve">Where the Commission submits a proposal for the adoption of an act of the Council under Article 122 TFEU with potential appreciable implications for the Union budget, the following arrangements for a procedure of budgetary scrutiny between the European Parliament and the Council with the active assistance of the Commission </w:t>
            </w:r>
            <w:r w:rsidRPr="00BA183C">
              <w:rPr>
                <w:b/>
                <w:bCs/>
                <w:iCs/>
              </w:rPr>
              <w:t>may</w:t>
            </w:r>
            <w:r w:rsidRPr="00BA183C">
              <w:rPr>
                <w:i w:val="0"/>
              </w:rPr>
              <w:t xml:space="preserve"> apply.</w:t>
            </w:r>
          </w:p>
        </w:tc>
        <w:tc>
          <w:tcPr>
            <w:tcW w:w="4876" w:type="dxa"/>
          </w:tcPr>
          <w:p w:rsidR="002A6758" w:rsidRPr="00BA183C" w:rsidP="00CC5190" w14:paraId="499885AD" w14:textId="77777777">
            <w:pPr>
              <w:pStyle w:val="AmColumnHeading"/>
              <w:jc w:val="left"/>
              <w:rPr>
                <w:szCs w:val="24"/>
              </w:rPr>
            </w:pPr>
            <w:r w:rsidRPr="00BA183C">
              <w:rPr>
                <w:i w:val="0"/>
              </w:rPr>
              <w:t>15.</w:t>
            </w:r>
            <w:r w:rsidRPr="00BA183C">
              <w:rPr>
                <w:i w:val="0"/>
              </w:rPr>
              <w:tab/>
              <w:t xml:space="preserve">Where the Commission submits a proposal for the adoption of an act of the Council under Article 122 TFEU with potential appreciable implications for the Union budget, the following arrangements for a procedure of budgetary scrutiny between the European Parliament and the Council with the active assistance of the Commission </w:t>
            </w:r>
            <w:r w:rsidRPr="00BA183C">
              <w:rPr>
                <w:b/>
                <w:bCs/>
                <w:iCs/>
              </w:rPr>
              <w:t>shall</w:t>
            </w:r>
            <w:r w:rsidRPr="00BA183C">
              <w:rPr>
                <w:i w:val="0"/>
              </w:rPr>
              <w:t xml:space="preserve"> apply.</w:t>
            </w:r>
          </w:p>
        </w:tc>
      </w:tr>
    </w:tbl>
    <w:p w:rsidR="002A6758" w:rsidRPr="00BA183C" w:rsidP="002A6758" w14:paraId="56171DAE" w14:textId="77777777"/>
    <w:p w:rsidR="002A6758" w:rsidRPr="00BA183C" w:rsidP="002A6758" w14:paraId="4FDA7CA5" w14:textId="77777777">
      <w:pPr>
        <w:pStyle w:val="AmNumberTabs"/>
        <w:keepNext/>
      </w:pPr>
      <w:r w:rsidRPr="00BA183C">
        <w:t>Modification</w:t>
      </w:r>
      <w:r w:rsidRPr="00BA183C">
        <w:tab/>
      </w:r>
      <w:r w:rsidRPr="00BA183C">
        <w:tab/>
        <w:t>36</w:t>
      </w:r>
    </w:p>
    <w:p w:rsidR="002A6758" w:rsidRPr="00BA183C" w:rsidP="002A6758" w14:paraId="0BEC9704" w14:textId="77777777">
      <w:pPr>
        <w:pStyle w:val="NormalBold12b"/>
        <w:keepNext/>
      </w:pPr>
      <w:r w:rsidRPr="00BA183C">
        <w:t xml:space="preserve"> Proposal for Interinstitutional Agreement</w:t>
      </w:r>
    </w:p>
    <w:p w:rsidR="002A6758" w:rsidRPr="00BA183C" w:rsidP="002A6758" w14:paraId="0E6A3C76" w14:textId="77777777">
      <w:pPr>
        <w:pStyle w:val="NormalBold12b"/>
        <w:keepNext/>
        <w:spacing w:before="0"/>
      </w:pPr>
      <w:r w:rsidRPr="00BA183C">
        <w:t xml:space="preserve"> Part 2</w:t>
      </w:r>
    </w:p>
    <w:p w:rsidR="002A6758" w:rsidRPr="00BA183C" w:rsidP="002A6758" w14:paraId="1C9E43B3" w14:textId="77777777">
      <w:pPr>
        <w:pStyle w:val="NormalBold12b"/>
        <w:keepNext/>
        <w:spacing w:before="0"/>
      </w:pPr>
      <w:r w:rsidRPr="00BA183C">
        <w:t xml:space="preserve"> </w:t>
      </w:r>
      <w:r w:rsidRPr="00BA183C">
        <w:rPr>
          <w:b w:val="0"/>
          <w:bCs/>
        </w:rPr>
        <w:t xml:space="preserve">Section B – point 16 </w:t>
      </w:r>
    </w:p>
    <w:tbl>
      <w:tblPr>
        <w:tblW w:w="9752" w:type="dxa"/>
        <w:jc w:val="center"/>
        <w:tblLayout w:type="fixed"/>
        <w:tblCellMar>
          <w:left w:w="340" w:type="dxa"/>
          <w:right w:w="340" w:type="dxa"/>
        </w:tblCellMar>
        <w:tblLook w:val="0000"/>
      </w:tblPr>
      <w:tblGrid>
        <w:gridCol w:w="4876"/>
        <w:gridCol w:w="4876"/>
      </w:tblGrid>
      <w:tr w14:paraId="2649CACF" w14:textId="77777777" w:rsidTr="00CC5190">
        <w:tblPrEx>
          <w:tblW w:w="9752" w:type="dxa"/>
          <w:jc w:val="center"/>
          <w:tblLayout w:type="fixed"/>
          <w:tblLook w:val="0000"/>
        </w:tblPrEx>
        <w:trPr>
          <w:jc w:val="center"/>
        </w:trPr>
        <w:tc>
          <w:tcPr>
            <w:tcW w:w="9752" w:type="dxa"/>
            <w:gridSpan w:val="2"/>
          </w:tcPr>
          <w:p w:rsidR="002A6758" w:rsidRPr="00BA183C" w:rsidP="00CC5190" w14:paraId="7E97F2C7" w14:textId="77777777">
            <w:pPr>
              <w:keepNext/>
            </w:pPr>
          </w:p>
        </w:tc>
      </w:tr>
      <w:tr w14:paraId="540ACCBD" w14:textId="77777777" w:rsidTr="00CC5190">
        <w:tblPrEx>
          <w:tblW w:w="9752" w:type="dxa"/>
          <w:jc w:val="center"/>
          <w:tblLayout w:type="fixed"/>
          <w:tblLook w:val="0000"/>
        </w:tblPrEx>
        <w:trPr>
          <w:jc w:val="center"/>
        </w:trPr>
        <w:tc>
          <w:tcPr>
            <w:tcW w:w="4876" w:type="dxa"/>
          </w:tcPr>
          <w:p w:rsidR="002A6758" w:rsidRPr="00BA183C" w:rsidP="00CC5190" w14:paraId="77F62D41" w14:textId="77777777">
            <w:pPr>
              <w:pStyle w:val="AmColumnHeading"/>
              <w:keepNext/>
            </w:pPr>
            <w:r w:rsidRPr="00BA183C">
              <w:t>Text proposed by the Commission</w:t>
            </w:r>
          </w:p>
        </w:tc>
        <w:tc>
          <w:tcPr>
            <w:tcW w:w="4876" w:type="dxa"/>
          </w:tcPr>
          <w:p w:rsidR="002A6758" w:rsidRPr="00BA183C" w:rsidP="00CC5190" w14:paraId="3A331073" w14:textId="77777777">
            <w:pPr>
              <w:pStyle w:val="AmColumnHeading"/>
              <w:keepNext/>
            </w:pPr>
            <w:r w:rsidRPr="00BA183C">
              <w:t>Modification</w:t>
            </w:r>
          </w:p>
        </w:tc>
      </w:tr>
      <w:tr w14:paraId="5F497EE1" w14:textId="77777777" w:rsidTr="00CC5190">
        <w:tblPrEx>
          <w:tblW w:w="9752" w:type="dxa"/>
          <w:jc w:val="center"/>
          <w:tblLayout w:type="fixed"/>
          <w:tblLook w:val="0000"/>
        </w:tblPrEx>
        <w:trPr>
          <w:jc w:val="center"/>
        </w:trPr>
        <w:tc>
          <w:tcPr>
            <w:tcW w:w="4876" w:type="dxa"/>
          </w:tcPr>
          <w:p w:rsidR="002A6758" w:rsidRPr="00BA183C" w:rsidP="00CC5190" w14:paraId="3D5D5B02" w14:textId="77777777">
            <w:pPr>
              <w:pStyle w:val="AmColumnHeading"/>
              <w:jc w:val="left"/>
              <w:rPr>
                <w:i w:val="0"/>
                <w:iCs/>
              </w:rPr>
            </w:pPr>
            <w:r w:rsidRPr="00BA183C">
              <w:rPr>
                <w:i w:val="0"/>
                <w:iCs/>
              </w:rPr>
              <w:t>16.</w:t>
            </w:r>
            <w:r w:rsidRPr="00BA183C">
              <w:rPr>
                <w:i w:val="0"/>
                <w:iCs/>
              </w:rPr>
              <w:tab/>
              <w:t xml:space="preserve">The Commission </w:t>
            </w:r>
            <w:r w:rsidRPr="00BA183C">
              <w:rPr>
                <w:b/>
                <w:bCs/>
              </w:rPr>
              <w:t>will</w:t>
            </w:r>
            <w:r w:rsidRPr="00BA183C">
              <w:rPr>
                <w:i w:val="0"/>
                <w:iCs/>
              </w:rPr>
              <w:t xml:space="preserve"> accompany any proposal for an act of the Council under Article 122 TFEU by an assessment of the budgetary implications of the proposed legal act and </w:t>
            </w:r>
            <w:r w:rsidRPr="00BA183C">
              <w:rPr>
                <w:b/>
                <w:bCs/>
              </w:rPr>
              <w:t>will</w:t>
            </w:r>
            <w:r w:rsidRPr="00BA183C">
              <w:rPr>
                <w:i w:val="0"/>
                <w:iCs/>
              </w:rPr>
              <w:t xml:space="preserve"> indicate whether the act in question may, in its view, have appreciable implications for the Union budget. On that basis, the European Parliament and the Council may request that the procedure be initiated.</w:t>
            </w:r>
          </w:p>
          <w:p w:rsidR="002A6758" w:rsidRPr="00BA183C" w:rsidP="00CC5190" w14:paraId="4179283B" w14:textId="77777777">
            <w:pPr>
              <w:pStyle w:val="AmColumnHeading"/>
              <w:jc w:val="left"/>
              <w:rPr>
                <w:i w:val="0"/>
                <w:iCs/>
              </w:rPr>
            </w:pPr>
            <w:r w:rsidRPr="00BA183C">
              <w:rPr>
                <w:i w:val="0"/>
                <w:iCs/>
              </w:rPr>
              <w:t xml:space="preserve">The procedure </w:t>
            </w:r>
            <w:r w:rsidRPr="00BA183C">
              <w:rPr>
                <w:b/>
                <w:bCs/>
              </w:rPr>
              <w:t>will</w:t>
            </w:r>
            <w:r w:rsidRPr="00BA183C">
              <w:rPr>
                <w:i w:val="0"/>
                <w:iCs/>
              </w:rPr>
              <w:t xml:space="preserve"> take place in a Joint Committee consisting of representatives of the European Parliament and of the Council at the appropriate level. The Commission </w:t>
            </w:r>
            <w:r w:rsidRPr="00BA183C">
              <w:rPr>
                <w:b/>
                <w:bCs/>
              </w:rPr>
              <w:t>will</w:t>
            </w:r>
            <w:r w:rsidRPr="00BA183C">
              <w:rPr>
                <w:i w:val="0"/>
                <w:iCs/>
              </w:rPr>
              <w:t xml:space="preserve"> participate in the work of the Joint Committee.</w:t>
            </w:r>
          </w:p>
          <w:p w:rsidR="002A6758" w:rsidRPr="00BA183C" w:rsidP="00CC5190" w14:paraId="6009245E" w14:textId="77777777">
            <w:pPr>
              <w:pStyle w:val="AmColumnHeading"/>
              <w:spacing w:after="600"/>
              <w:jc w:val="left"/>
              <w:rPr>
                <w:i w:val="0"/>
                <w:iCs/>
              </w:rPr>
            </w:pPr>
            <w:r w:rsidRPr="00BA183C">
              <w:rPr>
                <w:i w:val="0"/>
                <w:iCs/>
              </w:rPr>
              <w:t xml:space="preserve">Without prejudice to the powers of the Council under Article 122 TFEU, the European Parliament and the Council </w:t>
            </w:r>
            <w:r w:rsidRPr="00BA183C">
              <w:rPr>
                <w:b/>
                <w:bCs/>
              </w:rPr>
              <w:t>will</w:t>
            </w:r>
            <w:r w:rsidRPr="00BA183C">
              <w:rPr>
                <w:i w:val="0"/>
                <w:iCs/>
              </w:rPr>
              <w:t xml:space="preserve"> engage in a constructive dialogue with a view to seeking a joint understanding of </w:t>
            </w:r>
            <w:r w:rsidRPr="00BA183C">
              <w:rPr>
                <w:i w:val="0"/>
                <w:iCs/>
              </w:rPr>
              <w:t>the budgetary implications of the envisaged legal act having due regard to the urgency of the matter.</w:t>
            </w:r>
          </w:p>
          <w:p w:rsidR="002A6758" w:rsidRPr="00BA183C" w:rsidP="00CC5190" w14:paraId="59C5082F" w14:textId="77777777">
            <w:pPr>
              <w:pStyle w:val="AmColumnHeading"/>
              <w:jc w:val="left"/>
              <w:rPr>
                <w:b/>
                <w:bCs/>
                <w:iCs/>
              </w:rPr>
            </w:pPr>
            <w:r w:rsidRPr="00BA183C">
              <w:rPr>
                <w:i w:val="0"/>
                <w:iCs/>
              </w:rPr>
              <w:t xml:space="preserve">The procedure </w:t>
            </w:r>
            <w:r w:rsidRPr="00BA183C">
              <w:rPr>
                <w:b/>
                <w:bCs/>
              </w:rPr>
              <w:t>should</w:t>
            </w:r>
            <w:r w:rsidRPr="00BA183C">
              <w:rPr>
                <w:i w:val="0"/>
                <w:iCs/>
              </w:rPr>
              <w:t xml:space="preserve"> take place during a period not exceeding two months, </w:t>
            </w:r>
            <w:r w:rsidRPr="00BA183C">
              <w:rPr>
                <w:b/>
                <w:bCs/>
              </w:rPr>
              <w:t>unless</w:t>
            </w:r>
            <w:r w:rsidRPr="00BA183C">
              <w:rPr>
                <w:i w:val="0"/>
                <w:iCs/>
              </w:rPr>
              <w:t xml:space="preserve"> the act in question </w:t>
            </w:r>
            <w:r w:rsidRPr="00BA183C">
              <w:rPr>
                <w:b/>
                <w:bCs/>
              </w:rPr>
              <w:t>must be</w:t>
            </w:r>
            <w:r w:rsidRPr="00BA183C">
              <w:rPr>
                <w:i w:val="0"/>
                <w:iCs/>
              </w:rPr>
              <w:t xml:space="preserve"> adopted before </w:t>
            </w:r>
            <w:r w:rsidRPr="00BA183C">
              <w:rPr>
                <w:b/>
                <w:bCs/>
              </w:rPr>
              <w:t>a specific date</w:t>
            </w:r>
            <w:r w:rsidRPr="00BA183C">
              <w:rPr>
                <w:i w:val="0"/>
                <w:iCs/>
              </w:rPr>
              <w:t xml:space="preserve"> or, </w:t>
            </w:r>
            <w:r w:rsidRPr="00BA183C">
              <w:rPr>
                <w:b/>
                <w:bCs/>
              </w:rPr>
              <w:t>if</w:t>
            </w:r>
            <w:r w:rsidRPr="00BA183C">
              <w:t xml:space="preserve"> </w:t>
            </w:r>
            <w:r w:rsidRPr="00BA183C">
              <w:rPr>
                <w:i w:val="0"/>
                <w:iCs/>
              </w:rPr>
              <w:t xml:space="preserve">the urgency of the matter so requires, </w:t>
            </w:r>
            <w:r w:rsidRPr="00BA183C">
              <w:rPr>
                <w:b/>
                <w:bCs/>
              </w:rPr>
              <w:t>within a shorter time limit fixed by the Council.</w:t>
            </w:r>
          </w:p>
        </w:tc>
        <w:tc>
          <w:tcPr>
            <w:tcW w:w="4876" w:type="dxa"/>
          </w:tcPr>
          <w:p w:rsidR="002A6758" w:rsidRPr="00BA183C" w:rsidP="00CC5190" w14:paraId="76D7CB56" w14:textId="77777777">
            <w:pPr>
              <w:pStyle w:val="AmColumnHeading"/>
              <w:jc w:val="left"/>
              <w:rPr>
                <w:i w:val="0"/>
                <w:iCs/>
              </w:rPr>
            </w:pPr>
            <w:r w:rsidRPr="00BA183C">
              <w:rPr>
                <w:i w:val="0"/>
                <w:iCs/>
              </w:rPr>
              <w:t>16.</w:t>
            </w:r>
            <w:r w:rsidRPr="00BA183C">
              <w:rPr>
                <w:i w:val="0"/>
                <w:iCs/>
              </w:rPr>
              <w:tab/>
              <w:t xml:space="preserve">The Commission </w:t>
            </w:r>
            <w:r w:rsidRPr="00BA183C">
              <w:rPr>
                <w:b/>
                <w:bCs/>
              </w:rPr>
              <w:t>shall</w:t>
            </w:r>
            <w:r w:rsidRPr="00BA183C">
              <w:rPr>
                <w:i w:val="0"/>
                <w:iCs/>
              </w:rPr>
              <w:t xml:space="preserve"> accompany any proposal for an act of the Council under Article 122 TFEU by an assessment of the budgetary implications of the proposed legal act and </w:t>
            </w:r>
            <w:r w:rsidRPr="00BA183C">
              <w:rPr>
                <w:b/>
                <w:bCs/>
              </w:rPr>
              <w:t>shall</w:t>
            </w:r>
            <w:r w:rsidRPr="00BA183C">
              <w:rPr>
                <w:i w:val="0"/>
                <w:iCs/>
              </w:rPr>
              <w:t xml:space="preserve"> indicate whether the act in question may, in its view, have appreciable implications for the Union budget. On that basis, the European Parliament and the Council may request that the procedure be initiated.</w:t>
            </w:r>
          </w:p>
          <w:p w:rsidR="002A6758" w:rsidRPr="00BA183C" w:rsidP="00CC5190" w14:paraId="4FA0A165" w14:textId="77777777">
            <w:pPr>
              <w:pStyle w:val="AmColumnHeading"/>
              <w:jc w:val="left"/>
              <w:rPr>
                <w:i w:val="0"/>
                <w:iCs/>
              </w:rPr>
            </w:pPr>
            <w:r w:rsidRPr="00BA183C">
              <w:rPr>
                <w:i w:val="0"/>
                <w:iCs/>
              </w:rPr>
              <w:t xml:space="preserve">The procedure </w:t>
            </w:r>
            <w:r w:rsidRPr="00BA183C">
              <w:rPr>
                <w:b/>
                <w:bCs/>
              </w:rPr>
              <w:t xml:space="preserve">shall </w:t>
            </w:r>
            <w:r w:rsidRPr="00BA183C">
              <w:rPr>
                <w:i w:val="0"/>
                <w:iCs/>
              </w:rPr>
              <w:t xml:space="preserve">take place in a Joint Committee consisting of representatives of the European Parliament and of the Council at the appropriate level. The Commission </w:t>
            </w:r>
            <w:r w:rsidRPr="00BA183C">
              <w:rPr>
                <w:b/>
                <w:bCs/>
              </w:rPr>
              <w:t>shall</w:t>
            </w:r>
            <w:r w:rsidRPr="00BA183C">
              <w:rPr>
                <w:i w:val="0"/>
                <w:iCs/>
              </w:rPr>
              <w:t xml:space="preserve"> participate in the work of the Joint Committee.</w:t>
            </w:r>
          </w:p>
          <w:p w:rsidR="002A6758" w:rsidRPr="00BA183C" w:rsidP="00CC5190" w14:paraId="605C82F8" w14:textId="77777777">
            <w:pPr>
              <w:pStyle w:val="AmColumnHeading"/>
              <w:jc w:val="left"/>
              <w:rPr>
                <w:i w:val="0"/>
                <w:iCs/>
              </w:rPr>
            </w:pPr>
            <w:r w:rsidRPr="00BA183C">
              <w:rPr>
                <w:i w:val="0"/>
                <w:iCs/>
              </w:rPr>
              <w:t>Without prejudice to the powers of the Council under Article 122 TFEU, the European Parliament and the Council</w:t>
            </w:r>
            <w:r w:rsidRPr="00BA183C">
              <w:t xml:space="preserve"> </w:t>
            </w:r>
            <w:r w:rsidRPr="00BA183C">
              <w:rPr>
                <w:b/>
                <w:bCs/>
              </w:rPr>
              <w:t>shall</w:t>
            </w:r>
            <w:r w:rsidRPr="00BA183C">
              <w:rPr>
                <w:i w:val="0"/>
                <w:iCs/>
              </w:rPr>
              <w:t xml:space="preserve"> engage in a constructive dialogue with a view to seeking a joint </w:t>
            </w:r>
            <w:r w:rsidRPr="00BA183C">
              <w:rPr>
                <w:b/>
                <w:bCs/>
              </w:rPr>
              <w:t xml:space="preserve">written </w:t>
            </w:r>
            <w:r w:rsidRPr="00BA183C">
              <w:rPr>
                <w:i w:val="0"/>
                <w:iCs/>
              </w:rPr>
              <w:t>understanding of the budgetary implications of the envisaged legal act having due regard to the urgency of the matter.</w:t>
            </w:r>
          </w:p>
          <w:p w:rsidR="002A6758" w:rsidRPr="00BA183C" w:rsidP="00CC5190" w14:paraId="581957C8" w14:textId="77777777">
            <w:pPr>
              <w:pStyle w:val="AmColumnHeading"/>
              <w:jc w:val="left"/>
              <w:rPr>
                <w:szCs w:val="24"/>
              </w:rPr>
            </w:pPr>
            <w:r w:rsidRPr="00BA183C">
              <w:rPr>
                <w:i w:val="0"/>
                <w:iCs/>
              </w:rPr>
              <w:t xml:space="preserve">The procedure </w:t>
            </w:r>
            <w:r w:rsidRPr="00BA183C">
              <w:rPr>
                <w:b/>
                <w:bCs/>
              </w:rPr>
              <w:t>shall</w:t>
            </w:r>
            <w:r w:rsidRPr="00BA183C">
              <w:t xml:space="preserve"> </w:t>
            </w:r>
            <w:r w:rsidRPr="00BA183C">
              <w:rPr>
                <w:i w:val="0"/>
                <w:iCs/>
              </w:rPr>
              <w:t>take place during a period not exceeding two months</w:t>
            </w:r>
            <w:r w:rsidRPr="00BA183C">
              <w:rPr>
                <w:b/>
                <w:bCs/>
                <w:i w:val="0"/>
                <w:iCs/>
              </w:rPr>
              <w:t xml:space="preserve"> </w:t>
            </w:r>
            <w:r w:rsidRPr="00BA183C">
              <w:rPr>
                <w:b/>
                <w:bCs/>
              </w:rPr>
              <w:t xml:space="preserve">from the date on which it is initiated. Where it is necessary for </w:t>
            </w:r>
            <w:r w:rsidRPr="00BA183C">
              <w:rPr>
                <w:i w:val="0"/>
                <w:iCs/>
              </w:rPr>
              <w:t xml:space="preserve">the act in question </w:t>
            </w:r>
            <w:r w:rsidRPr="00BA183C">
              <w:rPr>
                <w:b/>
                <w:bCs/>
                <w:i w:val="0"/>
                <w:iCs/>
              </w:rPr>
              <w:t>to</w:t>
            </w:r>
            <w:r w:rsidRPr="00BA183C">
              <w:rPr>
                <w:i w:val="0"/>
                <w:iCs/>
              </w:rPr>
              <w:t xml:space="preserve"> be adopted before </w:t>
            </w:r>
            <w:r w:rsidRPr="00BA183C">
              <w:rPr>
                <w:b/>
                <w:bCs/>
              </w:rPr>
              <w:t>the end of that two-month period</w:t>
            </w:r>
            <w:r w:rsidRPr="00BA183C">
              <w:t xml:space="preserve"> </w:t>
            </w:r>
            <w:r w:rsidRPr="00BA183C">
              <w:rPr>
                <w:i w:val="0"/>
                <w:iCs/>
              </w:rPr>
              <w:t xml:space="preserve">or </w:t>
            </w:r>
            <w:r w:rsidRPr="00BA183C">
              <w:rPr>
                <w:b/>
                <w:bCs/>
              </w:rPr>
              <w:t>where</w:t>
            </w:r>
            <w:r w:rsidRPr="00BA183C">
              <w:t xml:space="preserve"> </w:t>
            </w:r>
            <w:r w:rsidRPr="00BA183C">
              <w:rPr>
                <w:i w:val="0"/>
                <w:iCs/>
              </w:rPr>
              <w:t xml:space="preserve">the urgency of the matter so requires, </w:t>
            </w:r>
            <w:r w:rsidRPr="00BA183C">
              <w:rPr>
                <w:b/>
                <w:bCs/>
              </w:rPr>
              <w:t xml:space="preserve">the European Parliament and the Council may shorten that </w:t>
            </w:r>
            <w:r w:rsidRPr="00BA183C">
              <w:rPr>
                <w:b/>
              </w:rPr>
              <w:t>period by common agreement</w:t>
            </w:r>
            <w:r w:rsidRPr="00BA183C">
              <w:t>.</w:t>
            </w:r>
          </w:p>
        </w:tc>
      </w:tr>
    </w:tbl>
    <w:p w:rsidR="002A6758" w:rsidRPr="00BA183C" w:rsidP="002A6758" w14:paraId="219554CF" w14:textId="77777777"/>
    <w:p w:rsidR="002A6758" w:rsidRPr="00BA183C" w:rsidP="002A6758" w14:paraId="78E33F38" w14:textId="77777777">
      <w:pPr>
        <w:pStyle w:val="AmNumberTabs"/>
        <w:keepNext/>
      </w:pPr>
      <w:r w:rsidRPr="00BA183C">
        <w:t>Modification</w:t>
      </w:r>
      <w:r w:rsidRPr="00BA183C">
        <w:tab/>
      </w:r>
      <w:r w:rsidRPr="00BA183C">
        <w:tab/>
        <w:t>37</w:t>
      </w:r>
    </w:p>
    <w:p w:rsidR="002A6758" w:rsidRPr="00BA183C" w:rsidP="002A6758" w14:paraId="40FD461F" w14:textId="77777777">
      <w:pPr>
        <w:pStyle w:val="NormalBold12b"/>
        <w:keepNext/>
      </w:pPr>
      <w:r w:rsidRPr="00BA183C">
        <w:t xml:space="preserve"> Proposal for Interinstitutional Agreement</w:t>
      </w:r>
    </w:p>
    <w:p w:rsidR="002A6758" w:rsidRPr="00BA183C" w:rsidP="002A6758" w14:paraId="4F77F9FD" w14:textId="77777777">
      <w:pPr>
        <w:pStyle w:val="NormalBold12b"/>
        <w:keepNext/>
        <w:spacing w:before="0"/>
      </w:pPr>
      <w:r w:rsidRPr="00BA183C">
        <w:t xml:space="preserve"> Part 3</w:t>
      </w:r>
    </w:p>
    <w:p w:rsidR="002A6758" w:rsidRPr="00BA183C" w:rsidP="002A6758" w14:paraId="48BE39DF" w14:textId="77777777">
      <w:pPr>
        <w:pStyle w:val="NormalBold12b"/>
        <w:keepNext/>
        <w:spacing w:before="0"/>
      </w:pPr>
      <w:r w:rsidRPr="00BA183C">
        <w:t xml:space="preserve"> </w:t>
      </w:r>
      <w:r w:rsidRPr="00BA183C">
        <w:rPr>
          <w:b w:val="0"/>
          <w:bCs/>
        </w:rPr>
        <w:t>Section A – title</w:t>
      </w:r>
    </w:p>
    <w:tbl>
      <w:tblPr>
        <w:tblW w:w="9752" w:type="dxa"/>
        <w:jc w:val="center"/>
        <w:tblLayout w:type="fixed"/>
        <w:tblCellMar>
          <w:left w:w="340" w:type="dxa"/>
          <w:right w:w="340" w:type="dxa"/>
        </w:tblCellMar>
        <w:tblLook w:val="0000"/>
      </w:tblPr>
      <w:tblGrid>
        <w:gridCol w:w="4876"/>
        <w:gridCol w:w="4876"/>
      </w:tblGrid>
      <w:tr w14:paraId="70750FFB" w14:textId="77777777" w:rsidTr="00CC5190">
        <w:tblPrEx>
          <w:tblW w:w="9752" w:type="dxa"/>
          <w:jc w:val="center"/>
          <w:tblLayout w:type="fixed"/>
          <w:tblLook w:val="0000"/>
        </w:tblPrEx>
        <w:trPr>
          <w:jc w:val="center"/>
        </w:trPr>
        <w:tc>
          <w:tcPr>
            <w:tcW w:w="9752" w:type="dxa"/>
            <w:gridSpan w:val="2"/>
          </w:tcPr>
          <w:p w:rsidR="002A6758" w:rsidRPr="00BA183C" w:rsidP="00CC5190" w14:paraId="44BF0D7B" w14:textId="77777777">
            <w:pPr>
              <w:keepNext/>
            </w:pPr>
          </w:p>
        </w:tc>
      </w:tr>
      <w:tr w14:paraId="77A44A38" w14:textId="77777777" w:rsidTr="00CC5190">
        <w:tblPrEx>
          <w:tblW w:w="9752" w:type="dxa"/>
          <w:jc w:val="center"/>
          <w:tblLayout w:type="fixed"/>
          <w:tblLook w:val="0000"/>
        </w:tblPrEx>
        <w:trPr>
          <w:jc w:val="center"/>
        </w:trPr>
        <w:tc>
          <w:tcPr>
            <w:tcW w:w="4876" w:type="dxa"/>
          </w:tcPr>
          <w:p w:rsidR="002A6758" w:rsidRPr="00BA183C" w:rsidP="00CC5190" w14:paraId="55F30A64" w14:textId="77777777">
            <w:pPr>
              <w:pStyle w:val="AmColumnHeading"/>
              <w:keepNext/>
            </w:pPr>
            <w:r w:rsidRPr="00BA183C">
              <w:t>Text proposed by the Commission</w:t>
            </w:r>
          </w:p>
        </w:tc>
        <w:tc>
          <w:tcPr>
            <w:tcW w:w="4876" w:type="dxa"/>
          </w:tcPr>
          <w:p w:rsidR="002A6758" w:rsidRPr="00BA183C" w:rsidP="00CC5190" w14:paraId="67E2820E" w14:textId="77777777">
            <w:pPr>
              <w:pStyle w:val="AmColumnHeading"/>
              <w:keepNext/>
            </w:pPr>
            <w:r w:rsidRPr="00BA183C">
              <w:t>Modification</w:t>
            </w:r>
          </w:p>
        </w:tc>
      </w:tr>
      <w:tr w14:paraId="1C63A375" w14:textId="77777777" w:rsidTr="00CC5190">
        <w:tblPrEx>
          <w:tblW w:w="9752" w:type="dxa"/>
          <w:jc w:val="center"/>
          <w:tblLayout w:type="fixed"/>
          <w:tblLook w:val="0000"/>
        </w:tblPrEx>
        <w:trPr>
          <w:jc w:val="center"/>
        </w:trPr>
        <w:tc>
          <w:tcPr>
            <w:tcW w:w="4876" w:type="dxa"/>
          </w:tcPr>
          <w:p w:rsidR="002A6758" w:rsidRPr="0012486E" w:rsidP="00CC5190" w14:paraId="74C03F33" w14:textId="77777777">
            <w:pPr>
              <w:pStyle w:val="AmColumnHeading"/>
              <w:jc w:val="left"/>
              <w:rPr>
                <w:b/>
                <w:bCs/>
                <w:iCs/>
                <w:lang w:val="fr-BE"/>
              </w:rPr>
            </w:pPr>
            <w:r w:rsidRPr="0012486E">
              <w:rPr>
                <w:i w:val="0"/>
                <w:iCs/>
                <w:lang w:val="fr-BE"/>
              </w:rPr>
              <w:t xml:space="preserve">A. BUDGET IMPLEMENTATION, PAYMENTS </w:t>
            </w:r>
            <w:r w:rsidRPr="0012486E">
              <w:rPr>
                <w:b/>
                <w:bCs/>
                <w:lang w:val="fr-BE"/>
              </w:rPr>
              <w:t>AND</w:t>
            </w:r>
            <w:r w:rsidRPr="0012486E">
              <w:rPr>
                <w:i w:val="0"/>
                <w:iCs/>
                <w:lang w:val="fr-BE"/>
              </w:rPr>
              <w:t xml:space="preserve"> RESTE À LIQUIDER (RAL)</w:t>
            </w:r>
          </w:p>
        </w:tc>
        <w:tc>
          <w:tcPr>
            <w:tcW w:w="4876" w:type="dxa"/>
          </w:tcPr>
          <w:p w:rsidR="002A6758" w:rsidRPr="0012486E" w:rsidP="00CC5190" w14:paraId="0E458749" w14:textId="77777777">
            <w:pPr>
              <w:pStyle w:val="AmColumnHeading"/>
              <w:jc w:val="left"/>
              <w:rPr>
                <w:szCs w:val="24"/>
                <w:lang w:val="fr-BE"/>
              </w:rPr>
            </w:pPr>
            <w:r w:rsidRPr="0012486E">
              <w:rPr>
                <w:i w:val="0"/>
                <w:iCs/>
                <w:lang w:val="fr-BE"/>
              </w:rPr>
              <w:t>A. BUDGET IMPLEMENTATION, PAYMENTS</w:t>
            </w:r>
            <w:r w:rsidRPr="0012486E">
              <w:rPr>
                <w:b/>
                <w:bCs/>
                <w:lang w:val="fr-BE"/>
              </w:rPr>
              <w:t>,</w:t>
            </w:r>
            <w:r w:rsidRPr="0012486E">
              <w:rPr>
                <w:i w:val="0"/>
                <w:iCs/>
                <w:lang w:val="fr-BE"/>
              </w:rPr>
              <w:t xml:space="preserve"> RESTE À LIQUIDER (RAL)</w:t>
            </w:r>
            <w:r w:rsidRPr="0012486E">
              <w:rPr>
                <w:lang w:val="fr-BE"/>
              </w:rPr>
              <w:t xml:space="preserve"> </w:t>
            </w:r>
            <w:r w:rsidRPr="0012486E">
              <w:rPr>
                <w:b/>
                <w:bCs/>
                <w:lang w:val="fr-BE"/>
              </w:rPr>
              <w:t>AND CONTINGENT LIABILITIES</w:t>
            </w:r>
          </w:p>
        </w:tc>
      </w:tr>
    </w:tbl>
    <w:p w:rsidR="002A6758" w:rsidRPr="0012486E" w:rsidP="002A6758" w14:paraId="3582923A" w14:textId="77777777">
      <w:pPr>
        <w:rPr>
          <w:lang w:val="fr-BE"/>
        </w:rPr>
      </w:pPr>
    </w:p>
    <w:p w:rsidR="002A6758" w:rsidRPr="00BA183C" w:rsidP="002A6758" w14:paraId="6D3082ED" w14:textId="77777777">
      <w:pPr>
        <w:pStyle w:val="AmNumberTabs"/>
        <w:keepNext/>
      </w:pPr>
      <w:r w:rsidRPr="00BA183C">
        <w:t>Modification</w:t>
      </w:r>
      <w:r w:rsidRPr="00BA183C">
        <w:tab/>
      </w:r>
      <w:r w:rsidRPr="00BA183C">
        <w:tab/>
        <w:t>38</w:t>
      </w:r>
    </w:p>
    <w:p w:rsidR="002A6758" w:rsidRPr="00BA183C" w:rsidP="002A6758" w14:paraId="791B9F5A" w14:textId="77777777">
      <w:pPr>
        <w:pStyle w:val="NormalBold12b"/>
        <w:keepNext/>
      </w:pPr>
      <w:r w:rsidRPr="00BA183C">
        <w:t xml:space="preserve"> Proposal for Interinstitutional Agreement</w:t>
      </w:r>
    </w:p>
    <w:p w:rsidR="002A6758" w:rsidRPr="00BA183C" w:rsidP="002A6758" w14:paraId="33BD3735" w14:textId="77777777">
      <w:pPr>
        <w:pStyle w:val="NormalBold12b"/>
        <w:keepNext/>
        <w:spacing w:before="0"/>
      </w:pPr>
      <w:r w:rsidRPr="00BA183C">
        <w:t xml:space="preserve"> Part 3</w:t>
      </w:r>
    </w:p>
    <w:p w:rsidR="002A6758" w:rsidRPr="00BA183C" w:rsidP="002A6758" w14:paraId="7CFBBB4D" w14:textId="77777777">
      <w:pPr>
        <w:pStyle w:val="NormalBold12b"/>
        <w:keepNext/>
        <w:spacing w:before="0"/>
      </w:pPr>
      <w:r w:rsidRPr="00BA183C">
        <w:t xml:space="preserve"> </w:t>
      </w:r>
      <w:r w:rsidRPr="00BA183C">
        <w:rPr>
          <w:b w:val="0"/>
          <w:bCs/>
        </w:rPr>
        <w:t xml:space="preserve">Section A – point 19 </w:t>
      </w:r>
    </w:p>
    <w:tbl>
      <w:tblPr>
        <w:tblW w:w="9752" w:type="dxa"/>
        <w:jc w:val="center"/>
        <w:tblLayout w:type="fixed"/>
        <w:tblCellMar>
          <w:left w:w="340" w:type="dxa"/>
          <w:right w:w="340" w:type="dxa"/>
        </w:tblCellMar>
        <w:tblLook w:val="0000"/>
      </w:tblPr>
      <w:tblGrid>
        <w:gridCol w:w="4876"/>
        <w:gridCol w:w="4876"/>
      </w:tblGrid>
      <w:tr w14:paraId="150F3D9D" w14:textId="77777777" w:rsidTr="00CC5190">
        <w:tblPrEx>
          <w:tblW w:w="9752" w:type="dxa"/>
          <w:jc w:val="center"/>
          <w:tblLayout w:type="fixed"/>
          <w:tblLook w:val="0000"/>
        </w:tblPrEx>
        <w:trPr>
          <w:jc w:val="center"/>
        </w:trPr>
        <w:tc>
          <w:tcPr>
            <w:tcW w:w="9752" w:type="dxa"/>
            <w:gridSpan w:val="2"/>
          </w:tcPr>
          <w:p w:rsidR="002A6758" w:rsidRPr="00BA183C" w:rsidP="00CC5190" w14:paraId="604D6B03" w14:textId="77777777">
            <w:pPr>
              <w:keepNext/>
            </w:pPr>
          </w:p>
        </w:tc>
      </w:tr>
      <w:tr w14:paraId="014EF71B" w14:textId="77777777" w:rsidTr="00CC5190">
        <w:tblPrEx>
          <w:tblW w:w="9752" w:type="dxa"/>
          <w:jc w:val="center"/>
          <w:tblLayout w:type="fixed"/>
          <w:tblLook w:val="0000"/>
        </w:tblPrEx>
        <w:trPr>
          <w:jc w:val="center"/>
        </w:trPr>
        <w:tc>
          <w:tcPr>
            <w:tcW w:w="4876" w:type="dxa"/>
          </w:tcPr>
          <w:p w:rsidR="002A6758" w:rsidRPr="00BA183C" w:rsidP="00CC5190" w14:paraId="04BB7C9E" w14:textId="77777777">
            <w:pPr>
              <w:pStyle w:val="AmColumnHeading"/>
              <w:keepNext/>
            </w:pPr>
            <w:r w:rsidRPr="00BA183C">
              <w:t>Text proposed by the Commission</w:t>
            </w:r>
          </w:p>
        </w:tc>
        <w:tc>
          <w:tcPr>
            <w:tcW w:w="4876" w:type="dxa"/>
          </w:tcPr>
          <w:p w:rsidR="002A6758" w:rsidRPr="00BA183C" w:rsidP="00CC5190" w14:paraId="27A85EF0" w14:textId="77777777">
            <w:pPr>
              <w:pStyle w:val="AmColumnHeading"/>
              <w:keepNext/>
            </w:pPr>
            <w:r w:rsidRPr="00BA183C">
              <w:t>Modification</w:t>
            </w:r>
          </w:p>
        </w:tc>
      </w:tr>
      <w:tr w14:paraId="259C6841" w14:textId="77777777" w:rsidTr="00CC5190">
        <w:tblPrEx>
          <w:tblW w:w="9752" w:type="dxa"/>
          <w:jc w:val="center"/>
          <w:tblLayout w:type="fixed"/>
          <w:tblLook w:val="0000"/>
        </w:tblPrEx>
        <w:trPr>
          <w:jc w:val="center"/>
        </w:trPr>
        <w:tc>
          <w:tcPr>
            <w:tcW w:w="4876" w:type="dxa"/>
          </w:tcPr>
          <w:p w:rsidR="002A6758" w:rsidRPr="00BA183C" w:rsidP="00CC5190" w14:paraId="4D6A7916" w14:textId="77777777">
            <w:pPr>
              <w:pStyle w:val="AmColumnHeading"/>
              <w:jc w:val="left"/>
              <w:rPr>
                <w:iCs/>
              </w:rPr>
            </w:pPr>
            <w:r w:rsidRPr="00BA183C">
              <w:rPr>
                <w:i w:val="0"/>
              </w:rPr>
              <w:t>19.</w:t>
            </w:r>
            <w:r w:rsidRPr="00BA183C">
              <w:rPr>
                <w:iCs/>
              </w:rPr>
              <w:tab/>
            </w:r>
            <w:r w:rsidRPr="00BA183C">
              <w:rPr>
                <w:b/>
                <w:bCs/>
                <w:iCs/>
              </w:rPr>
              <w:t>Given the need to ensure</w:t>
            </w:r>
            <w:r w:rsidRPr="00BA183C">
              <w:rPr>
                <w:iCs/>
              </w:rPr>
              <w:t xml:space="preserve"> </w:t>
            </w:r>
            <w:r w:rsidRPr="00BA183C">
              <w:rPr>
                <w:i w:val="0"/>
              </w:rPr>
              <w:t>an orderly progression of the total appropriations for payments in relation to the appropriations for commitments so as to avoid any abnormal shift of outstanding commitments (RAL), the Institutions agree to monitor closely the payment forecasts and the level of the RAL</w:t>
            </w:r>
            <w:r w:rsidRPr="00BA183C">
              <w:rPr>
                <w:iCs/>
              </w:rPr>
              <w:t xml:space="preserve"> </w:t>
            </w:r>
            <w:r w:rsidRPr="00BA183C">
              <w:rPr>
                <w:b/>
                <w:bCs/>
                <w:iCs/>
              </w:rPr>
              <w:t>so as to mitigate the risk of hampering the implementation of Union programmes because of a lack of payment appropriations at the end of the MFF</w:t>
            </w:r>
            <w:r w:rsidRPr="00BA183C">
              <w:rPr>
                <w:iCs/>
              </w:rPr>
              <w:t>.</w:t>
            </w:r>
          </w:p>
          <w:p w:rsidR="002A6758" w:rsidRPr="00BA183C" w:rsidP="00CC5190" w14:paraId="08B41644" w14:textId="77777777">
            <w:pPr>
              <w:pStyle w:val="AmColumnHeading"/>
              <w:jc w:val="left"/>
              <w:rPr>
                <w:iCs/>
              </w:rPr>
            </w:pPr>
          </w:p>
          <w:p w:rsidR="002A6758" w:rsidRPr="00BA183C" w:rsidP="00CC5190" w14:paraId="7FC6E266" w14:textId="77777777">
            <w:pPr>
              <w:pStyle w:val="AmColumnHeading"/>
              <w:spacing w:after="840"/>
              <w:jc w:val="left"/>
              <w:rPr>
                <w:b/>
                <w:bCs/>
                <w:iCs/>
              </w:rPr>
            </w:pPr>
          </w:p>
          <w:p w:rsidR="002A6758" w:rsidRPr="00BA183C" w:rsidP="00CC5190" w14:paraId="0BE87000" w14:textId="77777777">
            <w:pPr>
              <w:pStyle w:val="AmColumnHeading"/>
              <w:jc w:val="left"/>
              <w:rPr>
                <w:b/>
                <w:bCs/>
                <w:i w:val="0"/>
              </w:rPr>
            </w:pPr>
            <w:r w:rsidRPr="00BA183C">
              <w:rPr>
                <w:i w:val="0"/>
              </w:rPr>
              <w:t>In the course of</w:t>
            </w:r>
            <w:r w:rsidRPr="00BA183C">
              <w:rPr>
                <w:i w:val="0"/>
              </w:rPr>
              <w:t xml:space="preserve"> the budgetary procedure, the Institutions shall meet regularly with a view to jointly assessing the state of play and the outlook for budgetary implementation in the current and future financial years. That assessment shall take the form of dedicated interinstitutional meetings at the appropriate level, before which the Commission shall provide, </w:t>
            </w:r>
            <w:r w:rsidRPr="00BA183C">
              <w:rPr>
                <w:b/>
                <w:bCs/>
                <w:iCs/>
              </w:rPr>
              <w:t>as appropriate,</w:t>
            </w:r>
            <w:r w:rsidRPr="00BA183C">
              <w:rPr>
                <w:b/>
                <w:bCs/>
                <w:i w:val="0"/>
              </w:rPr>
              <w:t xml:space="preserve"> </w:t>
            </w:r>
            <w:r w:rsidRPr="00BA183C">
              <w:rPr>
                <w:i w:val="0"/>
              </w:rPr>
              <w:t xml:space="preserve">a detailed state of play on payment implementation, on payment claims received and revised forecasts, including long-term forecasts, where applicable, as well as </w:t>
            </w:r>
            <w:r w:rsidRPr="00BA183C">
              <w:rPr>
                <w:b/>
                <w:bCs/>
                <w:iCs/>
              </w:rPr>
              <w:t>relevant</w:t>
            </w:r>
            <w:r w:rsidRPr="00BA183C">
              <w:rPr>
                <w:iCs/>
              </w:rPr>
              <w:t xml:space="preserve"> </w:t>
            </w:r>
            <w:r w:rsidRPr="00BA183C">
              <w:rPr>
                <w:i w:val="0"/>
              </w:rPr>
              <w:t>information on contingent liabilities.</w:t>
            </w:r>
          </w:p>
        </w:tc>
        <w:tc>
          <w:tcPr>
            <w:tcW w:w="4876" w:type="dxa"/>
          </w:tcPr>
          <w:p w:rsidR="002A6758" w:rsidRPr="00BA183C" w:rsidP="00CC5190" w14:paraId="6F1D56BC" w14:textId="77777777">
            <w:pPr>
              <w:pStyle w:val="AmColumnHeading"/>
              <w:jc w:val="left"/>
              <w:rPr>
                <w:szCs w:val="24"/>
              </w:rPr>
            </w:pPr>
            <w:r w:rsidRPr="00BA183C">
              <w:rPr>
                <w:i w:val="0"/>
                <w:iCs/>
                <w:szCs w:val="24"/>
              </w:rPr>
              <w:t>19</w:t>
            </w:r>
            <w:r w:rsidRPr="00BA183C">
              <w:rPr>
                <w:szCs w:val="24"/>
              </w:rPr>
              <w:t>.</w:t>
            </w:r>
            <w:r w:rsidRPr="00BA183C">
              <w:rPr>
                <w:szCs w:val="24"/>
              </w:rPr>
              <w:tab/>
            </w:r>
            <w:r w:rsidRPr="00BA183C">
              <w:rPr>
                <w:b/>
                <w:bCs/>
                <w:iCs/>
                <w:szCs w:val="24"/>
              </w:rPr>
              <w:t>In order to ensure that the Union is able to fulfil its financial obligations stemming from existing and future commitments in accordance with Article 323 TFEU and with a view to ensuring</w:t>
            </w:r>
            <w:r w:rsidRPr="00BA183C">
              <w:rPr>
                <w:szCs w:val="24"/>
              </w:rPr>
              <w:t xml:space="preserve"> </w:t>
            </w:r>
            <w:r w:rsidRPr="00BA183C">
              <w:rPr>
                <w:i w:val="0"/>
                <w:iCs/>
                <w:szCs w:val="24"/>
              </w:rPr>
              <w:t xml:space="preserve">an orderly progression of the total appropriations for payments in relation to the appropriations for commitments so as to avoid any abnormal shift of outstanding commitments (RAL), the Institutions agree to monitor closely </w:t>
            </w:r>
            <w:r w:rsidRPr="00BA183C">
              <w:rPr>
                <w:b/>
                <w:bCs/>
                <w:iCs/>
                <w:szCs w:val="24"/>
              </w:rPr>
              <w:t xml:space="preserve">borrowing and lending operations and contingent liabilities and, </w:t>
            </w:r>
            <w:r w:rsidRPr="00BA183C">
              <w:rPr>
                <w:b/>
                <w:bCs/>
                <w:iCs/>
                <w:szCs w:val="24"/>
              </w:rPr>
              <w:t>so as to mitigate the risk of hampering the implementation of Union programmes because of a lack of payment appropriations at the end of the MFF,</w:t>
            </w:r>
            <w:r w:rsidRPr="00BA183C">
              <w:rPr>
                <w:b/>
                <w:bCs/>
                <w:i w:val="0"/>
                <w:iCs/>
                <w:szCs w:val="24"/>
              </w:rPr>
              <w:t xml:space="preserve"> </w:t>
            </w:r>
            <w:r w:rsidRPr="00BA183C">
              <w:rPr>
                <w:i w:val="0"/>
                <w:iCs/>
                <w:szCs w:val="24"/>
              </w:rPr>
              <w:t>the payment forecasts and the level of the RAL.</w:t>
            </w:r>
          </w:p>
          <w:p w:rsidR="002A6758" w:rsidRPr="00BA183C" w:rsidP="00CC5190" w14:paraId="539566FA" w14:textId="77777777">
            <w:pPr>
              <w:pStyle w:val="AmColumnHeading"/>
              <w:jc w:val="left"/>
              <w:rPr>
                <w:i w:val="0"/>
                <w:szCs w:val="24"/>
              </w:rPr>
            </w:pPr>
            <w:r w:rsidRPr="00BA183C">
              <w:rPr>
                <w:i w:val="0"/>
                <w:szCs w:val="24"/>
              </w:rPr>
              <w:t>In the course of</w:t>
            </w:r>
            <w:r w:rsidRPr="00BA183C">
              <w:rPr>
                <w:i w:val="0"/>
                <w:szCs w:val="24"/>
              </w:rPr>
              <w:t xml:space="preserve"> the budgetary procedure, the Institutions shall meet regularly with a view to jointly assessing the state of play and the outlook for </w:t>
            </w:r>
            <w:r w:rsidRPr="00BA183C">
              <w:rPr>
                <w:b/>
                <w:bCs/>
                <w:szCs w:val="24"/>
              </w:rPr>
              <w:t>borrowing and lending and contingent liabilities and</w:t>
            </w:r>
            <w:r w:rsidRPr="00BA183C">
              <w:rPr>
                <w:b/>
                <w:bCs/>
                <w:i w:val="0"/>
                <w:szCs w:val="24"/>
              </w:rPr>
              <w:t xml:space="preserve"> </w:t>
            </w:r>
            <w:r w:rsidRPr="00BA183C">
              <w:rPr>
                <w:i w:val="0"/>
                <w:szCs w:val="24"/>
              </w:rPr>
              <w:t xml:space="preserve">budgetary implementation in the current and future financial years. That assessment shall take the form of dedicated interinstitutional meetings at the appropriate level, before which the Commission shall provide, a detailed state of play on payment implementation, </w:t>
            </w:r>
            <w:r w:rsidRPr="00BA183C">
              <w:rPr>
                <w:b/>
                <w:bCs/>
                <w:szCs w:val="24"/>
              </w:rPr>
              <w:t xml:space="preserve">on transfers, </w:t>
            </w:r>
            <w:r w:rsidRPr="00BA183C">
              <w:rPr>
                <w:i w:val="0"/>
                <w:szCs w:val="24"/>
              </w:rPr>
              <w:t>on payment claims received and revised forecasts, including long-term forecasts, where applicable, as well as</w:t>
            </w:r>
            <w:r w:rsidRPr="00BA183C">
              <w:rPr>
                <w:szCs w:val="24"/>
              </w:rPr>
              <w:t xml:space="preserve"> </w:t>
            </w:r>
            <w:r w:rsidRPr="00BA183C">
              <w:rPr>
                <w:b/>
                <w:bCs/>
                <w:szCs w:val="24"/>
              </w:rPr>
              <w:t>full</w:t>
            </w:r>
            <w:r w:rsidRPr="00BA183C">
              <w:rPr>
                <w:szCs w:val="24"/>
              </w:rPr>
              <w:t xml:space="preserve"> </w:t>
            </w:r>
            <w:r w:rsidRPr="00BA183C">
              <w:rPr>
                <w:i w:val="0"/>
                <w:szCs w:val="24"/>
              </w:rPr>
              <w:t xml:space="preserve">information on contingent liabilities </w:t>
            </w:r>
            <w:r w:rsidRPr="00BA183C">
              <w:rPr>
                <w:b/>
                <w:bCs/>
                <w:szCs w:val="24"/>
              </w:rPr>
              <w:t xml:space="preserve">and the corresponding budgetary cover, including long-term forecasts, </w:t>
            </w:r>
            <w:r w:rsidRPr="00BA183C">
              <w:rPr>
                <w:b/>
                <w:szCs w:val="24"/>
              </w:rPr>
              <w:t>methodologies</w:t>
            </w:r>
            <w:r w:rsidRPr="00BA183C">
              <w:rPr>
                <w:b/>
                <w:bCs/>
                <w:szCs w:val="24"/>
              </w:rPr>
              <w:t>, and updates on borrowing and lending.</w:t>
            </w:r>
          </w:p>
        </w:tc>
      </w:tr>
    </w:tbl>
    <w:p w:rsidR="002A6758" w:rsidRPr="00BA183C" w:rsidP="002A6758" w14:paraId="7C583A82" w14:textId="77777777"/>
    <w:p w:rsidR="002A6758" w:rsidRPr="00BA183C" w:rsidP="002A6758" w14:paraId="5FC99692" w14:textId="77777777">
      <w:pPr>
        <w:pStyle w:val="AmNumberTabs"/>
        <w:keepNext/>
      </w:pPr>
      <w:r w:rsidRPr="00BA183C">
        <w:t>Modification</w:t>
      </w:r>
      <w:r w:rsidRPr="00BA183C">
        <w:tab/>
      </w:r>
      <w:r w:rsidRPr="00BA183C">
        <w:tab/>
        <w:t>39</w:t>
      </w:r>
    </w:p>
    <w:p w:rsidR="002A6758" w:rsidRPr="00BA183C" w:rsidP="002A6758" w14:paraId="53A236EE" w14:textId="77777777">
      <w:pPr>
        <w:pStyle w:val="NormalBold12b"/>
        <w:keepNext/>
      </w:pPr>
      <w:r w:rsidRPr="00BA183C">
        <w:t>Proposal for Interinstitutional Agreement</w:t>
      </w:r>
    </w:p>
    <w:p w:rsidR="002A6758" w:rsidRPr="00BA183C" w:rsidP="002A6758" w14:paraId="112224C7" w14:textId="77777777">
      <w:pPr>
        <w:pStyle w:val="NormalBold"/>
      </w:pPr>
      <w:r w:rsidRPr="00BA183C">
        <w:t>Part 3</w:t>
      </w:r>
    </w:p>
    <w:p w:rsidR="002A6758" w:rsidRPr="00BA183C" w:rsidP="002A6758" w14:paraId="65E99160" w14:textId="77777777">
      <w:r w:rsidRPr="00BA183C">
        <w:t>Section B – point 20 – subparagraphs 2 to 5</w:t>
      </w:r>
    </w:p>
    <w:tbl>
      <w:tblPr>
        <w:tblW w:w="9752" w:type="dxa"/>
        <w:jc w:val="center"/>
        <w:tblLayout w:type="fixed"/>
        <w:tblCellMar>
          <w:left w:w="340" w:type="dxa"/>
          <w:right w:w="340" w:type="dxa"/>
        </w:tblCellMar>
        <w:tblLook w:val="0000"/>
      </w:tblPr>
      <w:tblGrid>
        <w:gridCol w:w="4876"/>
        <w:gridCol w:w="4876"/>
      </w:tblGrid>
      <w:tr w14:paraId="24F165CC" w14:textId="77777777" w:rsidTr="00CC5190">
        <w:tblPrEx>
          <w:tblW w:w="9752" w:type="dxa"/>
          <w:jc w:val="center"/>
          <w:tblLayout w:type="fixed"/>
          <w:tblLook w:val="0000"/>
        </w:tblPrEx>
        <w:trPr>
          <w:jc w:val="center"/>
        </w:trPr>
        <w:tc>
          <w:tcPr>
            <w:tcW w:w="9752" w:type="dxa"/>
            <w:gridSpan w:val="2"/>
          </w:tcPr>
          <w:p w:rsidR="002A6758" w:rsidRPr="00BA183C" w:rsidP="00CC5190" w14:paraId="4C7AFAB9" w14:textId="77777777">
            <w:pPr>
              <w:keepNext/>
            </w:pPr>
          </w:p>
        </w:tc>
      </w:tr>
      <w:tr w14:paraId="1FB4B6DD" w14:textId="77777777" w:rsidTr="00CC5190">
        <w:tblPrEx>
          <w:tblW w:w="9752" w:type="dxa"/>
          <w:jc w:val="center"/>
          <w:tblLayout w:type="fixed"/>
          <w:tblLook w:val="0000"/>
        </w:tblPrEx>
        <w:trPr>
          <w:jc w:val="center"/>
        </w:trPr>
        <w:tc>
          <w:tcPr>
            <w:tcW w:w="4876" w:type="dxa"/>
          </w:tcPr>
          <w:p w:rsidR="002A6758" w:rsidRPr="00BA183C" w:rsidP="00CC5190" w14:paraId="5BDB0DBD" w14:textId="77777777">
            <w:pPr>
              <w:pStyle w:val="AmColumnHeading"/>
              <w:keepNext/>
            </w:pPr>
            <w:r w:rsidRPr="00BA183C">
              <w:t>Text proposed by the Commission</w:t>
            </w:r>
          </w:p>
        </w:tc>
        <w:tc>
          <w:tcPr>
            <w:tcW w:w="4876" w:type="dxa"/>
          </w:tcPr>
          <w:p w:rsidR="002A6758" w:rsidRPr="00BA183C" w:rsidP="00CC5190" w14:paraId="7DAAE233" w14:textId="77777777">
            <w:pPr>
              <w:pStyle w:val="AmColumnHeading"/>
              <w:keepNext/>
            </w:pPr>
            <w:r w:rsidRPr="00BA183C">
              <w:t>Modification</w:t>
            </w:r>
          </w:p>
        </w:tc>
      </w:tr>
      <w:tr w14:paraId="1B25D4A3" w14:textId="77777777" w:rsidTr="00CC5190">
        <w:tblPrEx>
          <w:tblW w:w="9752" w:type="dxa"/>
          <w:jc w:val="center"/>
          <w:tblLayout w:type="fixed"/>
          <w:tblLook w:val="0000"/>
        </w:tblPrEx>
        <w:trPr>
          <w:jc w:val="center"/>
        </w:trPr>
        <w:tc>
          <w:tcPr>
            <w:tcW w:w="4876" w:type="dxa"/>
          </w:tcPr>
          <w:p w:rsidR="002A6758" w:rsidRPr="00BA183C" w:rsidP="00CC5190" w14:paraId="72D80B55" w14:textId="77777777">
            <w:pPr>
              <w:pStyle w:val="Normal6a"/>
            </w:pPr>
            <w:r w:rsidRPr="00BA183C">
              <w:t>The Commission undertakes to keep the European Parliament regularly informed about the preparation, conduct and completion of the negotiations on fisheries agreements, including their budgetary implications.</w:t>
            </w:r>
          </w:p>
          <w:p w:rsidR="002A6758" w:rsidRPr="00BA183C" w:rsidP="00CC5190" w14:paraId="6537ADEB" w14:textId="77777777">
            <w:pPr>
              <w:pStyle w:val="Normal6a"/>
            </w:pPr>
            <w:r w:rsidRPr="00BA183C">
              <w:t>In the course of</w:t>
            </w:r>
            <w:r w:rsidRPr="00BA183C">
              <w:t xml:space="preserve"> the legislative procedure relating to fisheries agreements, the Institutions undertake to make every effort to ensure that all procedures are carried out as quickly as possible.</w:t>
            </w:r>
          </w:p>
          <w:p w:rsidR="002A6758" w:rsidRPr="00BA183C" w:rsidP="00CC5190" w14:paraId="2417FBE5" w14:textId="77777777">
            <w:pPr>
              <w:pStyle w:val="Normal6a"/>
            </w:pPr>
          </w:p>
          <w:p w:rsidR="002A6758" w:rsidRPr="00BA183C" w:rsidP="00CC5190" w14:paraId="47274CC5" w14:textId="77777777">
            <w:pPr>
              <w:pStyle w:val="Normal6a"/>
            </w:pPr>
          </w:p>
          <w:p w:rsidR="002A6758" w:rsidRPr="00BA183C" w:rsidP="00CC5190" w14:paraId="49B8ED78" w14:textId="77777777">
            <w:pPr>
              <w:pStyle w:val="Normal6a"/>
            </w:pPr>
          </w:p>
          <w:p w:rsidR="002A6758" w:rsidRPr="00BA183C" w:rsidP="00CC5190" w14:paraId="567AEE82" w14:textId="77777777">
            <w:pPr>
              <w:pStyle w:val="Normal6a"/>
            </w:pPr>
          </w:p>
          <w:p w:rsidR="002A6758" w:rsidRPr="00BA183C" w:rsidP="00CC5190" w14:paraId="451CC9DE" w14:textId="77777777">
            <w:pPr>
              <w:pStyle w:val="Normal6a"/>
            </w:pPr>
          </w:p>
          <w:p w:rsidR="002A6758" w:rsidRPr="00BA183C" w:rsidP="00CC5190" w14:paraId="7C791EEA" w14:textId="77777777">
            <w:pPr>
              <w:pStyle w:val="Normal6a"/>
            </w:pPr>
          </w:p>
          <w:p w:rsidR="002A6758" w:rsidRPr="00BA183C" w:rsidP="00CC5190" w14:paraId="4DA3EBF8" w14:textId="77777777">
            <w:pPr>
              <w:pStyle w:val="Normal6a"/>
              <w:spacing w:after="240"/>
            </w:pPr>
          </w:p>
          <w:p w:rsidR="002A6758" w:rsidRPr="00BA183C" w:rsidP="00CC5190" w14:paraId="24A077C4" w14:textId="77777777">
            <w:pPr>
              <w:pStyle w:val="Normal6a"/>
            </w:pPr>
            <w:r w:rsidRPr="00BA183C">
              <w:t xml:space="preserve">Amounts provided for in the budget for new fisheries agreements or for the renewal of fisheries agreements which are expected to enter into force </w:t>
            </w:r>
            <w:r w:rsidRPr="00BA183C">
              <w:rPr>
                <w:b/>
                <w:bCs/>
                <w:i/>
                <w:iCs/>
              </w:rPr>
              <w:t>or to be applied provisionally</w:t>
            </w:r>
            <w:r w:rsidRPr="00BA183C">
              <w:t xml:space="preserve"> by 1 January of the financial year concerned shall be included in the main operational budget line.</w:t>
            </w:r>
          </w:p>
          <w:p w:rsidR="002A6758" w:rsidRPr="00BA183C" w:rsidP="00CC5190" w14:paraId="3B1F588B" w14:textId="77777777">
            <w:pPr>
              <w:pStyle w:val="Normal6a"/>
            </w:pPr>
            <w:r w:rsidRPr="00BA183C">
              <w:t xml:space="preserve">Amounts provided for in the budget for new fisheries agreements or for the renewal of fisheries agreements which enter into force </w:t>
            </w:r>
            <w:r w:rsidRPr="00BA183C">
              <w:rPr>
                <w:b/>
                <w:bCs/>
                <w:i/>
                <w:iCs/>
              </w:rPr>
              <w:t>or are applied provisionally</w:t>
            </w:r>
            <w:r w:rsidRPr="00BA183C">
              <w:t xml:space="preserve"> after 1 January of the related financial year shall be put in reserve.</w:t>
            </w:r>
          </w:p>
        </w:tc>
        <w:tc>
          <w:tcPr>
            <w:tcW w:w="4876" w:type="dxa"/>
          </w:tcPr>
          <w:p w:rsidR="002A6758" w:rsidRPr="00BA183C" w:rsidP="00CC5190" w14:paraId="3C94AB22" w14:textId="77777777">
            <w:pPr>
              <w:pStyle w:val="Normal6a"/>
            </w:pPr>
            <w:r w:rsidRPr="00BA183C">
              <w:t>The Commission undertakes to keep the European Parliament regularly informed about the preparation, conduct and completion of the negotiations on fisheries agreements, including their budgetary implications.</w:t>
            </w:r>
          </w:p>
          <w:p w:rsidR="002A6758" w:rsidRPr="00BA183C" w:rsidP="00CC5190" w14:paraId="2E75FAA3" w14:textId="77777777">
            <w:pPr>
              <w:pStyle w:val="Normal6a"/>
              <w:rPr>
                <w:b/>
                <w:bCs/>
                <w:i/>
                <w:iCs/>
              </w:rPr>
            </w:pPr>
            <w:r w:rsidRPr="00BA183C">
              <w:t>In the course of</w:t>
            </w:r>
            <w:r w:rsidRPr="00BA183C">
              <w:t xml:space="preserve"> the legislative procedure relating to fisheries agreements, the Institutions undertake to make every effort to ensure that all procedures are carried out as quickly as possible</w:t>
            </w:r>
            <w:r w:rsidRPr="00BA183C">
              <w:rPr>
                <w:b/>
                <w:bCs/>
                <w:i/>
                <w:iCs/>
              </w:rPr>
              <w:t>, while fully respecting each institution's internal rules.</w:t>
            </w:r>
          </w:p>
          <w:p w:rsidR="002A6758" w:rsidRPr="00BA183C" w:rsidP="00CC5190" w14:paraId="7F1D1D65" w14:textId="77777777">
            <w:pPr>
              <w:pStyle w:val="Normal6a"/>
              <w:rPr>
                <w:b/>
                <w:bCs/>
                <w:i/>
                <w:iCs/>
              </w:rPr>
            </w:pPr>
            <w:r w:rsidRPr="00BA183C">
              <w:rPr>
                <w:b/>
                <w:bCs/>
                <w:i/>
                <w:iCs/>
              </w:rPr>
              <w:t xml:space="preserve">The Commission shall strive to complete negotiations on new fisheries agreements or on the renewal of fisheries agreements in a timely manner </w:t>
            </w:r>
            <w:r w:rsidRPr="00BA183C">
              <w:rPr>
                <w:b/>
                <w:bCs/>
                <w:i/>
                <w:iCs/>
              </w:rPr>
              <w:t>in order to</w:t>
            </w:r>
            <w:r w:rsidRPr="00BA183C">
              <w:rPr>
                <w:b/>
                <w:bCs/>
                <w:i/>
                <w:iCs/>
              </w:rPr>
              <w:t xml:space="preserve"> avoid the provisional application of the protocols while the European Parliament has not yet given its consent to the conclusion of the agreements or protocols.</w:t>
            </w:r>
          </w:p>
          <w:p w:rsidR="002A6758" w:rsidRPr="00BA183C" w:rsidP="00CC5190" w14:paraId="1AFDB842" w14:textId="77777777">
            <w:pPr>
              <w:pStyle w:val="Normal6a"/>
            </w:pPr>
            <w:r w:rsidRPr="00BA183C">
              <w:t>Amounts provided for in the budget for new fisheries agreements or for the renewal of fisheries agreements which are expected to enter into force by 1 January of the financial year concerned shall be included in the main operational budget line.</w:t>
            </w:r>
          </w:p>
          <w:p w:rsidR="002A6758" w:rsidRPr="00BA183C" w:rsidP="00CC5190" w14:paraId="12928C87" w14:textId="77777777">
            <w:pPr>
              <w:pStyle w:val="Normal6a"/>
              <w:rPr>
                <w:szCs w:val="24"/>
              </w:rPr>
            </w:pPr>
            <w:r w:rsidRPr="00BA183C">
              <w:t>Amounts provided for in the budget for new fisheries agreements or for the renewal of fisheries agreements which enter into force after 1 January of the related financial year shall be put in reserve.</w:t>
            </w:r>
          </w:p>
        </w:tc>
      </w:tr>
    </w:tbl>
    <w:p w:rsidR="002A6758" w:rsidRPr="00BA183C" w:rsidP="002A6758" w14:paraId="155B3088" w14:textId="77777777"/>
    <w:p w:rsidR="002A6758" w:rsidRPr="00BA183C" w:rsidP="002A6758" w14:paraId="6661978A" w14:textId="77777777">
      <w:pPr>
        <w:pStyle w:val="AmNumberTabs"/>
        <w:keepNext/>
      </w:pPr>
      <w:r w:rsidRPr="00BA183C">
        <w:t>Modification</w:t>
      </w:r>
      <w:r w:rsidRPr="00BA183C">
        <w:tab/>
      </w:r>
      <w:r w:rsidRPr="00BA183C">
        <w:tab/>
        <w:t>40</w:t>
      </w:r>
    </w:p>
    <w:p w:rsidR="002A6758" w:rsidRPr="00BA183C" w:rsidP="002A6758" w14:paraId="48FF6392" w14:textId="77777777">
      <w:pPr>
        <w:pStyle w:val="NormalBold12b"/>
        <w:keepNext/>
      </w:pPr>
      <w:r w:rsidRPr="00BA183C">
        <w:t xml:space="preserve"> Proposal for Interinstitutional Agreement</w:t>
      </w:r>
    </w:p>
    <w:p w:rsidR="002A6758" w:rsidRPr="00BA183C" w:rsidP="002A6758" w14:paraId="089BBB19" w14:textId="77777777">
      <w:pPr>
        <w:pStyle w:val="NormalBold12b"/>
        <w:keepNext/>
        <w:spacing w:before="0"/>
      </w:pPr>
      <w:r w:rsidRPr="00BA183C">
        <w:t xml:space="preserve"> Part 3</w:t>
      </w:r>
    </w:p>
    <w:p w:rsidR="002A6758" w:rsidRPr="00BA183C" w:rsidP="002A6758" w14:paraId="59656680" w14:textId="77777777">
      <w:pPr>
        <w:pStyle w:val="NormalBold12b"/>
        <w:keepNext/>
        <w:spacing w:before="0"/>
      </w:pPr>
      <w:r w:rsidRPr="00BA183C">
        <w:t xml:space="preserve"> </w:t>
      </w:r>
      <w:r w:rsidRPr="00BA183C">
        <w:rPr>
          <w:b w:val="0"/>
          <w:bCs/>
        </w:rPr>
        <w:t xml:space="preserve">Section C – point 22 </w:t>
      </w:r>
    </w:p>
    <w:tbl>
      <w:tblPr>
        <w:tblW w:w="9752" w:type="dxa"/>
        <w:jc w:val="center"/>
        <w:tblLayout w:type="fixed"/>
        <w:tblCellMar>
          <w:left w:w="340" w:type="dxa"/>
          <w:right w:w="340" w:type="dxa"/>
        </w:tblCellMar>
        <w:tblLook w:val="0000"/>
      </w:tblPr>
      <w:tblGrid>
        <w:gridCol w:w="4876"/>
        <w:gridCol w:w="4876"/>
      </w:tblGrid>
      <w:tr w14:paraId="624D05EF" w14:textId="77777777" w:rsidTr="00CC5190">
        <w:tblPrEx>
          <w:tblW w:w="9752" w:type="dxa"/>
          <w:jc w:val="center"/>
          <w:tblLayout w:type="fixed"/>
          <w:tblLook w:val="0000"/>
        </w:tblPrEx>
        <w:trPr>
          <w:jc w:val="center"/>
        </w:trPr>
        <w:tc>
          <w:tcPr>
            <w:tcW w:w="9752" w:type="dxa"/>
            <w:gridSpan w:val="2"/>
          </w:tcPr>
          <w:p w:rsidR="002A6758" w:rsidRPr="00BA183C" w:rsidP="00CC5190" w14:paraId="221A3416" w14:textId="77777777">
            <w:pPr>
              <w:keepNext/>
            </w:pPr>
          </w:p>
        </w:tc>
      </w:tr>
      <w:tr w14:paraId="5C6B8A37" w14:textId="77777777" w:rsidTr="00CC5190">
        <w:tblPrEx>
          <w:tblW w:w="9752" w:type="dxa"/>
          <w:jc w:val="center"/>
          <w:tblLayout w:type="fixed"/>
          <w:tblLook w:val="0000"/>
        </w:tblPrEx>
        <w:trPr>
          <w:jc w:val="center"/>
        </w:trPr>
        <w:tc>
          <w:tcPr>
            <w:tcW w:w="4876" w:type="dxa"/>
          </w:tcPr>
          <w:p w:rsidR="002A6758" w:rsidRPr="00BA183C" w:rsidP="00CC5190" w14:paraId="3FE988C7" w14:textId="77777777">
            <w:pPr>
              <w:pStyle w:val="AmColumnHeading"/>
              <w:keepNext/>
            </w:pPr>
            <w:r w:rsidRPr="00BA183C">
              <w:t>Text proposed by the Commission</w:t>
            </w:r>
          </w:p>
        </w:tc>
        <w:tc>
          <w:tcPr>
            <w:tcW w:w="4876" w:type="dxa"/>
          </w:tcPr>
          <w:p w:rsidR="002A6758" w:rsidRPr="00BA183C" w:rsidP="00CC5190" w14:paraId="7D3103CB" w14:textId="77777777">
            <w:pPr>
              <w:pStyle w:val="AmColumnHeading"/>
              <w:keepNext/>
            </w:pPr>
            <w:r w:rsidRPr="00BA183C">
              <w:t>Modification</w:t>
            </w:r>
          </w:p>
        </w:tc>
      </w:tr>
      <w:tr w14:paraId="34C80604" w14:textId="77777777" w:rsidTr="00CC5190">
        <w:tblPrEx>
          <w:tblW w:w="9752" w:type="dxa"/>
          <w:jc w:val="center"/>
          <w:tblLayout w:type="fixed"/>
          <w:tblLook w:val="0000"/>
        </w:tblPrEx>
        <w:trPr>
          <w:jc w:val="center"/>
        </w:trPr>
        <w:tc>
          <w:tcPr>
            <w:tcW w:w="4876" w:type="dxa"/>
          </w:tcPr>
          <w:p w:rsidR="002A6758" w:rsidRPr="00BA183C" w:rsidP="00CC5190" w14:paraId="24A24968" w14:textId="77777777">
            <w:pPr>
              <w:pStyle w:val="AmColumnHeading"/>
              <w:jc w:val="left"/>
              <w:rPr>
                <w:b/>
                <w:bCs/>
                <w:iCs/>
              </w:rPr>
            </w:pPr>
            <w:r w:rsidRPr="00BA183C">
              <w:rPr>
                <w:i w:val="0"/>
              </w:rPr>
              <w:t>22.</w:t>
            </w:r>
            <w:r w:rsidRPr="00BA183C">
              <w:rPr>
                <w:i w:val="0"/>
              </w:rPr>
              <w:tab/>
              <w:t xml:space="preserve">The total amount of CFSP operating expenditure shall be entered entirely in one budget chapter, entitled CFSP. That amount shall cover the real predictable needs, assessed in the framework of the establishment of the draft budget, </w:t>
            </w:r>
            <w:r w:rsidRPr="00BA183C">
              <w:rPr>
                <w:i w:val="0"/>
              </w:rPr>
              <w:t>on the basis of</w:t>
            </w:r>
            <w:r w:rsidRPr="00BA183C">
              <w:rPr>
                <w:i w:val="0"/>
              </w:rPr>
              <w:t xml:space="preserve"> forecasts drawn up annually by the High Representative of the Union for Foreign Affairs and Security Policy (the ‘High Representative’). A reasonable margin shall be allowed for to cover unforeseen actions.</w:t>
            </w:r>
            <w:r w:rsidRPr="00BA183C">
              <w:rPr>
                <w:iCs/>
              </w:rPr>
              <w:t xml:space="preserve"> </w:t>
            </w:r>
            <w:r w:rsidRPr="00BA183C">
              <w:rPr>
                <w:b/>
                <w:bCs/>
              </w:rPr>
              <w:t>No funds may be entered in a reserve.</w:t>
            </w:r>
          </w:p>
        </w:tc>
        <w:tc>
          <w:tcPr>
            <w:tcW w:w="4876" w:type="dxa"/>
          </w:tcPr>
          <w:p w:rsidR="002A6758" w:rsidRPr="00BA183C" w:rsidP="00CC5190" w14:paraId="00E6E411" w14:textId="77777777">
            <w:pPr>
              <w:pStyle w:val="AmColumnHeading"/>
              <w:jc w:val="left"/>
              <w:rPr>
                <w:i w:val="0"/>
                <w:szCs w:val="24"/>
              </w:rPr>
            </w:pPr>
            <w:r w:rsidRPr="00BA183C">
              <w:rPr>
                <w:i w:val="0"/>
              </w:rPr>
              <w:t>22.</w:t>
            </w:r>
            <w:r w:rsidRPr="00BA183C">
              <w:rPr>
                <w:i w:val="0"/>
              </w:rPr>
              <w:tab/>
              <w:t xml:space="preserve">The total amount of CFSP operating expenditure shall be entered entirely in one budget chapter, entitled CFSP. That amount shall cover the real predictable needs, assessed in the framework of the establishment of the draft budget, </w:t>
            </w:r>
            <w:r w:rsidRPr="00BA183C">
              <w:rPr>
                <w:i w:val="0"/>
              </w:rPr>
              <w:t>on the basis of</w:t>
            </w:r>
            <w:r w:rsidRPr="00BA183C">
              <w:rPr>
                <w:i w:val="0"/>
              </w:rPr>
              <w:t xml:space="preserve"> forecasts drawn up annually by the High Representative of the Union for Foreign Affairs and Security Policy (the ‘High Representative’). A reasonable margin shall be allowed for to cover unforeseen actions. </w:t>
            </w:r>
          </w:p>
        </w:tc>
      </w:tr>
    </w:tbl>
    <w:p w:rsidR="002A6758" w:rsidRPr="00BA183C" w:rsidP="002A6758" w14:paraId="789B96E0" w14:textId="77777777"/>
    <w:p w:rsidR="002A6758" w:rsidRPr="00BA183C" w:rsidP="002A6758" w14:paraId="03F80966" w14:textId="77777777">
      <w:pPr>
        <w:pStyle w:val="AmNumberTabs"/>
        <w:keepNext/>
      </w:pPr>
      <w:r w:rsidRPr="00BA183C">
        <w:t>Modification</w:t>
      </w:r>
      <w:r w:rsidRPr="00BA183C">
        <w:tab/>
      </w:r>
      <w:r w:rsidRPr="00BA183C">
        <w:tab/>
        <w:t>41</w:t>
      </w:r>
    </w:p>
    <w:p w:rsidR="002A6758" w:rsidRPr="00BA183C" w:rsidP="002A6758" w14:paraId="5D8D4D38" w14:textId="77777777">
      <w:pPr>
        <w:pStyle w:val="NormalBold12b"/>
        <w:keepNext/>
      </w:pPr>
      <w:r w:rsidRPr="00BA183C">
        <w:t xml:space="preserve"> Proposal for Interinstitutional Agreement</w:t>
      </w:r>
    </w:p>
    <w:p w:rsidR="002A6758" w:rsidRPr="00BA183C" w:rsidP="002A6758" w14:paraId="10D83BE8" w14:textId="77777777">
      <w:pPr>
        <w:pStyle w:val="NormalBold12b"/>
        <w:keepNext/>
        <w:spacing w:before="0"/>
      </w:pPr>
      <w:r w:rsidRPr="00BA183C">
        <w:t xml:space="preserve"> Part 3</w:t>
      </w:r>
    </w:p>
    <w:p w:rsidR="002A6758" w:rsidRPr="00BA183C" w:rsidP="002A6758" w14:paraId="527EEF99" w14:textId="77777777">
      <w:pPr>
        <w:pStyle w:val="NormalBold12b"/>
        <w:keepNext/>
        <w:spacing w:before="0"/>
      </w:pPr>
      <w:r w:rsidRPr="00BA183C">
        <w:t xml:space="preserve"> </w:t>
      </w:r>
      <w:r w:rsidRPr="00BA183C">
        <w:rPr>
          <w:b w:val="0"/>
          <w:bCs/>
        </w:rPr>
        <w:t>Section C – point 24 subparagraphs 1 and 2</w:t>
      </w:r>
    </w:p>
    <w:tbl>
      <w:tblPr>
        <w:tblW w:w="9752" w:type="dxa"/>
        <w:jc w:val="center"/>
        <w:tblLayout w:type="fixed"/>
        <w:tblCellMar>
          <w:left w:w="340" w:type="dxa"/>
          <w:right w:w="340" w:type="dxa"/>
        </w:tblCellMar>
        <w:tblLook w:val="0000"/>
      </w:tblPr>
      <w:tblGrid>
        <w:gridCol w:w="4876"/>
        <w:gridCol w:w="4876"/>
      </w:tblGrid>
      <w:tr w14:paraId="1507C44C" w14:textId="77777777" w:rsidTr="00CC5190">
        <w:tblPrEx>
          <w:tblW w:w="9752" w:type="dxa"/>
          <w:jc w:val="center"/>
          <w:tblLayout w:type="fixed"/>
          <w:tblLook w:val="0000"/>
        </w:tblPrEx>
        <w:trPr>
          <w:jc w:val="center"/>
        </w:trPr>
        <w:tc>
          <w:tcPr>
            <w:tcW w:w="9752" w:type="dxa"/>
            <w:gridSpan w:val="2"/>
          </w:tcPr>
          <w:p w:rsidR="002A6758" w:rsidRPr="00BA183C" w:rsidP="00CC5190" w14:paraId="6ABAA2E3" w14:textId="77777777">
            <w:pPr>
              <w:keepNext/>
            </w:pPr>
          </w:p>
        </w:tc>
      </w:tr>
      <w:tr w14:paraId="674CE590" w14:textId="77777777" w:rsidTr="00CC5190">
        <w:tblPrEx>
          <w:tblW w:w="9752" w:type="dxa"/>
          <w:jc w:val="center"/>
          <w:tblLayout w:type="fixed"/>
          <w:tblLook w:val="0000"/>
        </w:tblPrEx>
        <w:trPr>
          <w:jc w:val="center"/>
        </w:trPr>
        <w:tc>
          <w:tcPr>
            <w:tcW w:w="4876" w:type="dxa"/>
          </w:tcPr>
          <w:p w:rsidR="002A6758" w:rsidRPr="00BA183C" w:rsidP="00CC5190" w14:paraId="66024550" w14:textId="77777777">
            <w:pPr>
              <w:pStyle w:val="AmColumnHeading"/>
              <w:keepNext/>
            </w:pPr>
            <w:r w:rsidRPr="00BA183C">
              <w:t>Text proposed by the Commission</w:t>
            </w:r>
          </w:p>
        </w:tc>
        <w:tc>
          <w:tcPr>
            <w:tcW w:w="4876" w:type="dxa"/>
          </w:tcPr>
          <w:p w:rsidR="002A6758" w:rsidRPr="00BA183C" w:rsidP="00CC5190" w14:paraId="002A06A0" w14:textId="77777777">
            <w:pPr>
              <w:pStyle w:val="AmColumnHeading"/>
              <w:keepNext/>
            </w:pPr>
            <w:r w:rsidRPr="00BA183C">
              <w:t>Modification</w:t>
            </w:r>
          </w:p>
        </w:tc>
      </w:tr>
      <w:tr w14:paraId="63D14410" w14:textId="77777777" w:rsidTr="00CC5190">
        <w:tblPrEx>
          <w:tblW w:w="9752" w:type="dxa"/>
          <w:jc w:val="center"/>
          <w:tblLayout w:type="fixed"/>
          <w:tblLook w:val="0000"/>
        </w:tblPrEx>
        <w:trPr>
          <w:jc w:val="center"/>
        </w:trPr>
        <w:tc>
          <w:tcPr>
            <w:tcW w:w="4876" w:type="dxa"/>
          </w:tcPr>
          <w:p w:rsidR="002A6758" w:rsidRPr="00BA183C" w:rsidP="00CC5190" w14:paraId="0C0FC36C" w14:textId="77777777">
            <w:pPr>
              <w:pStyle w:val="AmColumnHeading"/>
              <w:jc w:val="left"/>
            </w:pPr>
            <w:r w:rsidRPr="00BA183C">
              <w:rPr>
                <w:i w:val="0"/>
                <w:iCs/>
              </w:rPr>
              <w:t>24.</w:t>
            </w:r>
            <w:r w:rsidRPr="00BA183C">
              <w:rPr>
                <w:i w:val="0"/>
                <w:iCs/>
              </w:rPr>
              <w:tab/>
              <w:t>Each year, the High Representative shall consult the European Parliament on a forward-looking document, which shall be transmitted by 15 June of the year in question, setting out the main aspects and basic choices of the CFSP, including the financial implications for the general budget of the Union, an evaluation of the measures launched in the year n-1 and an assessment of the coordination and complementarity of CFSP with the Union’s other external financial instruments. Furthermore, the High Representative shall keep the European Parliament regularly informed</w:t>
            </w:r>
            <w:r w:rsidRPr="00BA183C">
              <w:t xml:space="preserve"> </w:t>
            </w:r>
            <w:r w:rsidRPr="00BA183C">
              <w:rPr>
                <w:b/>
                <w:bCs/>
                <w:iCs/>
              </w:rPr>
              <w:t>by holding joint consultation meetings at least three times a year,</w:t>
            </w:r>
            <w:r w:rsidRPr="00BA183C">
              <w:rPr>
                <w:i w:val="0"/>
                <w:iCs/>
              </w:rPr>
              <w:t xml:space="preserve"> in the framework of the regular political dialogue on the </w:t>
            </w:r>
            <w:r w:rsidRPr="00BA183C">
              <w:t xml:space="preserve">CFSP, </w:t>
            </w:r>
            <w:r w:rsidRPr="00BA183C">
              <w:rPr>
                <w:b/>
                <w:bCs/>
                <w:iCs/>
              </w:rPr>
              <w:t>to be agreed at the latest on 30 November each year. Participation in those meetings shall be determined by the European Parliament and the Council respectively, bearing in mind the objective, and the nature of the information exchanged in those meetings.</w:t>
            </w:r>
          </w:p>
          <w:p w:rsidR="002A6758" w:rsidRPr="00BA183C" w:rsidP="00CC5190" w14:paraId="53C8BCA2" w14:textId="77777777">
            <w:pPr>
              <w:pStyle w:val="AmColumnHeading"/>
              <w:jc w:val="left"/>
              <w:rPr>
                <w:b/>
                <w:bCs/>
                <w:iCs/>
              </w:rPr>
            </w:pPr>
            <w:r w:rsidRPr="00BA183C">
              <w:rPr>
                <w:b/>
                <w:bCs/>
                <w:iCs/>
              </w:rPr>
              <w:t>The Commission shall be invited to participate in those meetings.</w:t>
            </w:r>
          </w:p>
        </w:tc>
        <w:tc>
          <w:tcPr>
            <w:tcW w:w="4876" w:type="dxa"/>
          </w:tcPr>
          <w:p w:rsidR="002A6758" w:rsidRPr="00BA183C" w:rsidP="00CC5190" w14:paraId="56F967BF" w14:textId="77777777">
            <w:pPr>
              <w:pStyle w:val="AmColumnHeading"/>
              <w:jc w:val="left"/>
              <w:rPr>
                <w:iCs/>
                <w:szCs w:val="24"/>
              </w:rPr>
            </w:pPr>
            <w:r w:rsidRPr="00BA183C">
              <w:rPr>
                <w:i w:val="0"/>
                <w:szCs w:val="24"/>
              </w:rPr>
              <w:t>24.</w:t>
            </w:r>
            <w:r w:rsidRPr="00BA183C">
              <w:rPr>
                <w:i w:val="0"/>
                <w:szCs w:val="24"/>
              </w:rPr>
              <w:tab/>
              <w:t>Each year, the High Representative shall consult the European Parliament on a forward-looking document, which shall be transmitted by 15 June of the year in question, setting out the main aspects and basic choices of the CFSP, including the financial implications for the general budget of the Union, an evaluation of the measures launched in the year n-1 and an assessment of the coordination and complementarity of CFSP with the Union’s other external financial instruments. Furthermore, the High Representative shall keep the European Parliament regularly informed in the framework of the regular</w:t>
            </w:r>
            <w:r w:rsidRPr="00BA183C">
              <w:rPr>
                <w:iCs/>
                <w:szCs w:val="24"/>
              </w:rPr>
              <w:t xml:space="preserve"> </w:t>
            </w:r>
            <w:r w:rsidRPr="00BA183C">
              <w:rPr>
                <w:b/>
                <w:bCs/>
                <w:szCs w:val="24"/>
              </w:rPr>
              <w:t>financial and</w:t>
            </w:r>
            <w:r w:rsidRPr="00BA183C">
              <w:rPr>
                <w:iCs/>
                <w:szCs w:val="24"/>
              </w:rPr>
              <w:t xml:space="preserve"> </w:t>
            </w:r>
            <w:r w:rsidRPr="00BA183C">
              <w:rPr>
                <w:i w:val="0"/>
                <w:szCs w:val="24"/>
              </w:rPr>
              <w:t>political dialogue on the CFSP,</w:t>
            </w:r>
            <w:r w:rsidRPr="00BA183C">
              <w:rPr>
                <w:b/>
                <w:i w:val="0"/>
                <w:szCs w:val="24"/>
              </w:rPr>
              <w:t xml:space="preserve"> </w:t>
            </w:r>
            <w:r w:rsidRPr="00BA183C">
              <w:rPr>
                <w:b/>
                <w:szCs w:val="24"/>
              </w:rPr>
              <w:t>as laid down in point 24a.</w:t>
            </w:r>
            <w:r w:rsidRPr="00BA183C">
              <w:rPr>
                <w:iCs/>
                <w:szCs w:val="24"/>
              </w:rPr>
              <w:t xml:space="preserve"> </w:t>
            </w:r>
          </w:p>
          <w:p w:rsidR="002A6758" w:rsidRPr="00BA183C" w:rsidP="00CC5190" w14:paraId="390DDC82" w14:textId="77777777">
            <w:pPr>
              <w:pStyle w:val="AmColumnHeading"/>
              <w:jc w:val="left"/>
              <w:rPr>
                <w:szCs w:val="24"/>
              </w:rPr>
            </w:pPr>
          </w:p>
        </w:tc>
      </w:tr>
    </w:tbl>
    <w:p w:rsidR="002A6758" w:rsidRPr="00BA183C" w:rsidP="002A6758" w14:paraId="6E2CF5AC" w14:textId="77777777"/>
    <w:p w:rsidR="002A6758" w:rsidRPr="00BA183C" w:rsidP="002A6758" w14:paraId="4DD9BBD9" w14:textId="77777777">
      <w:pPr>
        <w:pStyle w:val="AmNumberTabs"/>
        <w:keepNext/>
      </w:pPr>
      <w:r w:rsidRPr="00BA183C">
        <w:t>Modification</w:t>
      </w:r>
      <w:r w:rsidRPr="00BA183C">
        <w:tab/>
      </w:r>
      <w:r w:rsidRPr="00BA183C">
        <w:tab/>
        <w:t>42</w:t>
      </w:r>
    </w:p>
    <w:p w:rsidR="002A6758" w:rsidRPr="00BA183C" w:rsidP="002A6758" w14:paraId="3508511E" w14:textId="77777777">
      <w:pPr>
        <w:pStyle w:val="NormalBold12b"/>
        <w:keepNext/>
      </w:pPr>
      <w:r w:rsidRPr="00BA183C">
        <w:t xml:space="preserve"> Proposal for Interinstitutional Agreement</w:t>
      </w:r>
    </w:p>
    <w:p w:rsidR="002A6758" w:rsidRPr="00BA183C" w:rsidP="002A6758" w14:paraId="1B1CCB36" w14:textId="77777777">
      <w:pPr>
        <w:pStyle w:val="NormalBold12b"/>
        <w:keepNext/>
        <w:spacing w:before="0"/>
      </w:pPr>
      <w:r w:rsidRPr="00BA183C">
        <w:t xml:space="preserve"> Part 3</w:t>
      </w:r>
    </w:p>
    <w:p w:rsidR="002A6758" w:rsidRPr="00BA183C" w:rsidP="002A6758" w14:paraId="3AAC8BE4" w14:textId="77777777">
      <w:pPr>
        <w:pStyle w:val="NormalBold12b"/>
        <w:keepNext/>
        <w:spacing w:before="0"/>
      </w:pPr>
      <w:r w:rsidRPr="00BA183C">
        <w:t xml:space="preserve"> </w:t>
      </w:r>
      <w:r w:rsidRPr="00BA183C">
        <w:rPr>
          <w:b w:val="0"/>
          <w:bCs/>
        </w:rPr>
        <w:t>Section C – point 24 a (new)</w:t>
      </w:r>
    </w:p>
    <w:tbl>
      <w:tblPr>
        <w:tblW w:w="9752" w:type="dxa"/>
        <w:jc w:val="center"/>
        <w:tblLayout w:type="fixed"/>
        <w:tblCellMar>
          <w:left w:w="340" w:type="dxa"/>
          <w:right w:w="340" w:type="dxa"/>
        </w:tblCellMar>
        <w:tblLook w:val="0000"/>
      </w:tblPr>
      <w:tblGrid>
        <w:gridCol w:w="4876"/>
        <w:gridCol w:w="4876"/>
      </w:tblGrid>
      <w:tr w14:paraId="1FC29F19" w14:textId="77777777" w:rsidTr="00CC5190">
        <w:tblPrEx>
          <w:tblW w:w="9752" w:type="dxa"/>
          <w:jc w:val="center"/>
          <w:tblLayout w:type="fixed"/>
          <w:tblLook w:val="0000"/>
        </w:tblPrEx>
        <w:trPr>
          <w:jc w:val="center"/>
        </w:trPr>
        <w:tc>
          <w:tcPr>
            <w:tcW w:w="9752" w:type="dxa"/>
            <w:gridSpan w:val="2"/>
          </w:tcPr>
          <w:p w:rsidR="002A6758" w:rsidRPr="00BA183C" w:rsidP="00CC5190" w14:paraId="087F894A" w14:textId="77777777">
            <w:pPr>
              <w:keepNext/>
            </w:pPr>
          </w:p>
        </w:tc>
      </w:tr>
      <w:tr w14:paraId="2267B2FB" w14:textId="77777777" w:rsidTr="00CC5190">
        <w:tblPrEx>
          <w:tblW w:w="9752" w:type="dxa"/>
          <w:jc w:val="center"/>
          <w:tblLayout w:type="fixed"/>
          <w:tblLook w:val="0000"/>
        </w:tblPrEx>
        <w:trPr>
          <w:jc w:val="center"/>
        </w:trPr>
        <w:tc>
          <w:tcPr>
            <w:tcW w:w="4876" w:type="dxa"/>
          </w:tcPr>
          <w:p w:rsidR="002A6758" w:rsidRPr="00BA183C" w:rsidP="00CC5190" w14:paraId="085E32F0" w14:textId="77777777">
            <w:pPr>
              <w:pStyle w:val="AmColumnHeading"/>
              <w:keepNext/>
            </w:pPr>
            <w:bookmarkStart w:id="18" w:name="_Hlk215560265"/>
            <w:r w:rsidRPr="00BA183C">
              <w:t>Text proposed by the Commission</w:t>
            </w:r>
          </w:p>
        </w:tc>
        <w:tc>
          <w:tcPr>
            <w:tcW w:w="4876" w:type="dxa"/>
          </w:tcPr>
          <w:p w:rsidR="002A6758" w:rsidRPr="00BA183C" w:rsidP="00CC5190" w14:paraId="20D4E526" w14:textId="77777777">
            <w:pPr>
              <w:pStyle w:val="AmColumnHeading"/>
              <w:keepNext/>
            </w:pPr>
            <w:r w:rsidRPr="00BA183C">
              <w:t>Modification</w:t>
            </w:r>
          </w:p>
        </w:tc>
      </w:tr>
      <w:tr w14:paraId="1C1F68AB" w14:textId="77777777" w:rsidTr="00CC5190">
        <w:tblPrEx>
          <w:tblW w:w="9752" w:type="dxa"/>
          <w:jc w:val="center"/>
          <w:tblLayout w:type="fixed"/>
          <w:tblLook w:val="0000"/>
        </w:tblPrEx>
        <w:trPr>
          <w:jc w:val="center"/>
        </w:trPr>
        <w:tc>
          <w:tcPr>
            <w:tcW w:w="4876" w:type="dxa"/>
          </w:tcPr>
          <w:p w:rsidR="002A6758" w:rsidRPr="00BA183C" w:rsidP="00CC5190" w14:paraId="7F4A084B" w14:textId="77777777">
            <w:pPr>
              <w:pStyle w:val="AmColumnHeading"/>
              <w:keepNext/>
              <w:jc w:val="left"/>
            </w:pPr>
          </w:p>
        </w:tc>
        <w:tc>
          <w:tcPr>
            <w:tcW w:w="4876" w:type="dxa"/>
          </w:tcPr>
          <w:p w:rsidR="002A6758" w:rsidRPr="00BA183C" w:rsidP="00CC5190" w14:paraId="562D1F87" w14:textId="77777777">
            <w:pPr>
              <w:pStyle w:val="AmColumnHeading"/>
              <w:jc w:val="left"/>
            </w:pPr>
            <w:r w:rsidRPr="00BA183C">
              <w:rPr>
                <w:b/>
                <w:bCs/>
                <w:iCs/>
              </w:rPr>
              <w:t>24a.</w:t>
            </w:r>
            <w:r w:rsidRPr="00BA183C">
              <w:rPr>
                <w:b/>
                <w:bCs/>
                <w:iCs/>
              </w:rPr>
              <w:tab/>
              <w:t>The regular financial and political dialogue on the CFSP shall concern all Union activities to which the implementation of the CFSP chapter gives rise</w:t>
            </w:r>
            <w:r w:rsidRPr="00BA183C">
              <w:rPr>
                <w:b/>
                <w:bCs/>
                <w:iCs/>
              </w:rPr>
              <w:t>, and in particular</w:t>
            </w:r>
            <w:r w:rsidRPr="00BA183C">
              <w:rPr>
                <w:b/>
                <w:bCs/>
                <w:iCs/>
              </w:rPr>
              <w:t xml:space="preserve"> those entailing expenditure or financial liabilities for the Union budget. It shall take place at least five times a year, to be agreed at the latest until 30 November of the year n-1. In the context of this dialogue, the High Representative shall consult the European Parliament in accordance with Article 36 TEU as described in points 22, 23 and 24 of this Agreement and shall ensure that its views are duly taken into consideration. The dialogue may involve European Union Special Representatives or, where appropriate, Commissioners. It shall take place in accordance with security rules applicable to the exchange of information.</w:t>
            </w:r>
          </w:p>
        </w:tc>
      </w:tr>
      <w:bookmarkEnd w:id="18"/>
    </w:tbl>
    <w:p w:rsidR="002A6758" w:rsidRPr="00BA183C" w:rsidP="002A6758" w14:paraId="7BFF2DCD" w14:textId="77777777"/>
    <w:p w:rsidR="002A6758" w:rsidRPr="00BA183C" w:rsidP="002A6758" w14:paraId="078D0ED5" w14:textId="77777777">
      <w:pPr>
        <w:pStyle w:val="AmNumberTabs"/>
        <w:keepNext/>
      </w:pPr>
      <w:r w:rsidRPr="00BA183C">
        <w:t>Modification</w:t>
      </w:r>
      <w:r w:rsidRPr="00BA183C">
        <w:tab/>
      </w:r>
      <w:r w:rsidRPr="00BA183C">
        <w:tab/>
        <w:t>43</w:t>
      </w:r>
    </w:p>
    <w:p w:rsidR="002A6758" w:rsidRPr="00BA183C" w:rsidP="002A6758" w14:paraId="497EB082" w14:textId="77777777">
      <w:pPr>
        <w:pStyle w:val="NormalBold12b"/>
        <w:keepNext/>
      </w:pPr>
      <w:r w:rsidRPr="00BA183C">
        <w:t>Proposal for Interinstitutional Agreement</w:t>
      </w:r>
    </w:p>
    <w:p w:rsidR="002A6758" w:rsidRPr="00BA183C" w:rsidP="002A6758" w14:paraId="1C464EBC" w14:textId="77777777">
      <w:pPr>
        <w:pStyle w:val="NormalBold"/>
      </w:pPr>
      <w:r w:rsidRPr="00BA183C">
        <w:t>Part IV (new)</w:t>
      </w:r>
    </w:p>
    <w:p w:rsidR="002A6758" w:rsidRPr="00BA183C" w:rsidP="002A6758" w14:paraId="50473E2A" w14:textId="77777777">
      <w:r w:rsidRPr="00BA183C">
        <w:rPr>
          <w:b/>
          <w:bCs/>
          <w:i/>
          <w:iCs/>
        </w:rPr>
        <w:t>INTERINSTITUTIONAL COOPERATION ON THE RULE OF LAW CONDITIONALITY</w:t>
      </w:r>
    </w:p>
    <w:tbl>
      <w:tblPr>
        <w:tblW w:w="9752" w:type="dxa"/>
        <w:jc w:val="center"/>
        <w:tblLayout w:type="fixed"/>
        <w:tblCellMar>
          <w:left w:w="340" w:type="dxa"/>
          <w:right w:w="340" w:type="dxa"/>
        </w:tblCellMar>
        <w:tblLook w:val="0000"/>
      </w:tblPr>
      <w:tblGrid>
        <w:gridCol w:w="4876"/>
        <w:gridCol w:w="4876"/>
      </w:tblGrid>
      <w:tr w14:paraId="2BF94717" w14:textId="77777777" w:rsidTr="00CC5190">
        <w:tblPrEx>
          <w:tblW w:w="9752" w:type="dxa"/>
          <w:jc w:val="center"/>
          <w:tblLayout w:type="fixed"/>
          <w:tblLook w:val="0000"/>
        </w:tblPrEx>
        <w:trPr>
          <w:jc w:val="center"/>
        </w:trPr>
        <w:tc>
          <w:tcPr>
            <w:tcW w:w="9752" w:type="dxa"/>
            <w:gridSpan w:val="2"/>
          </w:tcPr>
          <w:p w:rsidR="002A6758" w:rsidRPr="00BA183C" w:rsidP="00CC5190" w14:paraId="5828B01E" w14:textId="77777777">
            <w:pPr>
              <w:keepNext/>
            </w:pPr>
          </w:p>
        </w:tc>
      </w:tr>
      <w:tr w14:paraId="7A176AD4" w14:textId="77777777" w:rsidTr="00CC5190">
        <w:tblPrEx>
          <w:tblW w:w="9752" w:type="dxa"/>
          <w:jc w:val="center"/>
          <w:tblLayout w:type="fixed"/>
          <w:tblLook w:val="0000"/>
        </w:tblPrEx>
        <w:trPr>
          <w:jc w:val="center"/>
        </w:trPr>
        <w:tc>
          <w:tcPr>
            <w:tcW w:w="4876" w:type="dxa"/>
          </w:tcPr>
          <w:p w:rsidR="002A6758" w:rsidRPr="00BA183C" w:rsidP="00CC5190" w14:paraId="15290F2E" w14:textId="77777777">
            <w:pPr>
              <w:pStyle w:val="AmColumnHeading"/>
              <w:keepNext/>
            </w:pPr>
            <w:r w:rsidRPr="00BA183C">
              <w:t>Text proposed by the Commission</w:t>
            </w:r>
          </w:p>
        </w:tc>
        <w:tc>
          <w:tcPr>
            <w:tcW w:w="4876" w:type="dxa"/>
          </w:tcPr>
          <w:p w:rsidR="002A6758" w:rsidRPr="00BA183C" w:rsidP="00CC5190" w14:paraId="633818AC" w14:textId="77777777">
            <w:pPr>
              <w:pStyle w:val="AmColumnHeading"/>
              <w:keepNext/>
            </w:pPr>
            <w:r w:rsidRPr="00BA183C">
              <w:t>Modification</w:t>
            </w:r>
          </w:p>
        </w:tc>
      </w:tr>
      <w:tr w14:paraId="5A0BD434" w14:textId="77777777" w:rsidTr="00CC5190">
        <w:tblPrEx>
          <w:tblW w:w="9752" w:type="dxa"/>
          <w:jc w:val="center"/>
          <w:tblLayout w:type="fixed"/>
          <w:tblLook w:val="0000"/>
        </w:tblPrEx>
        <w:trPr>
          <w:jc w:val="center"/>
        </w:trPr>
        <w:tc>
          <w:tcPr>
            <w:tcW w:w="4876" w:type="dxa"/>
          </w:tcPr>
          <w:p w:rsidR="002A6758" w:rsidRPr="00BA183C" w:rsidP="00CC5190" w14:paraId="6F6A39E1" w14:textId="77777777">
            <w:pPr>
              <w:pStyle w:val="Normal6a"/>
            </w:pPr>
            <w:r w:rsidRPr="00BA183C">
              <w:t xml:space="preserve"> </w:t>
            </w:r>
          </w:p>
        </w:tc>
        <w:tc>
          <w:tcPr>
            <w:tcW w:w="4876" w:type="dxa"/>
          </w:tcPr>
          <w:p w:rsidR="002A6758" w:rsidRPr="00BA183C" w:rsidP="00CC5190" w14:paraId="593B581C" w14:textId="77777777">
            <w:pPr>
              <w:pStyle w:val="Normal6a"/>
              <w:jc w:val="center"/>
              <w:rPr>
                <w:b/>
                <w:bCs/>
                <w:i/>
                <w:iCs/>
              </w:rPr>
            </w:pPr>
            <w:r w:rsidRPr="00BA183C">
              <w:rPr>
                <w:b/>
                <w:bCs/>
                <w:i/>
                <w:iCs/>
              </w:rPr>
              <w:t>INTERINSTITUTIONAL COOPERATION ON THE RULE OF LAW CONDITIONALITY</w:t>
            </w:r>
          </w:p>
          <w:p w:rsidR="002A6758" w:rsidRPr="00BA183C" w:rsidP="00CC5190" w14:paraId="54B00F40" w14:textId="77777777">
            <w:pPr>
              <w:pStyle w:val="Normal6a"/>
              <w:rPr>
                <w:b/>
                <w:bCs/>
                <w:i/>
                <w:iCs/>
              </w:rPr>
            </w:pPr>
            <w:r w:rsidRPr="00BA183C">
              <w:rPr>
                <w:b/>
                <w:bCs/>
                <w:i/>
                <w:iCs/>
              </w:rPr>
              <w:t xml:space="preserve">Part A. Cooperation </w:t>
            </w:r>
          </w:p>
          <w:p w:rsidR="002A6758" w:rsidRPr="00BA183C" w:rsidP="00CC5190" w14:paraId="0145E55E" w14:textId="4764A4FF">
            <w:pPr>
              <w:pStyle w:val="Normal6a"/>
              <w:rPr>
                <w:b/>
                <w:bCs/>
                <w:i/>
                <w:iCs/>
              </w:rPr>
            </w:pPr>
            <w:r w:rsidRPr="00BA183C">
              <w:rPr>
                <w:b/>
                <w:bCs/>
                <w:iCs/>
              </w:rPr>
              <w:t xml:space="preserve">25 (new). </w:t>
            </w:r>
            <w:r w:rsidRPr="00BA183C">
              <w:rPr>
                <w:b/>
                <w:bCs/>
                <w:i/>
                <w:iCs/>
              </w:rPr>
              <w:t>The Commission shall provide Parliament and Council with systematic, timely, structured, and secure access to information in the context of the implementation of Regulation (EU</w:t>
            </w:r>
            <w:r w:rsidR="004C145F">
              <w:rPr>
                <w:b/>
                <w:bCs/>
                <w:i/>
                <w:iCs/>
              </w:rPr>
              <w:t>, Euratom</w:t>
            </w:r>
            <w:r w:rsidRPr="00BA183C">
              <w:rPr>
                <w:b/>
                <w:bCs/>
                <w:i/>
                <w:iCs/>
              </w:rPr>
              <w:t xml:space="preserve">) 2020/2092 and of other rules </w:t>
            </w:r>
            <w:r w:rsidRPr="00BA183C">
              <w:rPr>
                <w:b/>
                <w:bCs/>
                <w:i/>
                <w:iCs/>
              </w:rPr>
              <w:t>related to the Charter of fundamental rights and rule of law conditionality including:</w:t>
            </w:r>
          </w:p>
          <w:p w:rsidR="002A6758" w:rsidRPr="00BA183C" w:rsidP="00CC5190" w14:paraId="717CF5D3" w14:textId="77777777">
            <w:pPr>
              <w:pStyle w:val="Normal6a"/>
              <w:rPr>
                <w:b/>
                <w:bCs/>
                <w:i/>
                <w:iCs/>
              </w:rPr>
            </w:pPr>
            <w:r w:rsidRPr="00BA183C">
              <w:rPr>
                <w:b/>
                <w:bCs/>
                <w:i/>
                <w:iCs/>
              </w:rPr>
              <w:t>a.</w:t>
            </w:r>
            <w:r w:rsidRPr="00BA183C">
              <w:rPr>
                <w:b/>
                <w:bCs/>
                <w:i/>
                <w:iCs/>
              </w:rPr>
              <w:tab/>
              <w:t>the written notification sent to the Member States;</w:t>
            </w:r>
          </w:p>
          <w:p w:rsidR="002A6758" w:rsidRPr="00BA183C" w:rsidP="00CC5190" w14:paraId="61EFA613" w14:textId="77777777">
            <w:pPr>
              <w:pStyle w:val="Normal6a"/>
              <w:rPr>
                <w:b/>
                <w:bCs/>
                <w:i/>
                <w:iCs/>
              </w:rPr>
            </w:pPr>
            <w:r w:rsidRPr="00BA183C">
              <w:rPr>
                <w:b/>
                <w:bCs/>
                <w:i/>
                <w:iCs/>
              </w:rPr>
              <w:t>b.</w:t>
            </w:r>
            <w:r w:rsidRPr="00BA183C">
              <w:rPr>
                <w:b/>
                <w:bCs/>
                <w:i/>
                <w:iCs/>
              </w:rPr>
              <w:tab/>
              <w:t>any request for additional information;</w:t>
            </w:r>
          </w:p>
          <w:p w:rsidR="002A6758" w:rsidRPr="00BA183C" w:rsidP="00CC5190" w14:paraId="41C30709" w14:textId="77777777">
            <w:pPr>
              <w:pStyle w:val="Normal6a"/>
              <w:rPr>
                <w:b/>
                <w:bCs/>
                <w:i/>
                <w:iCs/>
              </w:rPr>
            </w:pPr>
            <w:r w:rsidRPr="00BA183C">
              <w:rPr>
                <w:b/>
                <w:bCs/>
                <w:i/>
                <w:iCs/>
              </w:rPr>
              <w:t>c.</w:t>
            </w:r>
            <w:r w:rsidRPr="00BA183C">
              <w:rPr>
                <w:b/>
                <w:bCs/>
                <w:i/>
                <w:iCs/>
              </w:rPr>
              <w:tab/>
              <w:t>the correspondence between Commission services and the Member States;</w:t>
            </w:r>
          </w:p>
          <w:p w:rsidR="002A6758" w:rsidRPr="00BA183C" w:rsidP="00CC5190" w14:paraId="71F1BFD4" w14:textId="77777777">
            <w:pPr>
              <w:pStyle w:val="Normal6a"/>
              <w:rPr>
                <w:b/>
                <w:bCs/>
                <w:i/>
                <w:iCs/>
              </w:rPr>
            </w:pPr>
            <w:r w:rsidRPr="00BA183C">
              <w:rPr>
                <w:b/>
                <w:bCs/>
                <w:i/>
                <w:iCs/>
              </w:rPr>
              <w:t>d.</w:t>
            </w:r>
            <w:r w:rsidRPr="00BA183C">
              <w:rPr>
                <w:b/>
                <w:bCs/>
                <w:i/>
                <w:iCs/>
              </w:rPr>
              <w:tab/>
              <w:t>observations and reports provided by the Member States;</w:t>
            </w:r>
          </w:p>
          <w:p w:rsidR="002A6758" w:rsidRPr="00BA183C" w:rsidP="00CC5190" w14:paraId="625926DE" w14:textId="77777777">
            <w:pPr>
              <w:pStyle w:val="Normal6a"/>
              <w:rPr>
                <w:b/>
                <w:bCs/>
                <w:i/>
                <w:iCs/>
              </w:rPr>
            </w:pPr>
            <w:r w:rsidRPr="00BA183C">
              <w:rPr>
                <w:b/>
                <w:bCs/>
                <w:i/>
                <w:iCs/>
              </w:rPr>
              <w:t>e.</w:t>
            </w:r>
            <w:r w:rsidRPr="00BA183C">
              <w:rPr>
                <w:b/>
                <w:bCs/>
                <w:i/>
                <w:iCs/>
              </w:rPr>
              <w:tab/>
              <w:t xml:space="preserve">all internal documents containing legal analyses, assessments or other relevant documents of the Commission - including relevant information received by the Commission from final recipients - leading to the adoption of measures, the extension, the modification or the lifting of the measures or the non-initiation of the applicable procedures. </w:t>
            </w:r>
          </w:p>
          <w:p w:rsidR="002A6758" w:rsidRPr="00BA183C" w:rsidP="00CC5190" w14:paraId="1135006C" w14:textId="77777777">
            <w:pPr>
              <w:pStyle w:val="Normal6a"/>
              <w:rPr>
                <w:b/>
                <w:bCs/>
                <w:i/>
                <w:iCs/>
              </w:rPr>
            </w:pPr>
            <w:r w:rsidRPr="00BA183C">
              <w:rPr>
                <w:b/>
                <w:bCs/>
                <w:i/>
                <w:iCs/>
              </w:rPr>
              <w:t>26. (new)</w:t>
            </w:r>
            <w:r w:rsidRPr="00BA183C">
              <w:rPr>
                <w:b/>
                <w:bCs/>
                <w:i/>
                <w:iCs/>
              </w:rPr>
              <w:tab/>
              <w:t>A secure communication channel shall be agreed upon to safeguard confidentiality, whenever necessary.</w:t>
            </w:r>
          </w:p>
          <w:p w:rsidR="002A6758" w:rsidRPr="00BA183C" w:rsidP="00CC5190" w14:paraId="395DE6AF" w14:textId="77777777">
            <w:pPr>
              <w:pStyle w:val="Normal6a"/>
              <w:rPr>
                <w:b/>
                <w:bCs/>
                <w:i/>
                <w:iCs/>
              </w:rPr>
            </w:pPr>
            <w:r w:rsidRPr="00BA183C">
              <w:rPr>
                <w:b/>
                <w:bCs/>
                <w:i/>
                <w:iCs/>
              </w:rPr>
              <w:t>Part B. Consultation and Dialogue</w:t>
            </w:r>
          </w:p>
          <w:p w:rsidR="002A6758" w:rsidRPr="00BA183C" w:rsidP="00CC5190" w14:paraId="62678AEF" w14:textId="77777777">
            <w:pPr>
              <w:pStyle w:val="Normal6a"/>
              <w:rPr>
                <w:b/>
                <w:bCs/>
                <w:i/>
                <w:iCs/>
              </w:rPr>
            </w:pPr>
            <w:r w:rsidRPr="00BA183C">
              <w:rPr>
                <w:b/>
                <w:bCs/>
                <w:i/>
                <w:iCs/>
              </w:rPr>
              <w:t>27. (new)</w:t>
            </w:r>
            <w:r w:rsidRPr="00BA183C">
              <w:rPr>
                <w:b/>
                <w:bCs/>
                <w:i/>
                <w:iCs/>
              </w:rPr>
              <w:tab/>
              <w:t xml:space="preserve">The Commission shall provide information to the European Parliament and the Council before the Commission presents any proposal for the adoption, extension, modification or the lifting of measures, and </w:t>
            </w:r>
            <w:r w:rsidRPr="00BA183C">
              <w:rPr>
                <w:b/>
                <w:bCs/>
                <w:i/>
                <w:iCs/>
              </w:rPr>
              <w:t>take into account</w:t>
            </w:r>
            <w:r w:rsidRPr="00BA183C">
              <w:rPr>
                <w:b/>
                <w:bCs/>
                <w:i/>
                <w:iCs/>
              </w:rPr>
              <w:t xml:space="preserve"> the views expressed in this context.</w:t>
            </w:r>
          </w:p>
          <w:p w:rsidR="002A6758" w:rsidRPr="00BA183C" w:rsidP="00CC5190" w14:paraId="3949D7FA" w14:textId="77777777">
            <w:pPr>
              <w:pStyle w:val="Normal6a"/>
              <w:rPr>
                <w:b/>
                <w:bCs/>
                <w:i/>
                <w:iCs/>
              </w:rPr>
            </w:pPr>
            <w:r w:rsidRPr="00BA183C">
              <w:rPr>
                <w:b/>
                <w:bCs/>
                <w:i/>
                <w:iCs/>
              </w:rPr>
              <w:t>28.</w:t>
            </w:r>
            <w:r w:rsidRPr="00BA183C">
              <w:rPr>
                <w:b/>
                <w:bCs/>
                <w:i/>
                <w:iCs/>
              </w:rPr>
              <w:tab/>
              <w:t>The Commission shall hold quarterly structured dialogues with the relevant European Parliament committees to guarantee real-time information flow and reinforce democratic oversight.</w:t>
            </w:r>
          </w:p>
          <w:p w:rsidR="002A6758" w:rsidRPr="00BA183C" w:rsidP="00CC5190" w14:paraId="60EF73E6" w14:textId="77777777">
            <w:pPr>
              <w:pStyle w:val="Normal6a"/>
              <w:rPr>
                <w:b/>
                <w:bCs/>
                <w:i/>
                <w:iCs/>
              </w:rPr>
            </w:pPr>
            <w:r w:rsidRPr="00BA183C">
              <w:rPr>
                <w:b/>
                <w:bCs/>
                <w:i/>
                <w:iCs/>
              </w:rPr>
              <w:t>29.</w:t>
            </w:r>
            <w:r w:rsidRPr="00BA183C">
              <w:rPr>
                <w:b/>
                <w:bCs/>
                <w:i/>
                <w:iCs/>
              </w:rPr>
              <w:tab/>
              <w:t>The Institutions shall convene regular high-level meetings to improve coordination regarding the rule of law toolbox.</w:t>
            </w:r>
          </w:p>
          <w:p w:rsidR="002A6758" w:rsidRPr="00BA183C" w:rsidP="00CC5190" w14:paraId="5D3E35D7" w14:textId="77777777">
            <w:pPr>
              <w:pStyle w:val="Normal6a"/>
              <w:rPr>
                <w:b/>
                <w:bCs/>
                <w:i/>
                <w:iCs/>
              </w:rPr>
            </w:pPr>
            <w:r w:rsidRPr="00BA183C">
              <w:rPr>
                <w:b/>
                <w:bCs/>
                <w:i/>
                <w:iCs/>
              </w:rPr>
              <w:t>Part C. Transparency and Annual Reporting</w:t>
            </w:r>
          </w:p>
          <w:p w:rsidR="002A6758" w:rsidRPr="00BA183C" w:rsidP="00CC5190" w14:paraId="36A4598A" w14:textId="77777777">
            <w:pPr>
              <w:pStyle w:val="Normal6a"/>
              <w:rPr>
                <w:szCs w:val="24"/>
              </w:rPr>
            </w:pPr>
            <w:r w:rsidRPr="00BA183C">
              <w:rPr>
                <w:b/>
                <w:bCs/>
                <w:i/>
                <w:iCs/>
              </w:rPr>
              <w:t>30.</w:t>
            </w:r>
            <w:r w:rsidRPr="00BA183C">
              <w:rPr>
                <w:b/>
                <w:bCs/>
                <w:i/>
                <w:iCs/>
              </w:rPr>
              <w:tab/>
              <w:t xml:space="preserve">The Commission shall transmit to the European Parliament and the Council </w:t>
            </w:r>
            <w:r w:rsidRPr="00BA183C">
              <w:rPr>
                <w:b/>
                <w:bCs/>
                <w:i/>
                <w:iCs/>
              </w:rPr>
              <w:t>a consolidated annual inventory of all conditionality-related decisions across budget headings in the context of the annual budgetary procedure.</w:t>
            </w:r>
          </w:p>
        </w:tc>
      </w:tr>
    </w:tbl>
    <w:p w:rsidR="002A6758" w:rsidRPr="00BA183C" w:rsidP="002A6758" w14:paraId="12D8BD43" w14:textId="77777777"/>
    <w:p w:rsidR="002A6758" w:rsidRPr="00BA183C" w:rsidP="002A6758" w14:paraId="1FE17C2C" w14:textId="77777777">
      <w:pPr>
        <w:pStyle w:val="AmNumberTabs"/>
        <w:keepNext/>
      </w:pPr>
      <w:r w:rsidRPr="00BA183C">
        <w:t>Modification</w:t>
      </w:r>
      <w:r w:rsidRPr="00BA183C">
        <w:tab/>
      </w:r>
      <w:r w:rsidRPr="00BA183C">
        <w:tab/>
        <w:t>44</w:t>
      </w:r>
    </w:p>
    <w:p w:rsidR="002A6758" w:rsidRPr="00BA183C" w:rsidP="002A6758" w14:paraId="28656CBE" w14:textId="77777777">
      <w:pPr>
        <w:pStyle w:val="NormalBold12b"/>
        <w:keepNext/>
      </w:pPr>
      <w:r w:rsidRPr="00BA183C">
        <w:t xml:space="preserve"> Proposal for Interinstitutional Agreement</w:t>
      </w:r>
    </w:p>
    <w:p w:rsidR="002A6758" w:rsidRPr="00BA183C" w:rsidP="002A6758" w14:paraId="560976CF" w14:textId="77777777">
      <w:pPr>
        <w:pStyle w:val="NormalBold12b"/>
        <w:keepNext/>
        <w:spacing w:before="0"/>
      </w:pPr>
      <w:r w:rsidRPr="00BA183C">
        <w:t xml:space="preserve"> Annex</w:t>
      </w:r>
    </w:p>
    <w:p w:rsidR="002A6758" w:rsidRPr="00BA183C" w:rsidP="002A6758" w14:paraId="441FCF78" w14:textId="77777777">
      <w:pPr>
        <w:pStyle w:val="NormalBold12b"/>
        <w:keepNext/>
        <w:spacing w:before="0"/>
      </w:pPr>
      <w:r w:rsidRPr="00BA183C">
        <w:t xml:space="preserve"> </w:t>
      </w:r>
      <w:r w:rsidRPr="00BA183C">
        <w:rPr>
          <w:b w:val="0"/>
          <w:bCs/>
        </w:rPr>
        <w:t xml:space="preserve">Part A – point 1 a (new) </w:t>
      </w:r>
    </w:p>
    <w:tbl>
      <w:tblPr>
        <w:tblW w:w="9752" w:type="dxa"/>
        <w:jc w:val="center"/>
        <w:tblLayout w:type="fixed"/>
        <w:tblCellMar>
          <w:left w:w="340" w:type="dxa"/>
          <w:right w:w="340" w:type="dxa"/>
        </w:tblCellMar>
        <w:tblLook w:val="0000"/>
      </w:tblPr>
      <w:tblGrid>
        <w:gridCol w:w="4876"/>
        <w:gridCol w:w="4876"/>
      </w:tblGrid>
      <w:tr w14:paraId="75701CD3" w14:textId="77777777" w:rsidTr="00CC5190">
        <w:tblPrEx>
          <w:tblW w:w="9752" w:type="dxa"/>
          <w:jc w:val="center"/>
          <w:tblLayout w:type="fixed"/>
          <w:tblLook w:val="0000"/>
        </w:tblPrEx>
        <w:trPr>
          <w:jc w:val="center"/>
        </w:trPr>
        <w:tc>
          <w:tcPr>
            <w:tcW w:w="9752" w:type="dxa"/>
            <w:gridSpan w:val="2"/>
          </w:tcPr>
          <w:p w:rsidR="002A6758" w:rsidRPr="00BA183C" w:rsidP="00CC5190" w14:paraId="13671A7E" w14:textId="77777777">
            <w:pPr>
              <w:keepNext/>
            </w:pPr>
          </w:p>
        </w:tc>
      </w:tr>
      <w:tr w14:paraId="56A759FD" w14:textId="77777777" w:rsidTr="00CC5190">
        <w:tblPrEx>
          <w:tblW w:w="9752" w:type="dxa"/>
          <w:jc w:val="center"/>
          <w:tblLayout w:type="fixed"/>
          <w:tblLook w:val="0000"/>
        </w:tblPrEx>
        <w:trPr>
          <w:jc w:val="center"/>
        </w:trPr>
        <w:tc>
          <w:tcPr>
            <w:tcW w:w="4876" w:type="dxa"/>
          </w:tcPr>
          <w:p w:rsidR="002A6758" w:rsidRPr="00BA183C" w:rsidP="00CC5190" w14:paraId="690ECEAC" w14:textId="77777777">
            <w:pPr>
              <w:pStyle w:val="AmColumnHeading"/>
              <w:keepNext/>
            </w:pPr>
            <w:r w:rsidRPr="00BA183C">
              <w:t>Text proposed by the Commission</w:t>
            </w:r>
          </w:p>
        </w:tc>
        <w:tc>
          <w:tcPr>
            <w:tcW w:w="4876" w:type="dxa"/>
          </w:tcPr>
          <w:p w:rsidR="002A6758" w:rsidRPr="00BA183C" w:rsidP="00CC5190" w14:paraId="781B9EC8" w14:textId="77777777">
            <w:pPr>
              <w:pStyle w:val="AmColumnHeading"/>
              <w:keepNext/>
            </w:pPr>
            <w:r w:rsidRPr="00BA183C">
              <w:t>Modification</w:t>
            </w:r>
          </w:p>
        </w:tc>
      </w:tr>
      <w:tr w14:paraId="4F0E6CA6" w14:textId="77777777" w:rsidTr="00CC5190">
        <w:tblPrEx>
          <w:tblW w:w="9752" w:type="dxa"/>
          <w:jc w:val="center"/>
          <w:tblLayout w:type="fixed"/>
          <w:tblLook w:val="0000"/>
        </w:tblPrEx>
        <w:trPr>
          <w:jc w:val="center"/>
        </w:trPr>
        <w:tc>
          <w:tcPr>
            <w:tcW w:w="4876" w:type="dxa"/>
          </w:tcPr>
          <w:p w:rsidR="002A6758" w:rsidRPr="00BA183C" w:rsidP="00CC5190" w14:paraId="6D341826" w14:textId="77777777">
            <w:pPr>
              <w:pStyle w:val="AmColumnHeading"/>
              <w:keepNext/>
              <w:jc w:val="left"/>
            </w:pPr>
          </w:p>
        </w:tc>
        <w:tc>
          <w:tcPr>
            <w:tcW w:w="4876" w:type="dxa"/>
          </w:tcPr>
          <w:p w:rsidR="002A6758" w:rsidRPr="00BA183C" w:rsidP="00CC5190" w14:paraId="028F5076" w14:textId="77777777">
            <w:pPr>
              <w:pStyle w:val="AmColumnHeading"/>
              <w:jc w:val="left"/>
            </w:pPr>
            <w:r w:rsidRPr="00BA183C">
              <w:rPr>
                <w:b/>
                <w:bCs/>
                <w:iCs/>
              </w:rPr>
              <w:t>1a.</w:t>
            </w:r>
            <w:r w:rsidRPr="00BA183C">
              <w:rPr>
                <w:b/>
                <w:bCs/>
                <w:iCs/>
              </w:rPr>
              <w:tab/>
            </w:r>
            <w:r w:rsidRPr="00BA183C">
              <w:rPr>
                <w:b/>
                <w:bCs/>
                <w:iCs/>
              </w:rPr>
              <w:t>In order to</w:t>
            </w:r>
            <w:r w:rsidRPr="00BA183C">
              <w:rPr>
                <w:b/>
                <w:bCs/>
                <w:iCs/>
              </w:rPr>
              <w:t xml:space="preserve"> ensure that the European Parliament and the Council are able to exercise their budgetary prerogatives in an effective manner, budgetary positions, transfers or other notifications entailing the activation of deadlines shall be submitted taking due account of any recess periods, the dates of which those institutions have informed each other in due time through their respective services.</w:t>
            </w:r>
          </w:p>
        </w:tc>
      </w:tr>
    </w:tbl>
    <w:p w:rsidR="002A6758" w:rsidRPr="00BA183C" w:rsidP="002A6758" w14:paraId="776AF578" w14:textId="77777777"/>
    <w:p w:rsidR="002A6758" w:rsidRPr="00BA183C" w:rsidP="002A6758" w14:paraId="5D57F347" w14:textId="77777777">
      <w:pPr>
        <w:pStyle w:val="AmNumberTabs"/>
        <w:keepNext/>
      </w:pPr>
      <w:r w:rsidRPr="00BA183C">
        <w:t>Modification</w:t>
      </w:r>
      <w:r w:rsidRPr="00BA183C">
        <w:tab/>
      </w:r>
      <w:r w:rsidRPr="00BA183C">
        <w:tab/>
        <w:t>45</w:t>
      </w:r>
    </w:p>
    <w:p w:rsidR="002A6758" w:rsidRPr="00BA183C" w:rsidP="002A6758" w14:paraId="121CE035" w14:textId="77777777">
      <w:pPr>
        <w:pStyle w:val="NormalBold12b"/>
        <w:keepNext/>
      </w:pPr>
      <w:r w:rsidRPr="00BA183C">
        <w:t xml:space="preserve"> Proposal for Interinstitutional Agreement</w:t>
      </w:r>
    </w:p>
    <w:p w:rsidR="002A6758" w:rsidRPr="00BA183C" w:rsidP="002A6758" w14:paraId="78D21CEE" w14:textId="77777777">
      <w:pPr>
        <w:pStyle w:val="NormalBold12b"/>
        <w:keepNext/>
        <w:spacing w:before="0"/>
      </w:pPr>
      <w:r w:rsidRPr="00BA183C">
        <w:t xml:space="preserve"> Annex</w:t>
      </w:r>
    </w:p>
    <w:p w:rsidR="002A6758" w:rsidRPr="00BA183C" w:rsidP="002A6758" w14:paraId="2FACC1D6" w14:textId="77777777">
      <w:pPr>
        <w:pStyle w:val="NormalBold12b"/>
        <w:keepNext/>
        <w:spacing w:before="0"/>
      </w:pPr>
      <w:r w:rsidRPr="00BA183C">
        <w:t xml:space="preserve"> </w:t>
      </w:r>
      <w:r w:rsidRPr="00BA183C">
        <w:rPr>
          <w:b w:val="0"/>
          <w:bCs/>
        </w:rPr>
        <w:t xml:space="preserve">Part B – point 2 </w:t>
      </w:r>
    </w:p>
    <w:tbl>
      <w:tblPr>
        <w:tblW w:w="9752" w:type="dxa"/>
        <w:jc w:val="center"/>
        <w:tblLayout w:type="fixed"/>
        <w:tblCellMar>
          <w:left w:w="340" w:type="dxa"/>
          <w:right w:w="340" w:type="dxa"/>
        </w:tblCellMar>
        <w:tblLook w:val="0000"/>
      </w:tblPr>
      <w:tblGrid>
        <w:gridCol w:w="4876"/>
        <w:gridCol w:w="4876"/>
      </w:tblGrid>
      <w:tr w14:paraId="19667C9F" w14:textId="77777777" w:rsidTr="00CC5190">
        <w:tblPrEx>
          <w:tblW w:w="9752" w:type="dxa"/>
          <w:jc w:val="center"/>
          <w:tblLayout w:type="fixed"/>
          <w:tblLook w:val="0000"/>
        </w:tblPrEx>
        <w:trPr>
          <w:jc w:val="center"/>
        </w:trPr>
        <w:tc>
          <w:tcPr>
            <w:tcW w:w="9752" w:type="dxa"/>
            <w:gridSpan w:val="2"/>
          </w:tcPr>
          <w:p w:rsidR="002A6758" w:rsidRPr="00BA183C" w:rsidP="00CC5190" w14:paraId="1194ED76" w14:textId="77777777">
            <w:pPr>
              <w:keepNext/>
            </w:pPr>
          </w:p>
        </w:tc>
      </w:tr>
      <w:tr w14:paraId="6723B7C4" w14:textId="77777777" w:rsidTr="00CC5190">
        <w:tblPrEx>
          <w:tblW w:w="9752" w:type="dxa"/>
          <w:jc w:val="center"/>
          <w:tblLayout w:type="fixed"/>
          <w:tblLook w:val="0000"/>
        </w:tblPrEx>
        <w:trPr>
          <w:jc w:val="center"/>
        </w:trPr>
        <w:tc>
          <w:tcPr>
            <w:tcW w:w="4876" w:type="dxa"/>
          </w:tcPr>
          <w:p w:rsidR="002A6758" w:rsidRPr="00BA183C" w:rsidP="00CC5190" w14:paraId="0BC78E72" w14:textId="77777777">
            <w:pPr>
              <w:pStyle w:val="AmColumnHeading"/>
              <w:keepNext/>
            </w:pPr>
            <w:r w:rsidRPr="00BA183C">
              <w:t>Text proposed by the Commission</w:t>
            </w:r>
          </w:p>
        </w:tc>
        <w:tc>
          <w:tcPr>
            <w:tcW w:w="4876" w:type="dxa"/>
          </w:tcPr>
          <w:p w:rsidR="002A6758" w:rsidRPr="00BA183C" w:rsidP="00CC5190" w14:paraId="01B0651D" w14:textId="77777777">
            <w:pPr>
              <w:pStyle w:val="AmColumnHeading"/>
              <w:keepNext/>
            </w:pPr>
            <w:r w:rsidRPr="00BA183C">
              <w:t>Modification</w:t>
            </w:r>
          </w:p>
        </w:tc>
      </w:tr>
      <w:tr w14:paraId="4F97CEC3" w14:textId="77777777" w:rsidTr="00CC5190">
        <w:tblPrEx>
          <w:tblW w:w="9752" w:type="dxa"/>
          <w:jc w:val="center"/>
          <w:tblLayout w:type="fixed"/>
          <w:tblLook w:val="0000"/>
        </w:tblPrEx>
        <w:trPr>
          <w:jc w:val="center"/>
        </w:trPr>
        <w:tc>
          <w:tcPr>
            <w:tcW w:w="4876" w:type="dxa"/>
          </w:tcPr>
          <w:p w:rsidR="002A6758" w:rsidRPr="00BA183C" w:rsidP="00CC5190" w14:paraId="604DB6D1" w14:textId="77777777">
            <w:pPr>
              <w:pStyle w:val="AmColumnHeading"/>
              <w:keepNext/>
              <w:jc w:val="left"/>
            </w:pPr>
            <w:r w:rsidRPr="00BA183C">
              <w:rPr>
                <w:i w:val="0"/>
              </w:rPr>
              <w:t>2.</w:t>
            </w:r>
            <w:r w:rsidRPr="00BA183C">
              <w:rPr>
                <w:i w:val="0"/>
              </w:rPr>
              <w:tab/>
              <w:t xml:space="preserve">In due time before the adoption of the draft budget by the Commission, a budgetary trilogue shall be convened to discuss the funding priorities for the budget of the coming financial year. The discussions </w:t>
            </w:r>
            <w:r w:rsidRPr="00BA183C">
              <w:rPr>
                <w:b/>
                <w:bCs/>
                <w:iCs/>
              </w:rPr>
              <w:t>will</w:t>
            </w:r>
            <w:r w:rsidRPr="00BA183C">
              <w:rPr>
                <w:i w:val="0"/>
              </w:rPr>
              <w:t xml:space="preserve"> </w:t>
            </w:r>
            <w:r w:rsidRPr="00BA183C">
              <w:rPr>
                <w:i w:val="0"/>
              </w:rPr>
              <w:t>take into account</w:t>
            </w:r>
            <w:r w:rsidRPr="00BA183C">
              <w:rPr>
                <w:i w:val="0"/>
              </w:rPr>
              <w:t xml:space="preserve"> the Union’s policy priorities identified by the </w:t>
            </w:r>
            <w:r w:rsidRPr="00BA183C">
              <w:rPr>
                <w:b/>
                <w:bCs/>
                <w:iCs/>
              </w:rPr>
              <w:t>Institutions</w:t>
            </w:r>
            <w:r w:rsidRPr="00BA183C">
              <w:rPr>
                <w:i w:val="0"/>
              </w:rPr>
              <w:t xml:space="preserve"> in relevant documents and </w:t>
            </w:r>
            <w:r w:rsidRPr="00BA183C">
              <w:rPr>
                <w:b/>
                <w:bCs/>
                <w:iCs/>
              </w:rPr>
              <w:t xml:space="preserve">will </w:t>
            </w:r>
            <w:r w:rsidRPr="00BA183C">
              <w:rPr>
                <w:i w:val="0"/>
              </w:rPr>
              <w:t>aim to inform the budgetary procedure and explore how the priorities can best be reflected in the next budget.</w:t>
            </w:r>
          </w:p>
        </w:tc>
        <w:tc>
          <w:tcPr>
            <w:tcW w:w="4876" w:type="dxa"/>
          </w:tcPr>
          <w:p w:rsidR="002A6758" w:rsidRPr="00BA183C" w:rsidP="00CC5190" w14:paraId="206B4DE3" w14:textId="77777777">
            <w:pPr>
              <w:pStyle w:val="Normal6a"/>
              <w:rPr>
                <w:szCs w:val="24"/>
              </w:rPr>
            </w:pPr>
            <w:r w:rsidRPr="00BA183C">
              <w:t>2.</w:t>
            </w:r>
            <w:r w:rsidRPr="00BA183C">
              <w:tab/>
            </w:r>
            <w:r w:rsidRPr="00BA183C">
              <w:rPr>
                <w:iCs/>
              </w:rPr>
              <w:t xml:space="preserve">In due time before the adoption of the draft budget by the Commission, a budgetary trilogue shall be convened to discuss the </w:t>
            </w:r>
            <w:r w:rsidRPr="00BA183C">
              <w:rPr>
                <w:b/>
                <w:bCs/>
                <w:i/>
                <w:iCs/>
              </w:rPr>
              <w:t>possible</w:t>
            </w:r>
            <w:r w:rsidRPr="00BA183C">
              <w:rPr>
                <w:i/>
                <w:iCs/>
              </w:rPr>
              <w:t xml:space="preserve"> </w:t>
            </w:r>
            <w:r w:rsidRPr="00BA183C">
              <w:rPr>
                <w:iCs/>
              </w:rPr>
              <w:t>funding priorities for the budget of the coming financial year. The discussions</w:t>
            </w:r>
            <w:r w:rsidRPr="00BA183C">
              <w:rPr>
                <w:i/>
              </w:rPr>
              <w:t xml:space="preserve"> </w:t>
            </w:r>
            <w:r w:rsidRPr="00BA183C">
              <w:rPr>
                <w:b/>
                <w:bCs/>
                <w:i/>
              </w:rPr>
              <w:t>shall</w:t>
            </w:r>
            <w:r w:rsidRPr="00BA183C">
              <w:rPr>
                <w:iCs/>
              </w:rPr>
              <w:t xml:space="preserve"> </w:t>
            </w:r>
            <w:r w:rsidRPr="00BA183C">
              <w:rPr>
                <w:iCs/>
              </w:rPr>
              <w:t>take into account</w:t>
            </w:r>
            <w:r w:rsidRPr="00BA183C">
              <w:rPr>
                <w:iCs/>
              </w:rPr>
              <w:t xml:space="preserve"> the Union’s policy priorities identified by the </w:t>
            </w:r>
            <w:r w:rsidRPr="00BA183C">
              <w:rPr>
                <w:b/>
                <w:bCs/>
                <w:i/>
                <w:iCs/>
              </w:rPr>
              <w:t>European Parliament and the Council, as the budgetary authority,</w:t>
            </w:r>
            <w:r w:rsidRPr="00BA183C">
              <w:rPr>
                <w:iCs/>
              </w:rPr>
              <w:t xml:space="preserve"> in </w:t>
            </w:r>
            <w:r w:rsidRPr="00BA183C">
              <w:rPr>
                <w:b/>
                <w:bCs/>
                <w:i/>
                <w:iCs/>
              </w:rPr>
              <w:t>any</w:t>
            </w:r>
            <w:r w:rsidRPr="00BA183C">
              <w:rPr>
                <w:i/>
                <w:iCs/>
              </w:rPr>
              <w:t xml:space="preserve"> </w:t>
            </w:r>
            <w:r w:rsidRPr="00BA183C">
              <w:rPr>
                <w:iCs/>
              </w:rPr>
              <w:t>relevant documents and</w:t>
            </w:r>
            <w:r w:rsidRPr="00BA183C">
              <w:rPr>
                <w:i/>
                <w:iCs/>
              </w:rPr>
              <w:t xml:space="preserve"> </w:t>
            </w:r>
            <w:r w:rsidRPr="00BA183C">
              <w:rPr>
                <w:b/>
                <w:bCs/>
                <w:i/>
                <w:iCs/>
              </w:rPr>
              <w:t>shall</w:t>
            </w:r>
            <w:r w:rsidRPr="00BA183C">
              <w:rPr>
                <w:iCs/>
              </w:rPr>
              <w:t xml:space="preserve"> aim to inform the budgetary procedure and explore how the priorities can best be reflected in the next budget.</w:t>
            </w:r>
          </w:p>
        </w:tc>
      </w:tr>
    </w:tbl>
    <w:p w:rsidR="002A6758" w:rsidRPr="00BA183C" w:rsidP="002A6758" w14:paraId="0DE3EBC1" w14:textId="77777777"/>
    <w:p w:rsidR="002A6758" w:rsidRPr="00BA183C" w:rsidP="002A6758" w14:paraId="7BD80794" w14:textId="77777777">
      <w:pPr>
        <w:pStyle w:val="AmNumberTabs"/>
        <w:keepNext/>
      </w:pPr>
      <w:r w:rsidRPr="00BA183C">
        <w:t>Modification</w:t>
      </w:r>
      <w:r w:rsidRPr="00BA183C">
        <w:tab/>
      </w:r>
      <w:r w:rsidRPr="00BA183C">
        <w:tab/>
        <w:t>46</w:t>
      </w:r>
    </w:p>
    <w:p w:rsidR="002A6758" w:rsidRPr="00BA183C" w:rsidP="002A6758" w14:paraId="29A7A903" w14:textId="77777777">
      <w:pPr>
        <w:pStyle w:val="NormalBold12b"/>
        <w:keepNext/>
      </w:pPr>
      <w:r w:rsidRPr="00BA183C">
        <w:t xml:space="preserve"> Proposal for Interinstitutional Agreement</w:t>
      </w:r>
    </w:p>
    <w:p w:rsidR="002A6758" w:rsidRPr="00BA183C" w:rsidP="002A6758" w14:paraId="200B8F77" w14:textId="77777777">
      <w:pPr>
        <w:pStyle w:val="NormalBold12b"/>
        <w:keepNext/>
        <w:spacing w:before="0"/>
      </w:pPr>
      <w:r w:rsidRPr="00BA183C">
        <w:t xml:space="preserve"> Annex</w:t>
      </w:r>
    </w:p>
    <w:p w:rsidR="002A6758" w:rsidRPr="00BA183C" w:rsidP="002A6758" w14:paraId="768B849F" w14:textId="77777777">
      <w:pPr>
        <w:pStyle w:val="NormalBold12b"/>
        <w:keepNext/>
        <w:spacing w:before="0"/>
      </w:pPr>
      <w:r w:rsidRPr="00BA183C">
        <w:t xml:space="preserve"> </w:t>
      </w:r>
      <w:r w:rsidRPr="00BA183C">
        <w:rPr>
          <w:b w:val="0"/>
          <w:bCs/>
        </w:rPr>
        <w:t>Part D – point 13</w:t>
      </w:r>
    </w:p>
    <w:p w:rsidR="002A6758" w:rsidRPr="00BA183C" w:rsidP="002A6758" w14:paraId="616BB109" w14:textId="77777777"/>
    <w:tbl>
      <w:tblPr>
        <w:tblW w:w="9752" w:type="dxa"/>
        <w:jc w:val="center"/>
        <w:tblLayout w:type="fixed"/>
        <w:tblCellMar>
          <w:left w:w="340" w:type="dxa"/>
          <w:right w:w="340" w:type="dxa"/>
        </w:tblCellMar>
        <w:tblLook w:val="0000"/>
      </w:tblPr>
      <w:tblGrid>
        <w:gridCol w:w="4876"/>
        <w:gridCol w:w="4876"/>
      </w:tblGrid>
      <w:tr w14:paraId="1A373623" w14:textId="77777777" w:rsidTr="00CC5190">
        <w:tblPrEx>
          <w:tblW w:w="9752" w:type="dxa"/>
          <w:jc w:val="center"/>
          <w:tblLayout w:type="fixed"/>
          <w:tblLook w:val="0000"/>
        </w:tblPrEx>
        <w:trPr>
          <w:jc w:val="center"/>
        </w:trPr>
        <w:tc>
          <w:tcPr>
            <w:tcW w:w="9752" w:type="dxa"/>
            <w:gridSpan w:val="2"/>
          </w:tcPr>
          <w:p w:rsidR="002A6758" w:rsidRPr="00BA183C" w:rsidP="00CC5190" w14:paraId="7B73880C" w14:textId="77777777">
            <w:pPr>
              <w:keepNext/>
            </w:pPr>
          </w:p>
        </w:tc>
      </w:tr>
      <w:tr w14:paraId="524456AC" w14:textId="77777777" w:rsidTr="00CC5190">
        <w:tblPrEx>
          <w:tblW w:w="9752" w:type="dxa"/>
          <w:jc w:val="center"/>
          <w:tblLayout w:type="fixed"/>
          <w:tblLook w:val="0000"/>
        </w:tblPrEx>
        <w:trPr>
          <w:jc w:val="center"/>
        </w:trPr>
        <w:tc>
          <w:tcPr>
            <w:tcW w:w="4876" w:type="dxa"/>
          </w:tcPr>
          <w:p w:rsidR="002A6758" w:rsidRPr="00BA183C" w:rsidP="00CC5190" w14:paraId="5324A745" w14:textId="77777777">
            <w:pPr>
              <w:pStyle w:val="AmColumnHeading"/>
              <w:keepNext/>
            </w:pPr>
            <w:r w:rsidRPr="00BA183C">
              <w:t>Text proposed by the Commission</w:t>
            </w:r>
          </w:p>
        </w:tc>
        <w:tc>
          <w:tcPr>
            <w:tcW w:w="4876" w:type="dxa"/>
          </w:tcPr>
          <w:p w:rsidR="002A6758" w:rsidRPr="00BA183C" w:rsidP="00CC5190" w14:paraId="4031D1A4" w14:textId="77777777">
            <w:pPr>
              <w:pStyle w:val="AmColumnHeading"/>
              <w:keepNext/>
            </w:pPr>
            <w:r w:rsidRPr="00BA183C">
              <w:t>Modification</w:t>
            </w:r>
          </w:p>
        </w:tc>
      </w:tr>
      <w:tr w14:paraId="3D6FED8D" w14:textId="77777777" w:rsidTr="00CC5190">
        <w:tblPrEx>
          <w:tblW w:w="9752" w:type="dxa"/>
          <w:jc w:val="center"/>
          <w:tblLayout w:type="fixed"/>
          <w:tblLook w:val="0000"/>
        </w:tblPrEx>
        <w:trPr>
          <w:jc w:val="center"/>
        </w:trPr>
        <w:tc>
          <w:tcPr>
            <w:tcW w:w="4876" w:type="dxa"/>
          </w:tcPr>
          <w:p w:rsidR="002A6758" w:rsidRPr="00BA183C" w:rsidP="00CC5190" w14:paraId="22BDD303" w14:textId="77777777">
            <w:pPr>
              <w:pStyle w:val="Normal6a"/>
              <w:rPr>
                <w:iCs/>
              </w:rPr>
            </w:pPr>
            <w:r w:rsidRPr="00BA183C">
              <w:t>13.</w:t>
            </w:r>
            <w:r w:rsidRPr="00BA183C">
              <w:tab/>
            </w:r>
            <w:r w:rsidRPr="00BA183C">
              <w:rPr>
                <w:iCs/>
              </w:rPr>
              <w:t xml:space="preserve">A budgetary trilogue </w:t>
            </w:r>
            <w:r w:rsidRPr="00BA183C">
              <w:rPr>
                <w:b/>
                <w:bCs/>
                <w:i/>
                <w:iCs/>
              </w:rPr>
              <w:t xml:space="preserve">could </w:t>
            </w:r>
            <w:r w:rsidRPr="00BA183C">
              <w:rPr>
                <w:iCs/>
              </w:rPr>
              <w:t>be convened before the votes in plenary of the European Parliament.</w:t>
            </w:r>
          </w:p>
        </w:tc>
        <w:tc>
          <w:tcPr>
            <w:tcW w:w="4876" w:type="dxa"/>
          </w:tcPr>
          <w:p w:rsidR="002A6758" w:rsidRPr="00BA183C" w:rsidP="00CC5190" w14:paraId="6754DB5A" w14:textId="77777777">
            <w:pPr>
              <w:pStyle w:val="Normal6a"/>
              <w:rPr>
                <w:iCs/>
              </w:rPr>
            </w:pPr>
            <w:r w:rsidRPr="00BA183C">
              <w:t>13.</w:t>
            </w:r>
            <w:r w:rsidRPr="00BA183C">
              <w:tab/>
            </w:r>
            <w:r w:rsidRPr="00BA183C">
              <w:rPr>
                <w:iCs/>
              </w:rPr>
              <w:t xml:space="preserve">A budgetary trilogue </w:t>
            </w:r>
            <w:r w:rsidRPr="00BA183C">
              <w:rPr>
                <w:b/>
                <w:bCs/>
                <w:i/>
                <w:iCs/>
              </w:rPr>
              <w:t xml:space="preserve">may </w:t>
            </w:r>
            <w:r w:rsidRPr="00BA183C">
              <w:rPr>
                <w:iCs/>
              </w:rPr>
              <w:t>be convened before the votes in plenary of the European Parliament.</w:t>
            </w:r>
          </w:p>
        </w:tc>
      </w:tr>
    </w:tbl>
    <w:p w:rsidR="002A6758" w:rsidRPr="00BA183C" w:rsidP="002A6758" w14:paraId="09F91C9B" w14:textId="77777777"/>
    <w:p w:rsidR="002A6758" w:rsidRPr="00BA183C" w:rsidP="002A6758" w14:paraId="34CB2CBE" w14:textId="77777777">
      <w:pPr>
        <w:pStyle w:val="AmNumberTabs"/>
        <w:keepNext/>
      </w:pPr>
      <w:r w:rsidRPr="00BA183C">
        <w:t>Modification</w:t>
      </w:r>
      <w:r w:rsidRPr="00BA183C">
        <w:tab/>
      </w:r>
      <w:r w:rsidRPr="00BA183C">
        <w:tab/>
        <w:t>47</w:t>
      </w:r>
    </w:p>
    <w:p w:rsidR="002A6758" w:rsidRPr="00BA183C" w:rsidP="002A6758" w14:paraId="718044F8" w14:textId="77777777">
      <w:pPr>
        <w:pStyle w:val="NormalBold12b"/>
        <w:keepNext/>
      </w:pPr>
      <w:r w:rsidRPr="00BA183C">
        <w:t xml:space="preserve"> Proposal for Interinstitutional Agreement</w:t>
      </w:r>
    </w:p>
    <w:p w:rsidR="002A6758" w:rsidRPr="00BA183C" w:rsidP="002A6758" w14:paraId="60E2D707" w14:textId="77777777">
      <w:pPr>
        <w:pStyle w:val="NormalBold12b"/>
        <w:keepNext/>
        <w:spacing w:before="0"/>
      </w:pPr>
      <w:r w:rsidRPr="00BA183C">
        <w:t xml:space="preserve"> Annex</w:t>
      </w:r>
    </w:p>
    <w:p w:rsidR="002A6758" w:rsidRPr="00BA183C" w:rsidP="002A6758" w14:paraId="796007F9" w14:textId="77777777">
      <w:pPr>
        <w:pStyle w:val="NormalBold12b"/>
        <w:keepNext/>
        <w:spacing w:before="0"/>
      </w:pPr>
      <w:r w:rsidRPr="00BA183C">
        <w:t xml:space="preserve"> </w:t>
      </w:r>
      <w:r w:rsidRPr="00BA183C">
        <w:rPr>
          <w:b w:val="0"/>
          <w:bCs/>
        </w:rPr>
        <w:t xml:space="preserve">Part E – point 15 </w:t>
      </w:r>
    </w:p>
    <w:p w:rsidR="002A6758" w:rsidRPr="00BA183C" w:rsidP="002A6758" w14:paraId="741ED2E4" w14:textId="77777777"/>
    <w:tbl>
      <w:tblPr>
        <w:tblW w:w="9752" w:type="dxa"/>
        <w:jc w:val="center"/>
        <w:tblLayout w:type="fixed"/>
        <w:tblCellMar>
          <w:left w:w="340" w:type="dxa"/>
          <w:right w:w="340" w:type="dxa"/>
        </w:tblCellMar>
        <w:tblLook w:val="0000"/>
      </w:tblPr>
      <w:tblGrid>
        <w:gridCol w:w="4876"/>
        <w:gridCol w:w="4876"/>
      </w:tblGrid>
      <w:tr w14:paraId="1429242D" w14:textId="77777777" w:rsidTr="00CC5190">
        <w:tblPrEx>
          <w:tblW w:w="9752" w:type="dxa"/>
          <w:jc w:val="center"/>
          <w:tblLayout w:type="fixed"/>
          <w:tblLook w:val="0000"/>
        </w:tblPrEx>
        <w:trPr>
          <w:jc w:val="center"/>
        </w:trPr>
        <w:tc>
          <w:tcPr>
            <w:tcW w:w="9752" w:type="dxa"/>
            <w:gridSpan w:val="2"/>
          </w:tcPr>
          <w:p w:rsidR="002A6758" w:rsidRPr="00BA183C" w:rsidP="00CC5190" w14:paraId="5D8D6359" w14:textId="77777777">
            <w:pPr>
              <w:keepNext/>
            </w:pPr>
          </w:p>
        </w:tc>
      </w:tr>
      <w:tr w14:paraId="36ECD75A" w14:textId="77777777" w:rsidTr="00CC5190">
        <w:tblPrEx>
          <w:tblW w:w="9752" w:type="dxa"/>
          <w:jc w:val="center"/>
          <w:tblLayout w:type="fixed"/>
          <w:tblLook w:val="0000"/>
        </w:tblPrEx>
        <w:trPr>
          <w:jc w:val="center"/>
        </w:trPr>
        <w:tc>
          <w:tcPr>
            <w:tcW w:w="4876" w:type="dxa"/>
          </w:tcPr>
          <w:p w:rsidR="002A6758" w:rsidRPr="00BA183C" w:rsidP="00CC5190" w14:paraId="095D99D5" w14:textId="77777777">
            <w:pPr>
              <w:pStyle w:val="AmColumnHeading"/>
              <w:keepNext/>
            </w:pPr>
            <w:r w:rsidRPr="00BA183C">
              <w:t>Text proposed by the Commission</w:t>
            </w:r>
          </w:p>
        </w:tc>
        <w:tc>
          <w:tcPr>
            <w:tcW w:w="4876" w:type="dxa"/>
          </w:tcPr>
          <w:p w:rsidR="002A6758" w:rsidRPr="00BA183C" w:rsidP="00CC5190" w14:paraId="66E33ECB" w14:textId="77777777">
            <w:pPr>
              <w:pStyle w:val="AmColumnHeading"/>
              <w:keepNext/>
            </w:pPr>
            <w:r w:rsidRPr="00BA183C">
              <w:t>Modification</w:t>
            </w:r>
          </w:p>
        </w:tc>
      </w:tr>
      <w:tr w14:paraId="4249955D" w14:textId="77777777" w:rsidTr="00CC5190">
        <w:tblPrEx>
          <w:tblW w:w="9752" w:type="dxa"/>
          <w:jc w:val="center"/>
          <w:tblLayout w:type="fixed"/>
          <w:tblLook w:val="0000"/>
        </w:tblPrEx>
        <w:trPr>
          <w:jc w:val="center"/>
        </w:trPr>
        <w:tc>
          <w:tcPr>
            <w:tcW w:w="4876" w:type="dxa"/>
          </w:tcPr>
          <w:p w:rsidR="002A6758" w:rsidRPr="00BA183C" w:rsidP="00CC5190" w14:paraId="370E56DC" w14:textId="77777777">
            <w:pPr>
              <w:pStyle w:val="Normal6a"/>
            </w:pPr>
            <w:r w:rsidRPr="00BA183C">
              <w:t>15.</w:t>
            </w:r>
            <w:r w:rsidRPr="00BA183C">
              <w:tab/>
            </w:r>
            <w:r w:rsidRPr="00BA183C">
              <w:rPr>
                <w:iCs/>
              </w:rPr>
              <w:t xml:space="preserve">If the Council cannot agree on all the amendments adopted by the European Parliament, it </w:t>
            </w:r>
            <w:r w:rsidRPr="00BA183C">
              <w:rPr>
                <w:b/>
                <w:bCs/>
                <w:i/>
                <w:iCs/>
              </w:rPr>
              <w:t xml:space="preserve">should </w:t>
            </w:r>
            <w:r w:rsidRPr="00BA183C">
              <w:rPr>
                <w:iCs/>
              </w:rPr>
              <w:t>confirm its position by letter sent before the first meeting foreseen during the conciliation period. In such case, the Conciliation Committee shall proceed in accordance with the conditions laid down in the following points of this Annex.</w:t>
            </w:r>
          </w:p>
        </w:tc>
        <w:tc>
          <w:tcPr>
            <w:tcW w:w="4876" w:type="dxa"/>
          </w:tcPr>
          <w:p w:rsidR="002A6758" w:rsidRPr="00BA183C" w:rsidP="00CC5190" w14:paraId="3C27147B" w14:textId="77777777">
            <w:pPr>
              <w:pStyle w:val="Normal6a"/>
              <w:rPr>
                <w:iCs/>
              </w:rPr>
            </w:pPr>
            <w:r w:rsidRPr="00BA183C">
              <w:t>15.</w:t>
            </w:r>
            <w:r w:rsidRPr="00BA183C">
              <w:tab/>
            </w:r>
            <w:r w:rsidRPr="00BA183C">
              <w:rPr>
                <w:iCs/>
              </w:rPr>
              <w:t xml:space="preserve">If the Council cannot agree on all the amendments adopted by the European Parliament, it </w:t>
            </w:r>
            <w:r w:rsidRPr="00BA183C">
              <w:rPr>
                <w:b/>
                <w:bCs/>
                <w:i/>
                <w:iCs/>
              </w:rPr>
              <w:t>shall</w:t>
            </w:r>
            <w:r w:rsidRPr="00BA183C">
              <w:rPr>
                <w:iCs/>
              </w:rPr>
              <w:t xml:space="preserve"> confirm its position by letter sent before the first meeting foreseen during the conciliation period. In such case, the Conciliation Committee shall proceed in accordance with the conditions laid down in the following points of this Annex.</w:t>
            </w:r>
          </w:p>
        </w:tc>
      </w:tr>
    </w:tbl>
    <w:p w:rsidR="002A6758" w:rsidRPr="00BA183C" w:rsidP="002A6758" w14:paraId="1BF3F318" w14:textId="77777777"/>
    <w:p w:rsidR="002A6758" w:rsidRPr="00BA183C" w:rsidP="002A6758" w14:paraId="78C19F2E" w14:textId="77777777"/>
    <w:p w:rsidR="002A6758" w:rsidRPr="00BA183C" w:rsidP="002A6758" w14:paraId="3704A225" w14:textId="77777777"/>
    <w:p w:rsidR="002A6758" w:rsidRPr="00BA183C" w:rsidP="002A6758" w14:paraId="47CD37CA" w14:textId="77777777">
      <w:pPr>
        <w:jc w:val="center"/>
      </w:pPr>
      <w:r w:rsidRPr="00BA183C">
        <w:t>°</w:t>
      </w:r>
    </w:p>
    <w:p w:rsidR="002A6758" w:rsidRPr="00BA183C" w:rsidP="002A6758" w14:paraId="26E20BC3" w14:textId="77777777">
      <w:pPr>
        <w:jc w:val="center"/>
      </w:pPr>
      <w:r w:rsidRPr="00BA183C">
        <w:t>°         °</w:t>
      </w:r>
    </w:p>
    <w:p w:rsidR="002A6758" w:rsidRPr="00BA183C" w:rsidP="002A6758" w14:paraId="48EA0757" w14:textId="77777777"/>
    <w:p w:rsidR="002A6758" w:rsidRPr="00BA183C" w:rsidP="002A6758" w14:paraId="552863BB" w14:textId="77777777">
      <w:r w:rsidRPr="00BA183C">
        <w:t>130.</w:t>
      </w:r>
      <w:r w:rsidRPr="00BA183C">
        <w:tab/>
        <w:t>Instructs its President to forward this resolution to the Council and the Commission.</w:t>
      </w:r>
    </w:p>
    <w:p w:rsidR="002A6758" w:rsidRPr="00BA183C" w:rsidP="002A6758" w14:paraId="0986CF95" w14:textId="77777777"/>
    <w:p w:rsidR="002A6758" w:rsidRPr="00BA183C" w:rsidP="002A6758" w14:paraId="13D64805" w14:textId="77777777"/>
    <w:p w:rsidR="00F13225" w:rsidP="002A6758" w14:paraId="60A2E8F5" w14:textId="77777777">
      <w:pPr>
        <w:sectPr w:rsidSect="00BA183C">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A6758" w:rsidRPr="00BA183C" w:rsidP="002A6758" w14:paraId="77428CEB" w14:textId="77777777">
      <w:pPr>
        <w:rPr>
          <w:b/>
          <w:bCs/>
          <w:u w:val="single"/>
        </w:rPr>
      </w:pPr>
      <w:r w:rsidRPr="00BA183C">
        <w:rPr>
          <w:b/>
          <w:bCs/>
          <w:u w:val="single"/>
        </w:rPr>
        <w:t>Annex I: European Parliament’s position on figures (current prices and 2025 constant prices) excluding NGEU debt service cost</w:t>
      </w:r>
    </w:p>
    <w:p w:rsidR="002A6758" w:rsidRPr="00BA183C" w:rsidP="002A6758" w14:paraId="4F251B5E"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1FAF56CB" w14:textId="77777777" w:rsidTr="00CC5190">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2A6758" w:rsidRPr="00BA183C" w:rsidP="00CC5190" w14:paraId="5D97B2B3" w14:textId="77777777">
            <w:r w:rsidRPr="00BA183C">
              <w:t>EUR million - current prices using 2% deflator</w:t>
            </w:r>
          </w:p>
        </w:tc>
      </w:tr>
      <w:tr w14:paraId="7A6BD2B2" w14:textId="77777777" w:rsidTr="00CC5190">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2A6758" w:rsidRPr="00BA183C" w:rsidP="00CC5190" w14:paraId="24A17474" w14:textId="77777777">
            <w:pPr>
              <w:rPr>
                <w:b/>
                <w:bCs/>
              </w:rPr>
            </w:pPr>
            <w:r w:rsidRPr="00BA183C">
              <w:rPr>
                <w:b/>
                <w:bCs/>
              </w:rPr>
              <w:t>COMMITMENT APPROPRIATIONS</w:t>
            </w:r>
          </w:p>
        </w:tc>
        <w:tc>
          <w:tcPr>
            <w:tcW w:w="1040" w:type="dxa"/>
            <w:vMerge w:val="restart"/>
            <w:tcBorders>
              <w:top w:val="nil"/>
              <w:left w:val="single" w:sz="8" w:space="0" w:color="auto"/>
              <w:bottom w:val="single" w:sz="8" w:space="0" w:color="000000"/>
              <w:right w:val="nil"/>
            </w:tcBorders>
            <w:noWrap/>
            <w:vAlign w:val="center"/>
            <w:hideMark/>
          </w:tcPr>
          <w:p w:rsidR="002A6758" w:rsidRPr="00BA183C" w:rsidP="00CC5190" w14:paraId="60FD3D49" w14:textId="77777777">
            <w:pPr>
              <w:rPr>
                <w:b/>
                <w:bCs/>
              </w:rPr>
            </w:pPr>
            <w:r w:rsidRPr="00BA183C">
              <w:rPr>
                <w:b/>
                <w:bCs/>
              </w:rPr>
              <w:t>2028</w:t>
            </w:r>
          </w:p>
        </w:tc>
        <w:tc>
          <w:tcPr>
            <w:tcW w:w="1040" w:type="dxa"/>
            <w:vMerge w:val="restart"/>
            <w:tcBorders>
              <w:top w:val="nil"/>
              <w:left w:val="nil"/>
              <w:bottom w:val="single" w:sz="8" w:space="0" w:color="000000"/>
              <w:right w:val="nil"/>
            </w:tcBorders>
            <w:noWrap/>
            <w:vAlign w:val="center"/>
            <w:hideMark/>
          </w:tcPr>
          <w:p w:rsidR="002A6758" w:rsidRPr="00BA183C" w:rsidP="00CC5190" w14:paraId="6E250DBB" w14:textId="77777777">
            <w:pPr>
              <w:rPr>
                <w:b/>
                <w:bCs/>
              </w:rPr>
            </w:pPr>
            <w:r w:rsidRPr="00BA183C">
              <w:rPr>
                <w:b/>
                <w:bCs/>
              </w:rPr>
              <w:t>2029</w:t>
            </w:r>
          </w:p>
        </w:tc>
        <w:tc>
          <w:tcPr>
            <w:tcW w:w="1040" w:type="dxa"/>
            <w:vMerge w:val="restart"/>
            <w:tcBorders>
              <w:top w:val="nil"/>
              <w:left w:val="nil"/>
              <w:bottom w:val="single" w:sz="8" w:space="0" w:color="000000"/>
              <w:right w:val="nil"/>
            </w:tcBorders>
            <w:noWrap/>
            <w:vAlign w:val="center"/>
            <w:hideMark/>
          </w:tcPr>
          <w:p w:rsidR="002A6758" w:rsidRPr="00BA183C" w:rsidP="00CC5190" w14:paraId="1E8CB493" w14:textId="77777777">
            <w:pPr>
              <w:rPr>
                <w:b/>
                <w:bCs/>
              </w:rPr>
            </w:pPr>
            <w:r w:rsidRPr="00BA183C">
              <w:rPr>
                <w:b/>
                <w:bCs/>
              </w:rPr>
              <w:t>2030</w:t>
            </w:r>
          </w:p>
        </w:tc>
        <w:tc>
          <w:tcPr>
            <w:tcW w:w="1040" w:type="dxa"/>
            <w:vMerge w:val="restart"/>
            <w:tcBorders>
              <w:top w:val="nil"/>
              <w:left w:val="nil"/>
              <w:bottom w:val="single" w:sz="8" w:space="0" w:color="000000"/>
              <w:right w:val="nil"/>
            </w:tcBorders>
            <w:noWrap/>
            <w:vAlign w:val="center"/>
            <w:hideMark/>
          </w:tcPr>
          <w:p w:rsidR="002A6758" w:rsidRPr="00BA183C" w:rsidP="00CC5190" w14:paraId="16F825C6" w14:textId="77777777">
            <w:pPr>
              <w:rPr>
                <w:b/>
                <w:bCs/>
              </w:rPr>
            </w:pPr>
            <w:r w:rsidRPr="00BA183C">
              <w:rPr>
                <w:b/>
                <w:bCs/>
              </w:rPr>
              <w:t>2031</w:t>
            </w:r>
          </w:p>
        </w:tc>
        <w:tc>
          <w:tcPr>
            <w:tcW w:w="1040" w:type="dxa"/>
            <w:vMerge w:val="restart"/>
            <w:tcBorders>
              <w:top w:val="nil"/>
              <w:left w:val="nil"/>
              <w:bottom w:val="single" w:sz="8" w:space="0" w:color="000000"/>
              <w:right w:val="nil"/>
            </w:tcBorders>
            <w:noWrap/>
            <w:vAlign w:val="center"/>
            <w:hideMark/>
          </w:tcPr>
          <w:p w:rsidR="002A6758" w:rsidRPr="00BA183C" w:rsidP="00CC5190" w14:paraId="48CDE383" w14:textId="77777777">
            <w:pPr>
              <w:rPr>
                <w:b/>
                <w:bCs/>
              </w:rPr>
            </w:pPr>
            <w:r w:rsidRPr="00BA183C">
              <w:rPr>
                <w:b/>
                <w:bCs/>
              </w:rPr>
              <w:t>2032</w:t>
            </w:r>
          </w:p>
        </w:tc>
        <w:tc>
          <w:tcPr>
            <w:tcW w:w="1040" w:type="dxa"/>
            <w:vMerge w:val="restart"/>
            <w:tcBorders>
              <w:top w:val="nil"/>
              <w:left w:val="nil"/>
              <w:bottom w:val="single" w:sz="8" w:space="0" w:color="000000"/>
              <w:right w:val="nil"/>
            </w:tcBorders>
            <w:noWrap/>
            <w:vAlign w:val="center"/>
            <w:hideMark/>
          </w:tcPr>
          <w:p w:rsidR="002A6758" w:rsidRPr="00BA183C" w:rsidP="00CC5190" w14:paraId="1D9DF67A" w14:textId="77777777">
            <w:pPr>
              <w:rPr>
                <w:b/>
                <w:bCs/>
              </w:rPr>
            </w:pPr>
            <w:r w:rsidRPr="00BA183C">
              <w:rPr>
                <w:b/>
                <w:bCs/>
              </w:rPr>
              <w:t>2033</w:t>
            </w:r>
          </w:p>
        </w:tc>
        <w:tc>
          <w:tcPr>
            <w:tcW w:w="1040" w:type="dxa"/>
            <w:vMerge w:val="restart"/>
            <w:tcBorders>
              <w:top w:val="nil"/>
              <w:left w:val="nil"/>
              <w:bottom w:val="single" w:sz="8" w:space="0" w:color="000000"/>
              <w:right w:val="single" w:sz="8" w:space="0" w:color="auto"/>
            </w:tcBorders>
            <w:noWrap/>
            <w:vAlign w:val="center"/>
            <w:hideMark/>
          </w:tcPr>
          <w:p w:rsidR="002A6758" w:rsidRPr="00BA183C" w:rsidP="00CC5190" w14:paraId="500570A6" w14:textId="77777777">
            <w:pPr>
              <w:rPr>
                <w:b/>
                <w:bCs/>
              </w:rPr>
            </w:pPr>
            <w:r w:rsidRPr="00BA183C">
              <w:rPr>
                <w:b/>
                <w:bCs/>
              </w:rPr>
              <w:t>2034</w:t>
            </w:r>
          </w:p>
        </w:tc>
        <w:tc>
          <w:tcPr>
            <w:tcW w:w="1674" w:type="dxa"/>
            <w:tcBorders>
              <w:top w:val="nil"/>
              <w:left w:val="nil"/>
              <w:bottom w:val="nil"/>
              <w:right w:val="single" w:sz="8" w:space="0" w:color="auto"/>
            </w:tcBorders>
            <w:vAlign w:val="center"/>
            <w:hideMark/>
          </w:tcPr>
          <w:p w:rsidR="002A6758" w:rsidRPr="00BA183C" w:rsidP="00CC5190" w14:paraId="7BBF7155" w14:textId="77777777">
            <w:pPr>
              <w:rPr>
                <w:b/>
                <w:bCs/>
              </w:rPr>
            </w:pPr>
            <w:r w:rsidRPr="00BA183C">
              <w:rPr>
                <w:b/>
                <w:bCs/>
              </w:rPr>
              <w:t>Total</w:t>
            </w:r>
          </w:p>
        </w:tc>
      </w:tr>
      <w:tr w14:paraId="5F4896E7" w14:textId="77777777" w:rsidTr="00CC5190">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2A6758" w:rsidRPr="00BA183C" w:rsidP="00CC5190" w14:paraId="157EEA95" w14:textId="77777777">
            <w:pPr>
              <w:rPr>
                <w:b/>
                <w:bCs/>
              </w:rPr>
            </w:pPr>
          </w:p>
        </w:tc>
        <w:tc>
          <w:tcPr>
            <w:tcW w:w="0" w:type="auto"/>
            <w:vMerge/>
            <w:tcBorders>
              <w:top w:val="nil"/>
              <w:left w:val="single" w:sz="8" w:space="0" w:color="auto"/>
              <w:bottom w:val="single" w:sz="8" w:space="0" w:color="000000"/>
              <w:right w:val="nil"/>
            </w:tcBorders>
            <w:vAlign w:val="center"/>
            <w:hideMark/>
          </w:tcPr>
          <w:p w:rsidR="002A6758" w:rsidRPr="00BA183C" w:rsidP="00CC5190" w14:paraId="40FA099B"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534F50FB"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24E28693"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215183A1"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4F33833D"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063EAD81" w14:textId="77777777">
            <w:pPr>
              <w:rPr>
                <w:b/>
                <w:bCs/>
              </w:rPr>
            </w:pPr>
          </w:p>
        </w:tc>
        <w:tc>
          <w:tcPr>
            <w:tcW w:w="0" w:type="auto"/>
            <w:vMerge/>
            <w:tcBorders>
              <w:top w:val="nil"/>
              <w:left w:val="nil"/>
              <w:bottom w:val="single" w:sz="8" w:space="0" w:color="000000"/>
              <w:right w:val="single" w:sz="8" w:space="0" w:color="auto"/>
            </w:tcBorders>
            <w:vAlign w:val="center"/>
            <w:hideMark/>
          </w:tcPr>
          <w:p w:rsidR="002A6758" w:rsidRPr="00BA183C" w:rsidP="00CC5190" w14:paraId="2D92E862" w14:textId="77777777">
            <w:pPr>
              <w:rPr>
                <w:b/>
                <w:bCs/>
              </w:rPr>
            </w:pPr>
          </w:p>
        </w:tc>
        <w:tc>
          <w:tcPr>
            <w:tcW w:w="1674" w:type="dxa"/>
            <w:tcBorders>
              <w:top w:val="nil"/>
              <w:left w:val="nil"/>
              <w:bottom w:val="single" w:sz="8" w:space="0" w:color="auto"/>
              <w:right w:val="single" w:sz="8" w:space="0" w:color="auto"/>
            </w:tcBorders>
            <w:vAlign w:val="center"/>
            <w:hideMark/>
          </w:tcPr>
          <w:p w:rsidR="002A6758" w:rsidRPr="00BA183C" w:rsidP="00CC5190" w14:paraId="77E9CC1E" w14:textId="77777777">
            <w:pPr>
              <w:rPr>
                <w:b/>
                <w:bCs/>
              </w:rPr>
            </w:pPr>
            <w:r w:rsidRPr="00BA183C">
              <w:rPr>
                <w:b/>
                <w:bCs/>
              </w:rPr>
              <w:t>2028-2034</w:t>
            </w:r>
          </w:p>
        </w:tc>
      </w:tr>
      <w:tr w14:paraId="30D4447B"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2A6758" w:rsidRPr="00BA183C" w:rsidP="00CC5190" w14:paraId="7ED20D6E" w14:textId="77777777">
            <w:pPr>
              <w:rPr>
                <w:b/>
                <w:bCs/>
              </w:rPr>
            </w:pPr>
            <w:r w:rsidRPr="00BA183C">
              <w:rPr>
                <w:b/>
                <w:bCs/>
              </w:rPr>
              <w:t xml:space="preserve">1. Economic, social and territorial cohesion, agriculture and rural, maritime , prosperity and security </w:t>
            </w:r>
          </w:p>
        </w:tc>
        <w:tc>
          <w:tcPr>
            <w:tcW w:w="1040" w:type="dxa"/>
            <w:noWrap/>
            <w:vAlign w:val="center"/>
            <w:hideMark/>
          </w:tcPr>
          <w:p w:rsidR="002A6758" w:rsidRPr="00BA183C" w:rsidP="00CC5190" w14:paraId="5B5A3C48" w14:textId="77777777">
            <w:pPr>
              <w:rPr>
                <w:b/>
                <w:bCs/>
              </w:rPr>
            </w:pPr>
            <w:r w:rsidRPr="00BA183C">
              <w:rPr>
                <w:b/>
                <w:bCs/>
              </w:rPr>
              <w:t>155.131</w:t>
            </w:r>
          </w:p>
        </w:tc>
        <w:tc>
          <w:tcPr>
            <w:tcW w:w="1040" w:type="dxa"/>
            <w:noWrap/>
            <w:vAlign w:val="center"/>
            <w:hideMark/>
          </w:tcPr>
          <w:p w:rsidR="002A6758" w:rsidRPr="00BA183C" w:rsidP="00CC5190" w14:paraId="2FC771CB" w14:textId="77777777">
            <w:pPr>
              <w:rPr>
                <w:b/>
                <w:bCs/>
              </w:rPr>
            </w:pPr>
            <w:r w:rsidRPr="00BA183C">
              <w:rPr>
                <w:b/>
                <w:bCs/>
              </w:rPr>
              <w:t>152.647</w:t>
            </w:r>
          </w:p>
        </w:tc>
        <w:tc>
          <w:tcPr>
            <w:tcW w:w="1040" w:type="dxa"/>
            <w:noWrap/>
            <w:vAlign w:val="center"/>
            <w:hideMark/>
          </w:tcPr>
          <w:p w:rsidR="002A6758" w:rsidRPr="00BA183C" w:rsidP="00CC5190" w14:paraId="11655835" w14:textId="77777777">
            <w:pPr>
              <w:rPr>
                <w:b/>
                <w:bCs/>
              </w:rPr>
            </w:pPr>
            <w:r w:rsidRPr="00BA183C">
              <w:rPr>
                <w:b/>
                <w:bCs/>
              </w:rPr>
              <w:t>149.516</w:t>
            </w:r>
          </w:p>
        </w:tc>
        <w:tc>
          <w:tcPr>
            <w:tcW w:w="1040" w:type="dxa"/>
            <w:noWrap/>
            <w:vAlign w:val="center"/>
            <w:hideMark/>
          </w:tcPr>
          <w:p w:rsidR="002A6758" w:rsidRPr="00BA183C" w:rsidP="00CC5190" w14:paraId="77F5AC76" w14:textId="77777777">
            <w:pPr>
              <w:rPr>
                <w:b/>
                <w:bCs/>
              </w:rPr>
            </w:pPr>
            <w:r w:rsidRPr="00BA183C">
              <w:rPr>
                <w:b/>
                <w:bCs/>
              </w:rPr>
              <w:t>146.740</w:t>
            </w:r>
          </w:p>
        </w:tc>
        <w:tc>
          <w:tcPr>
            <w:tcW w:w="1040" w:type="dxa"/>
            <w:noWrap/>
            <w:vAlign w:val="center"/>
            <w:hideMark/>
          </w:tcPr>
          <w:p w:rsidR="002A6758" w:rsidRPr="00BA183C" w:rsidP="00CC5190" w14:paraId="26E62873" w14:textId="77777777">
            <w:pPr>
              <w:rPr>
                <w:b/>
                <w:bCs/>
              </w:rPr>
            </w:pPr>
            <w:r w:rsidRPr="00BA183C">
              <w:rPr>
                <w:b/>
                <w:bCs/>
              </w:rPr>
              <w:t>143.070</w:t>
            </w:r>
          </w:p>
        </w:tc>
        <w:tc>
          <w:tcPr>
            <w:tcW w:w="1040" w:type="dxa"/>
            <w:noWrap/>
            <w:vAlign w:val="center"/>
            <w:hideMark/>
          </w:tcPr>
          <w:p w:rsidR="002A6758" w:rsidRPr="00BA183C" w:rsidP="00CC5190" w14:paraId="66AA87BC" w14:textId="77777777">
            <w:pPr>
              <w:rPr>
                <w:b/>
                <w:bCs/>
              </w:rPr>
            </w:pPr>
            <w:r w:rsidRPr="00BA183C">
              <w:rPr>
                <w:b/>
                <w:bCs/>
              </w:rPr>
              <w:t>129.536</w:t>
            </w:r>
          </w:p>
        </w:tc>
        <w:tc>
          <w:tcPr>
            <w:tcW w:w="1040" w:type="dxa"/>
            <w:tcBorders>
              <w:top w:val="nil"/>
              <w:left w:val="nil"/>
              <w:bottom w:val="nil"/>
              <w:right w:val="single" w:sz="8" w:space="0" w:color="auto"/>
            </w:tcBorders>
            <w:noWrap/>
            <w:vAlign w:val="center"/>
            <w:hideMark/>
          </w:tcPr>
          <w:p w:rsidR="002A6758" w:rsidRPr="00BA183C" w:rsidP="00CC5190" w14:paraId="37262DD6" w14:textId="77777777">
            <w:pPr>
              <w:rPr>
                <w:b/>
                <w:bCs/>
              </w:rPr>
            </w:pPr>
            <w:r w:rsidRPr="00BA183C">
              <w:rPr>
                <w:b/>
                <w:bCs/>
              </w:rPr>
              <w:t>120.725</w:t>
            </w:r>
          </w:p>
        </w:tc>
        <w:tc>
          <w:tcPr>
            <w:tcW w:w="1674" w:type="dxa"/>
            <w:tcBorders>
              <w:top w:val="nil"/>
              <w:left w:val="nil"/>
              <w:bottom w:val="nil"/>
              <w:right w:val="single" w:sz="8" w:space="0" w:color="auto"/>
            </w:tcBorders>
            <w:noWrap/>
            <w:vAlign w:val="center"/>
            <w:hideMark/>
          </w:tcPr>
          <w:p w:rsidR="002A6758" w:rsidRPr="00BA183C" w:rsidP="00CC5190" w14:paraId="4EB92BDB" w14:textId="77777777">
            <w:pPr>
              <w:rPr>
                <w:b/>
                <w:bCs/>
              </w:rPr>
            </w:pPr>
            <w:r w:rsidRPr="00BA183C">
              <w:rPr>
                <w:b/>
                <w:bCs/>
              </w:rPr>
              <w:t>997.366</w:t>
            </w:r>
          </w:p>
        </w:tc>
      </w:tr>
      <w:tr w14:paraId="6AAD008E"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5A53E6F1" w14:textId="77777777">
            <w:pPr>
              <w:rPr>
                <w:b/>
                <w:bCs/>
              </w:rPr>
            </w:pPr>
            <w:r w:rsidRPr="00BA183C">
              <w:rPr>
                <w:b/>
                <w:bCs/>
              </w:rPr>
              <w:t>2. Competitiveness, prosperity and security</w:t>
            </w:r>
          </w:p>
        </w:tc>
        <w:tc>
          <w:tcPr>
            <w:tcW w:w="1040" w:type="dxa"/>
            <w:noWrap/>
            <w:vAlign w:val="center"/>
            <w:hideMark/>
          </w:tcPr>
          <w:p w:rsidR="002A6758" w:rsidRPr="00BA183C" w:rsidP="00CC5190" w14:paraId="5FCF9799" w14:textId="77777777">
            <w:pPr>
              <w:rPr>
                <w:b/>
                <w:bCs/>
              </w:rPr>
            </w:pPr>
            <w:r w:rsidRPr="00BA183C">
              <w:rPr>
                <w:b/>
                <w:bCs/>
              </w:rPr>
              <w:t>74.825</w:t>
            </w:r>
          </w:p>
        </w:tc>
        <w:tc>
          <w:tcPr>
            <w:tcW w:w="1040" w:type="dxa"/>
            <w:noWrap/>
            <w:vAlign w:val="center"/>
            <w:hideMark/>
          </w:tcPr>
          <w:p w:rsidR="002A6758" w:rsidRPr="00BA183C" w:rsidP="00CC5190" w14:paraId="39F79F93" w14:textId="77777777">
            <w:pPr>
              <w:rPr>
                <w:b/>
                <w:bCs/>
              </w:rPr>
            </w:pPr>
            <w:r w:rsidRPr="00BA183C">
              <w:rPr>
                <w:b/>
                <w:bCs/>
              </w:rPr>
              <w:t>90.966</w:t>
            </w:r>
          </w:p>
        </w:tc>
        <w:tc>
          <w:tcPr>
            <w:tcW w:w="1040" w:type="dxa"/>
            <w:noWrap/>
            <w:vAlign w:val="center"/>
            <w:hideMark/>
          </w:tcPr>
          <w:p w:rsidR="002A6758" w:rsidRPr="00BA183C" w:rsidP="00CC5190" w14:paraId="6BB19FD1" w14:textId="77777777">
            <w:pPr>
              <w:rPr>
                <w:b/>
                <w:bCs/>
              </w:rPr>
            </w:pPr>
            <w:r w:rsidRPr="00BA183C">
              <w:rPr>
                <w:b/>
                <w:bCs/>
              </w:rPr>
              <w:t>93.066</w:t>
            </w:r>
          </w:p>
        </w:tc>
        <w:tc>
          <w:tcPr>
            <w:tcW w:w="1040" w:type="dxa"/>
            <w:noWrap/>
            <w:vAlign w:val="center"/>
            <w:hideMark/>
          </w:tcPr>
          <w:p w:rsidR="002A6758" w:rsidRPr="00BA183C" w:rsidP="00CC5190" w14:paraId="184D17D4" w14:textId="77777777">
            <w:pPr>
              <w:rPr>
                <w:b/>
                <w:bCs/>
              </w:rPr>
            </w:pPr>
            <w:r w:rsidRPr="00BA183C">
              <w:rPr>
                <w:b/>
                <w:bCs/>
              </w:rPr>
              <w:t>97.694</w:t>
            </w:r>
          </w:p>
        </w:tc>
        <w:tc>
          <w:tcPr>
            <w:tcW w:w="1040" w:type="dxa"/>
            <w:noWrap/>
            <w:vAlign w:val="center"/>
            <w:hideMark/>
          </w:tcPr>
          <w:p w:rsidR="002A6758" w:rsidRPr="00BA183C" w:rsidP="00CC5190" w14:paraId="6097E014" w14:textId="77777777">
            <w:pPr>
              <w:rPr>
                <w:b/>
                <w:bCs/>
              </w:rPr>
            </w:pPr>
            <w:r w:rsidRPr="00BA183C">
              <w:rPr>
                <w:b/>
                <w:bCs/>
              </w:rPr>
              <w:t>99.148</w:t>
            </w:r>
          </w:p>
        </w:tc>
        <w:tc>
          <w:tcPr>
            <w:tcW w:w="1040" w:type="dxa"/>
            <w:noWrap/>
            <w:vAlign w:val="center"/>
            <w:hideMark/>
          </w:tcPr>
          <w:p w:rsidR="002A6758" w:rsidRPr="00BA183C" w:rsidP="00CC5190" w14:paraId="3D7C44B8" w14:textId="77777777">
            <w:pPr>
              <w:rPr>
                <w:b/>
                <w:bCs/>
              </w:rPr>
            </w:pPr>
            <w:r w:rsidRPr="00BA183C">
              <w:rPr>
                <w:b/>
                <w:bCs/>
              </w:rPr>
              <w:t>101.491</w:t>
            </w:r>
          </w:p>
        </w:tc>
        <w:tc>
          <w:tcPr>
            <w:tcW w:w="1040" w:type="dxa"/>
            <w:noWrap/>
            <w:vAlign w:val="center"/>
            <w:hideMark/>
          </w:tcPr>
          <w:p w:rsidR="002A6758" w:rsidRPr="00BA183C" w:rsidP="00CC5190" w14:paraId="63651E6F" w14:textId="77777777">
            <w:pPr>
              <w:rPr>
                <w:b/>
                <w:bCs/>
              </w:rPr>
            </w:pPr>
            <w:r w:rsidRPr="00BA183C">
              <w:rPr>
                <w:b/>
                <w:bCs/>
              </w:rPr>
              <w:t>102.507</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394D6F20" w14:textId="77777777">
            <w:pPr>
              <w:rPr>
                <w:b/>
                <w:bCs/>
              </w:rPr>
            </w:pPr>
            <w:r w:rsidRPr="00BA183C">
              <w:rPr>
                <w:b/>
                <w:bCs/>
              </w:rPr>
              <w:t>659.697</w:t>
            </w:r>
          </w:p>
        </w:tc>
      </w:tr>
      <w:tr w14:paraId="6EC2952D"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09FB30F0" w14:textId="77777777">
            <w:pPr>
              <w:rPr>
                <w:b/>
                <w:bCs/>
              </w:rPr>
            </w:pPr>
            <w:r w:rsidRPr="00BA183C">
              <w:rPr>
                <w:b/>
                <w:bCs/>
              </w:rPr>
              <w:t>3. Global Europe</w:t>
            </w:r>
          </w:p>
        </w:tc>
        <w:tc>
          <w:tcPr>
            <w:tcW w:w="1040" w:type="dxa"/>
            <w:noWrap/>
            <w:vAlign w:val="center"/>
            <w:hideMark/>
          </w:tcPr>
          <w:p w:rsidR="002A6758" w:rsidRPr="00BA183C" w:rsidP="00CC5190" w14:paraId="04912981" w14:textId="77777777">
            <w:pPr>
              <w:rPr>
                <w:b/>
                <w:bCs/>
              </w:rPr>
            </w:pPr>
            <w:r w:rsidRPr="00BA183C">
              <w:rPr>
                <w:b/>
                <w:bCs/>
              </w:rPr>
              <w:t>27.300</w:t>
            </w:r>
          </w:p>
        </w:tc>
        <w:tc>
          <w:tcPr>
            <w:tcW w:w="1040" w:type="dxa"/>
            <w:noWrap/>
            <w:vAlign w:val="center"/>
            <w:hideMark/>
          </w:tcPr>
          <w:p w:rsidR="002A6758" w:rsidRPr="00BA183C" w:rsidP="00CC5190" w14:paraId="4FF1E3D3" w14:textId="77777777">
            <w:pPr>
              <w:rPr>
                <w:b/>
                <w:bCs/>
              </w:rPr>
            </w:pPr>
            <w:r w:rsidRPr="00BA183C">
              <w:rPr>
                <w:b/>
                <w:bCs/>
              </w:rPr>
              <w:t>27.936</w:t>
            </w:r>
          </w:p>
        </w:tc>
        <w:tc>
          <w:tcPr>
            <w:tcW w:w="1040" w:type="dxa"/>
            <w:noWrap/>
            <w:vAlign w:val="center"/>
            <w:hideMark/>
          </w:tcPr>
          <w:p w:rsidR="002A6758" w:rsidRPr="00BA183C" w:rsidP="00CC5190" w14:paraId="0DBDE4B5" w14:textId="77777777">
            <w:pPr>
              <w:rPr>
                <w:b/>
                <w:bCs/>
              </w:rPr>
            </w:pPr>
            <w:r w:rsidRPr="00BA183C">
              <w:rPr>
                <w:b/>
                <w:bCs/>
              </w:rPr>
              <w:t>28.438</w:t>
            </w:r>
          </w:p>
        </w:tc>
        <w:tc>
          <w:tcPr>
            <w:tcW w:w="1040" w:type="dxa"/>
            <w:noWrap/>
            <w:vAlign w:val="center"/>
            <w:hideMark/>
          </w:tcPr>
          <w:p w:rsidR="002A6758" w:rsidRPr="00BA183C" w:rsidP="00CC5190" w14:paraId="48FB9911" w14:textId="77777777">
            <w:pPr>
              <w:rPr>
                <w:b/>
                <w:bCs/>
              </w:rPr>
            </w:pPr>
            <w:r w:rsidRPr="00BA183C">
              <w:rPr>
                <w:b/>
                <w:bCs/>
              </w:rPr>
              <w:t>34.023</w:t>
            </w:r>
          </w:p>
        </w:tc>
        <w:tc>
          <w:tcPr>
            <w:tcW w:w="1040" w:type="dxa"/>
            <w:noWrap/>
            <w:vAlign w:val="center"/>
            <w:hideMark/>
          </w:tcPr>
          <w:p w:rsidR="002A6758" w:rsidRPr="00BA183C" w:rsidP="00CC5190" w14:paraId="772C0C8C" w14:textId="77777777">
            <w:pPr>
              <w:rPr>
                <w:b/>
                <w:bCs/>
              </w:rPr>
            </w:pPr>
            <w:r w:rsidRPr="00BA183C">
              <w:rPr>
                <w:b/>
                <w:bCs/>
              </w:rPr>
              <w:t>39.758</w:t>
            </w:r>
          </w:p>
        </w:tc>
        <w:tc>
          <w:tcPr>
            <w:tcW w:w="1040" w:type="dxa"/>
            <w:noWrap/>
            <w:vAlign w:val="center"/>
            <w:hideMark/>
          </w:tcPr>
          <w:p w:rsidR="002A6758" w:rsidRPr="00BA183C" w:rsidP="00CC5190" w14:paraId="6FEA3BDC" w14:textId="77777777">
            <w:pPr>
              <w:rPr>
                <w:b/>
                <w:bCs/>
              </w:rPr>
            </w:pPr>
            <w:r w:rsidRPr="00BA183C">
              <w:rPr>
                <w:b/>
                <w:bCs/>
              </w:rPr>
              <w:t>40.516</w:t>
            </w:r>
          </w:p>
        </w:tc>
        <w:tc>
          <w:tcPr>
            <w:tcW w:w="1040" w:type="dxa"/>
            <w:noWrap/>
            <w:vAlign w:val="center"/>
            <w:hideMark/>
          </w:tcPr>
          <w:p w:rsidR="002A6758" w:rsidRPr="00BA183C" w:rsidP="00CC5190" w14:paraId="0807616F" w14:textId="77777777">
            <w:pPr>
              <w:rPr>
                <w:b/>
                <w:bCs/>
              </w:rPr>
            </w:pPr>
            <w:r w:rsidRPr="00BA183C">
              <w:rPr>
                <w:b/>
                <w:bCs/>
              </w:rPr>
              <w:t>41.288</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1E319234" w14:textId="77777777">
            <w:pPr>
              <w:rPr>
                <w:b/>
                <w:bCs/>
              </w:rPr>
            </w:pPr>
            <w:r w:rsidRPr="00BA183C">
              <w:rPr>
                <w:b/>
                <w:bCs/>
              </w:rPr>
              <w:t>239.259</w:t>
            </w:r>
          </w:p>
        </w:tc>
      </w:tr>
      <w:tr w14:paraId="2BBE1026"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39E1D9B5" w14:textId="77777777">
            <w:pPr>
              <w:rPr>
                <w:b/>
                <w:bCs/>
              </w:rPr>
            </w:pPr>
            <w:r w:rsidRPr="00BA183C">
              <w:rPr>
                <w:b/>
                <w:bCs/>
              </w:rPr>
              <w:t>4. Administration</w:t>
            </w:r>
          </w:p>
        </w:tc>
        <w:tc>
          <w:tcPr>
            <w:tcW w:w="1040" w:type="dxa"/>
            <w:noWrap/>
            <w:vAlign w:val="center"/>
            <w:hideMark/>
          </w:tcPr>
          <w:p w:rsidR="002A6758" w:rsidRPr="00BA183C" w:rsidP="00CC5190" w14:paraId="2869C00F" w14:textId="77777777">
            <w:pPr>
              <w:rPr>
                <w:b/>
                <w:bCs/>
              </w:rPr>
            </w:pPr>
            <w:r w:rsidRPr="00BA183C">
              <w:rPr>
                <w:b/>
                <w:bCs/>
              </w:rPr>
              <w:t>14.945</w:t>
            </w:r>
          </w:p>
        </w:tc>
        <w:tc>
          <w:tcPr>
            <w:tcW w:w="1040" w:type="dxa"/>
            <w:noWrap/>
            <w:vAlign w:val="center"/>
            <w:hideMark/>
          </w:tcPr>
          <w:p w:rsidR="002A6758" w:rsidRPr="00BA183C" w:rsidP="00CC5190" w14:paraId="7BF9C7FA" w14:textId="77777777">
            <w:pPr>
              <w:rPr>
                <w:b/>
                <w:bCs/>
              </w:rPr>
            </w:pPr>
            <w:r w:rsidRPr="00BA183C">
              <w:rPr>
                <w:b/>
                <w:bCs/>
              </w:rPr>
              <w:t>15.584</w:t>
            </w:r>
          </w:p>
        </w:tc>
        <w:tc>
          <w:tcPr>
            <w:tcW w:w="1040" w:type="dxa"/>
            <w:noWrap/>
            <w:vAlign w:val="center"/>
            <w:hideMark/>
          </w:tcPr>
          <w:p w:rsidR="002A6758" w:rsidRPr="00BA183C" w:rsidP="00CC5190" w14:paraId="3879BB6E" w14:textId="77777777">
            <w:pPr>
              <w:rPr>
                <w:b/>
                <w:bCs/>
              </w:rPr>
            </w:pPr>
            <w:r w:rsidRPr="00BA183C">
              <w:rPr>
                <w:b/>
                <w:bCs/>
              </w:rPr>
              <w:t>16.281</w:t>
            </w:r>
          </w:p>
        </w:tc>
        <w:tc>
          <w:tcPr>
            <w:tcW w:w="1040" w:type="dxa"/>
            <w:noWrap/>
            <w:vAlign w:val="center"/>
            <w:hideMark/>
          </w:tcPr>
          <w:p w:rsidR="002A6758" w:rsidRPr="00BA183C" w:rsidP="00CC5190" w14:paraId="31183D4F" w14:textId="77777777">
            <w:pPr>
              <w:rPr>
                <w:b/>
                <w:bCs/>
              </w:rPr>
            </w:pPr>
            <w:r w:rsidRPr="00BA183C">
              <w:rPr>
                <w:b/>
                <w:bCs/>
              </w:rPr>
              <w:t>16.870</w:t>
            </w:r>
          </w:p>
        </w:tc>
        <w:tc>
          <w:tcPr>
            <w:tcW w:w="1040" w:type="dxa"/>
            <w:noWrap/>
            <w:vAlign w:val="center"/>
            <w:hideMark/>
          </w:tcPr>
          <w:p w:rsidR="002A6758" w:rsidRPr="00BA183C" w:rsidP="00CC5190" w14:paraId="09F4CB15" w14:textId="77777777">
            <w:pPr>
              <w:rPr>
                <w:b/>
                <w:bCs/>
              </w:rPr>
            </w:pPr>
            <w:r w:rsidRPr="00BA183C">
              <w:rPr>
                <w:b/>
                <w:bCs/>
              </w:rPr>
              <w:t>17.466</w:t>
            </w:r>
          </w:p>
        </w:tc>
        <w:tc>
          <w:tcPr>
            <w:tcW w:w="1040" w:type="dxa"/>
            <w:noWrap/>
            <w:vAlign w:val="center"/>
            <w:hideMark/>
          </w:tcPr>
          <w:p w:rsidR="002A6758" w:rsidRPr="00BA183C" w:rsidP="00CC5190" w14:paraId="0F1F8DC5" w14:textId="77777777">
            <w:pPr>
              <w:rPr>
                <w:b/>
                <w:bCs/>
              </w:rPr>
            </w:pPr>
            <w:r w:rsidRPr="00BA183C">
              <w:rPr>
                <w:b/>
                <w:bCs/>
              </w:rPr>
              <w:t>18.062</w:t>
            </w:r>
          </w:p>
        </w:tc>
        <w:tc>
          <w:tcPr>
            <w:tcW w:w="1040" w:type="dxa"/>
            <w:noWrap/>
            <w:vAlign w:val="center"/>
            <w:hideMark/>
          </w:tcPr>
          <w:p w:rsidR="002A6758" w:rsidRPr="00BA183C" w:rsidP="00CC5190" w14:paraId="488E6754" w14:textId="77777777">
            <w:pPr>
              <w:rPr>
                <w:b/>
                <w:bCs/>
              </w:rPr>
            </w:pPr>
            <w:r w:rsidRPr="00BA183C">
              <w:rPr>
                <w:b/>
                <w:bCs/>
              </w:rPr>
              <w:t>18.669</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1A1ED42A" w14:textId="77777777">
            <w:pPr>
              <w:rPr>
                <w:b/>
                <w:bCs/>
              </w:rPr>
            </w:pPr>
            <w:r w:rsidRPr="00BA183C">
              <w:rPr>
                <w:b/>
                <w:bCs/>
              </w:rPr>
              <w:t>117.877</w:t>
            </w:r>
          </w:p>
        </w:tc>
      </w:tr>
      <w:tr w14:paraId="09946055"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A6758" w:rsidRPr="00BA183C" w:rsidP="00CC5190" w14:paraId="357E40D2" w14:textId="77777777">
            <w:pPr>
              <w:rPr>
                <w:b/>
                <w:bCs/>
              </w:rPr>
            </w:pPr>
            <w:r w:rsidRPr="00BA183C">
              <w:rPr>
                <w:b/>
                <w:bCs/>
              </w:rPr>
              <w:t>TOTAL COMMITMENT APPROPRIATIONS</w:t>
            </w:r>
          </w:p>
        </w:tc>
        <w:tc>
          <w:tcPr>
            <w:tcW w:w="1040" w:type="dxa"/>
            <w:tcBorders>
              <w:top w:val="single" w:sz="8" w:space="0" w:color="auto"/>
              <w:left w:val="nil"/>
              <w:bottom w:val="nil"/>
              <w:right w:val="nil"/>
            </w:tcBorders>
            <w:noWrap/>
            <w:vAlign w:val="center"/>
            <w:hideMark/>
          </w:tcPr>
          <w:p w:rsidR="002A6758" w:rsidRPr="00BA183C" w:rsidP="00CC5190" w14:paraId="478988E9" w14:textId="77777777">
            <w:pPr>
              <w:rPr>
                <w:b/>
                <w:bCs/>
              </w:rPr>
            </w:pPr>
            <w:r w:rsidRPr="00BA183C">
              <w:rPr>
                <w:b/>
                <w:bCs/>
              </w:rPr>
              <w:t>272.201</w:t>
            </w:r>
          </w:p>
        </w:tc>
        <w:tc>
          <w:tcPr>
            <w:tcW w:w="1040" w:type="dxa"/>
            <w:tcBorders>
              <w:top w:val="single" w:sz="8" w:space="0" w:color="auto"/>
              <w:left w:val="nil"/>
              <w:bottom w:val="nil"/>
              <w:right w:val="nil"/>
            </w:tcBorders>
            <w:noWrap/>
            <w:vAlign w:val="center"/>
            <w:hideMark/>
          </w:tcPr>
          <w:p w:rsidR="002A6758" w:rsidRPr="00BA183C" w:rsidP="00CC5190" w14:paraId="02563D92" w14:textId="77777777">
            <w:pPr>
              <w:rPr>
                <w:b/>
                <w:bCs/>
              </w:rPr>
            </w:pPr>
            <w:r w:rsidRPr="00BA183C">
              <w:rPr>
                <w:b/>
                <w:bCs/>
              </w:rPr>
              <w:t>287.134</w:t>
            </w:r>
          </w:p>
        </w:tc>
        <w:tc>
          <w:tcPr>
            <w:tcW w:w="1040" w:type="dxa"/>
            <w:tcBorders>
              <w:top w:val="single" w:sz="8" w:space="0" w:color="auto"/>
              <w:left w:val="nil"/>
              <w:bottom w:val="nil"/>
              <w:right w:val="nil"/>
            </w:tcBorders>
            <w:noWrap/>
            <w:vAlign w:val="center"/>
            <w:hideMark/>
          </w:tcPr>
          <w:p w:rsidR="002A6758" w:rsidRPr="00BA183C" w:rsidP="00CC5190" w14:paraId="4184C53C" w14:textId="77777777">
            <w:pPr>
              <w:rPr>
                <w:b/>
                <w:bCs/>
              </w:rPr>
            </w:pPr>
            <w:r w:rsidRPr="00BA183C">
              <w:rPr>
                <w:b/>
                <w:bCs/>
              </w:rPr>
              <w:t>287.301</w:t>
            </w:r>
          </w:p>
        </w:tc>
        <w:tc>
          <w:tcPr>
            <w:tcW w:w="1040" w:type="dxa"/>
            <w:tcBorders>
              <w:top w:val="single" w:sz="8" w:space="0" w:color="auto"/>
              <w:left w:val="nil"/>
              <w:bottom w:val="nil"/>
              <w:right w:val="nil"/>
            </w:tcBorders>
            <w:noWrap/>
            <w:vAlign w:val="center"/>
            <w:hideMark/>
          </w:tcPr>
          <w:p w:rsidR="002A6758" w:rsidRPr="00BA183C" w:rsidP="00CC5190" w14:paraId="1D8F554F" w14:textId="77777777">
            <w:pPr>
              <w:rPr>
                <w:b/>
                <w:bCs/>
              </w:rPr>
            </w:pPr>
            <w:r w:rsidRPr="00BA183C">
              <w:rPr>
                <w:b/>
                <w:bCs/>
              </w:rPr>
              <w:t>295.327</w:t>
            </w:r>
          </w:p>
        </w:tc>
        <w:tc>
          <w:tcPr>
            <w:tcW w:w="1040" w:type="dxa"/>
            <w:tcBorders>
              <w:top w:val="single" w:sz="8" w:space="0" w:color="auto"/>
              <w:left w:val="nil"/>
              <w:bottom w:val="nil"/>
              <w:right w:val="nil"/>
            </w:tcBorders>
            <w:noWrap/>
            <w:vAlign w:val="center"/>
            <w:hideMark/>
          </w:tcPr>
          <w:p w:rsidR="002A6758" w:rsidRPr="00BA183C" w:rsidP="00CC5190" w14:paraId="1EC87F42" w14:textId="77777777">
            <w:pPr>
              <w:rPr>
                <w:b/>
                <w:bCs/>
              </w:rPr>
            </w:pPr>
            <w:r w:rsidRPr="00BA183C">
              <w:rPr>
                <w:b/>
                <w:bCs/>
              </w:rPr>
              <w:t>299.442</w:t>
            </w:r>
          </w:p>
        </w:tc>
        <w:tc>
          <w:tcPr>
            <w:tcW w:w="1040" w:type="dxa"/>
            <w:tcBorders>
              <w:top w:val="single" w:sz="8" w:space="0" w:color="auto"/>
              <w:left w:val="nil"/>
              <w:bottom w:val="nil"/>
              <w:right w:val="nil"/>
            </w:tcBorders>
            <w:noWrap/>
            <w:vAlign w:val="center"/>
            <w:hideMark/>
          </w:tcPr>
          <w:p w:rsidR="002A6758" w:rsidRPr="00BA183C" w:rsidP="00CC5190" w14:paraId="0CC6CC5D" w14:textId="77777777">
            <w:pPr>
              <w:rPr>
                <w:b/>
                <w:bCs/>
              </w:rPr>
            </w:pPr>
            <w:r w:rsidRPr="00BA183C">
              <w:rPr>
                <w:b/>
                <w:bCs/>
              </w:rPr>
              <w:t>289.605</w:t>
            </w:r>
          </w:p>
        </w:tc>
        <w:tc>
          <w:tcPr>
            <w:tcW w:w="1040" w:type="dxa"/>
            <w:tcBorders>
              <w:top w:val="single" w:sz="8" w:space="0" w:color="auto"/>
              <w:left w:val="nil"/>
              <w:bottom w:val="nil"/>
              <w:right w:val="nil"/>
            </w:tcBorders>
            <w:noWrap/>
            <w:vAlign w:val="center"/>
            <w:hideMark/>
          </w:tcPr>
          <w:p w:rsidR="002A6758" w:rsidRPr="00BA183C" w:rsidP="00CC5190" w14:paraId="419AC6E7" w14:textId="77777777">
            <w:pPr>
              <w:rPr>
                <w:b/>
                <w:bCs/>
              </w:rPr>
            </w:pPr>
            <w:r w:rsidRPr="00BA183C">
              <w:rPr>
                <w:b/>
                <w:bCs/>
              </w:rPr>
              <w:t>283.189</w:t>
            </w:r>
          </w:p>
        </w:tc>
        <w:tc>
          <w:tcPr>
            <w:tcW w:w="1674" w:type="dxa"/>
            <w:tcBorders>
              <w:top w:val="single" w:sz="8" w:space="0" w:color="auto"/>
              <w:left w:val="single" w:sz="8" w:space="0" w:color="auto"/>
              <w:bottom w:val="nil"/>
              <w:right w:val="single" w:sz="8" w:space="0" w:color="auto"/>
            </w:tcBorders>
            <w:noWrap/>
            <w:vAlign w:val="center"/>
            <w:hideMark/>
          </w:tcPr>
          <w:p w:rsidR="002A6758" w:rsidRPr="00BA183C" w:rsidP="00CC5190" w14:paraId="69CD71D1" w14:textId="77777777">
            <w:pPr>
              <w:rPr>
                <w:b/>
                <w:bCs/>
              </w:rPr>
            </w:pPr>
            <w:r w:rsidRPr="00BA183C">
              <w:rPr>
                <w:b/>
                <w:bCs/>
              </w:rPr>
              <w:t>2.014.198</w:t>
            </w:r>
          </w:p>
        </w:tc>
      </w:tr>
      <w:tr w14:paraId="269B1258"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A6758" w:rsidRPr="00BA183C" w:rsidP="00CC5190" w14:paraId="1C404498" w14:textId="77777777">
            <w:pPr>
              <w:rPr>
                <w:b/>
                <w:bCs/>
              </w:rPr>
            </w:pPr>
          </w:p>
        </w:tc>
        <w:tc>
          <w:tcPr>
            <w:tcW w:w="1040" w:type="dxa"/>
            <w:tcBorders>
              <w:top w:val="single" w:sz="8" w:space="0" w:color="auto"/>
              <w:left w:val="nil"/>
              <w:bottom w:val="nil"/>
              <w:right w:val="nil"/>
            </w:tcBorders>
            <w:noWrap/>
            <w:vAlign w:val="center"/>
            <w:hideMark/>
          </w:tcPr>
          <w:p w:rsidR="002A6758" w:rsidRPr="00BA183C" w:rsidP="00CC5190" w14:paraId="68943908"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195CE27E"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1B69B58C"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4166710F"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120C24F1"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76F1F8E1"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3BE5CCF2" w14:textId="77777777">
            <w:pPr>
              <w:rPr>
                <w:b/>
                <w:bCs/>
              </w:rPr>
            </w:pPr>
            <w:r w:rsidRPr="00BA183C">
              <w:rPr>
                <w:b/>
                <w:bCs/>
              </w:rPr>
              <w:t> </w:t>
            </w:r>
          </w:p>
        </w:tc>
        <w:tc>
          <w:tcPr>
            <w:tcW w:w="1674" w:type="dxa"/>
            <w:tcBorders>
              <w:top w:val="single" w:sz="8" w:space="0" w:color="auto"/>
              <w:left w:val="single" w:sz="8" w:space="0" w:color="auto"/>
              <w:bottom w:val="nil"/>
              <w:right w:val="single" w:sz="8" w:space="0" w:color="auto"/>
            </w:tcBorders>
            <w:noWrap/>
            <w:vAlign w:val="center"/>
            <w:hideMark/>
          </w:tcPr>
          <w:p w:rsidR="002A6758" w:rsidRPr="00BA183C" w:rsidP="00CC5190" w14:paraId="79F42778" w14:textId="77777777">
            <w:pPr>
              <w:rPr>
                <w:b/>
                <w:bCs/>
              </w:rPr>
            </w:pPr>
            <w:r w:rsidRPr="00BA183C">
              <w:rPr>
                <w:b/>
                <w:bCs/>
              </w:rPr>
              <w:t> </w:t>
            </w:r>
          </w:p>
        </w:tc>
      </w:tr>
      <w:tr w14:paraId="4F2F86C8"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2A6758" w:rsidRPr="00BA183C" w:rsidP="00CC5190" w14:paraId="261B753D" w14:textId="77777777">
            <w:pPr>
              <w:rPr>
                <w:b/>
                <w:bCs/>
              </w:rPr>
            </w:pPr>
            <w:r w:rsidRPr="00BA183C">
              <w:rPr>
                <w:b/>
                <w:bCs/>
              </w:rPr>
              <w:t>TOTAL PAYMENT APPROPRIATIONS</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066D72A4" w14:textId="77777777">
            <w:pPr>
              <w:rPr>
                <w:b/>
                <w:bCs/>
              </w:rPr>
            </w:pPr>
            <w:r w:rsidRPr="00BA183C">
              <w:rPr>
                <w:b/>
                <w:bCs/>
              </w:rPr>
              <w:t>271.032</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2FD3AA03" w14:textId="77777777">
            <w:pPr>
              <w:rPr>
                <w:b/>
                <w:bCs/>
              </w:rPr>
            </w:pPr>
            <w:r w:rsidRPr="00BA183C">
              <w:rPr>
                <w:b/>
                <w:bCs/>
              </w:rPr>
              <w:t>305.040</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662E03EA" w14:textId="77777777">
            <w:pPr>
              <w:rPr>
                <w:b/>
                <w:bCs/>
              </w:rPr>
            </w:pPr>
            <w:r w:rsidRPr="00BA183C">
              <w:rPr>
                <w:b/>
                <w:bCs/>
              </w:rPr>
              <w:t>300.920</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0E590526" w14:textId="77777777">
            <w:pPr>
              <w:rPr>
                <w:b/>
                <w:bCs/>
              </w:rPr>
            </w:pPr>
            <w:r w:rsidRPr="00BA183C">
              <w:rPr>
                <w:b/>
                <w:bCs/>
              </w:rPr>
              <w:t>296.118</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08272DD1" w14:textId="77777777">
            <w:pPr>
              <w:rPr>
                <w:b/>
                <w:bCs/>
              </w:rPr>
            </w:pPr>
            <w:r w:rsidRPr="00BA183C">
              <w:rPr>
                <w:b/>
                <w:bCs/>
              </w:rPr>
              <w:t>279.007</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62156871" w14:textId="77777777">
            <w:pPr>
              <w:rPr>
                <w:b/>
                <w:bCs/>
              </w:rPr>
            </w:pPr>
            <w:r w:rsidRPr="00BA183C">
              <w:rPr>
                <w:b/>
                <w:bCs/>
              </w:rPr>
              <w:t>275.902</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6A5495C2" w14:textId="77777777">
            <w:pPr>
              <w:rPr>
                <w:b/>
                <w:bCs/>
              </w:rPr>
            </w:pPr>
            <w:r w:rsidRPr="00BA183C">
              <w:rPr>
                <w:b/>
                <w:bCs/>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2A6758" w:rsidRPr="00BA183C" w:rsidP="00CC5190" w14:paraId="4A022418" w14:textId="77777777">
            <w:pPr>
              <w:rPr>
                <w:b/>
                <w:bCs/>
              </w:rPr>
            </w:pPr>
            <w:r w:rsidRPr="00BA183C">
              <w:rPr>
                <w:b/>
                <w:bCs/>
              </w:rPr>
              <w:t>1.995.894</w:t>
            </w:r>
          </w:p>
        </w:tc>
      </w:tr>
      <w:tr w14:paraId="130103D4" w14:textId="77777777" w:rsidTr="00CC5190">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2A6758" w:rsidRPr="00BA183C" w:rsidP="00CC5190" w14:paraId="6D528D3B" w14:textId="77777777">
            <w:r w:rsidRPr="00BA183C">
              <w:t>EUR million - 2025 prices</w:t>
            </w:r>
          </w:p>
        </w:tc>
      </w:tr>
      <w:tr w14:paraId="5C6E22CB" w14:textId="77777777" w:rsidTr="00CC5190">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2A6758" w:rsidRPr="00BA183C" w:rsidP="00CC5190" w14:paraId="28FC8501" w14:textId="77777777">
            <w:pPr>
              <w:rPr>
                <w:b/>
                <w:bCs/>
              </w:rPr>
            </w:pPr>
            <w:r w:rsidRPr="00BA183C">
              <w:rPr>
                <w:b/>
                <w:bCs/>
              </w:rPr>
              <w:t>COMMITMENT APPROPRIATIONS</w:t>
            </w:r>
          </w:p>
        </w:tc>
        <w:tc>
          <w:tcPr>
            <w:tcW w:w="1040" w:type="dxa"/>
            <w:vMerge w:val="restart"/>
            <w:tcBorders>
              <w:top w:val="nil"/>
              <w:left w:val="single" w:sz="8" w:space="0" w:color="auto"/>
              <w:bottom w:val="single" w:sz="8" w:space="0" w:color="000000"/>
              <w:right w:val="nil"/>
            </w:tcBorders>
            <w:noWrap/>
            <w:vAlign w:val="center"/>
            <w:hideMark/>
          </w:tcPr>
          <w:p w:rsidR="002A6758" w:rsidRPr="00BA183C" w:rsidP="00CC5190" w14:paraId="7A87388C" w14:textId="77777777">
            <w:pPr>
              <w:rPr>
                <w:b/>
                <w:bCs/>
              </w:rPr>
            </w:pPr>
            <w:r w:rsidRPr="00BA183C">
              <w:rPr>
                <w:b/>
                <w:bCs/>
              </w:rPr>
              <w:t>2028</w:t>
            </w:r>
          </w:p>
        </w:tc>
        <w:tc>
          <w:tcPr>
            <w:tcW w:w="1040" w:type="dxa"/>
            <w:vMerge w:val="restart"/>
            <w:tcBorders>
              <w:top w:val="nil"/>
              <w:left w:val="nil"/>
              <w:bottom w:val="single" w:sz="8" w:space="0" w:color="000000"/>
              <w:right w:val="nil"/>
            </w:tcBorders>
            <w:noWrap/>
            <w:vAlign w:val="center"/>
            <w:hideMark/>
          </w:tcPr>
          <w:p w:rsidR="002A6758" w:rsidRPr="00BA183C" w:rsidP="00CC5190" w14:paraId="3091541D" w14:textId="77777777">
            <w:pPr>
              <w:rPr>
                <w:b/>
                <w:bCs/>
              </w:rPr>
            </w:pPr>
            <w:r w:rsidRPr="00BA183C">
              <w:rPr>
                <w:b/>
                <w:bCs/>
              </w:rPr>
              <w:t>2029</w:t>
            </w:r>
          </w:p>
        </w:tc>
        <w:tc>
          <w:tcPr>
            <w:tcW w:w="1040" w:type="dxa"/>
            <w:vMerge w:val="restart"/>
            <w:tcBorders>
              <w:top w:val="nil"/>
              <w:left w:val="nil"/>
              <w:bottom w:val="single" w:sz="8" w:space="0" w:color="000000"/>
              <w:right w:val="nil"/>
            </w:tcBorders>
            <w:noWrap/>
            <w:vAlign w:val="center"/>
            <w:hideMark/>
          </w:tcPr>
          <w:p w:rsidR="002A6758" w:rsidRPr="00BA183C" w:rsidP="00CC5190" w14:paraId="52549CBF" w14:textId="77777777">
            <w:pPr>
              <w:rPr>
                <w:b/>
                <w:bCs/>
              </w:rPr>
            </w:pPr>
            <w:r w:rsidRPr="00BA183C">
              <w:rPr>
                <w:b/>
                <w:bCs/>
              </w:rPr>
              <w:t>2030</w:t>
            </w:r>
          </w:p>
        </w:tc>
        <w:tc>
          <w:tcPr>
            <w:tcW w:w="1040" w:type="dxa"/>
            <w:vMerge w:val="restart"/>
            <w:tcBorders>
              <w:top w:val="nil"/>
              <w:left w:val="nil"/>
              <w:bottom w:val="single" w:sz="8" w:space="0" w:color="000000"/>
              <w:right w:val="nil"/>
            </w:tcBorders>
            <w:noWrap/>
            <w:vAlign w:val="center"/>
            <w:hideMark/>
          </w:tcPr>
          <w:p w:rsidR="002A6758" w:rsidRPr="00BA183C" w:rsidP="00CC5190" w14:paraId="130E3EC8" w14:textId="77777777">
            <w:pPr>
              <w:rPr>
                <w:b/>
                <w:bCs/>
              </w:rPr>
            </w:pPr>
            <w:r w:rsidRPr="00BA183C">
              <w:rPr>
                <w:b/>
                <w:bCs/>
              </w:rPr>
              <w:t>2031</w:t>
            </w:r>
          </w:p>
        </w:tc>
        <w:tc>
          <w:tcPr>
            <w:tcW w:w="1040" w:type="dxa"/>
            <w:vMerge w:val="restart"/>
            <w:tcBorders>
              <w:top w:val="nil"/>
              <w:left w:val="nil"/>
              <w:bottom w:val="single" w:sz="8" w:space="0" w:color="000000"/>
              <w:right w:val="nil"/>
            </w:tcBorders>
            <w:noWrap/>
            <w:vAlign w:val="center"/>
            <w:hideMark/>
          </w:tcPr>
          <w:p w:rsidR="002A6758" w:rsidRPr="00BA183C" w:rsidP="00CC5190" w14:paraId="248B27A5" w14:textId="77777777">
            <w:pPr>
              <w:rPr>
                <w:b/>
                <w:bCs/>
              </w:rPr>
            </w:pPr>
            <w:r w:rsidRPr="00BA183C">
              <w:rPr>
                <w:b/>
                <w:bCs/>
              </w:rPr>
              <w:t>2032</w:t>
            </w:r>
          </w:p>
        </w:tc>
        <w:tc>
          <w:tcPr>
            <w:tcW w:w="1040" w:type="dxa"/>
            <w:vMerge w:val="restart"/>
            <w:tcBorders>
              <w:top w:val="nil"/>
              <w:left w:val="nil"/>
              <w:bottom w:val="single" w:sz="8" w:space="0" w:color="000000"/>
              <w:right w:val="nil"/>
            </w:tcBorders>
            <w:noWrap/>
            <w:vAlign w:val="center"/>
            <w:hideMark/>
          </w:tcPr>
          <w:p w:rsidR="002A6758" w:rsidRPr="00BA183C" w:rsidP="00CC5190" w14:paraId="097CA622" w14:textId="77777777">
            <w:pPr>
              <w:rPr>
                <w:b/>
                <w:bCs/>
              </w:rPr>
            </w:pPr>
            <w:r w:rsidRPr="00BA183C">
              <w:rPr>
                <w:b/>
                <w:bCs/>
              </w:rPr>
              <w:t>2033</w:t>
            </w:r>
          </w:p>
        </w:tc>
        <w:tc>
          <w:tcPr>
            <w:tcW w:w="1040" w:type="dxa"/>
            <w:vMerge w:val="restart"/>
            <w:tcBorders>
              <w:top w:val="nil"/>
              <w:left w:val="nil"/>
              <w:bottom w:val="single" w:sz="8" w:space="0" w:color="000000"/>
              <w:right w:val="single" w:sz="8" w:space="0" w:color="auto"/>
            </w:tcBorders>
            <w:noWrap/>
            <w:vAlign w:val="center"/>
            <w:hideMark/>
          </w:tcPr>
          <w:p w:rsidR="002A6758" w:rsidRPr="00BA183C" w:rsidP="00CC5190" w14:paraId="0DFE1AE1" w14:textId="77777777">
            <w:pPr>
              <w:rPr>
                <w:b/>
                <w:bCs/>
              </w:rPr>
            </w:pPr>
            <w:r w:rsidRPr="00BA183C">
              <w:rPr>
                <w:b/>
                <w:bCs/>
              </w:rPr>
              <w:t>2034</w:t>
            </w:r>
          </w:p>
        </w:tc>
        <w:tc>
          <w:tcPr>
            <w:tcW w:w="1674" w:type="dxa"/>
            <w:tcBorders>
              <w:top w:val="nil"/>
              <w:left w:val="nil"/>
              <w:bottom w:val="nil"/>
              <w:right w:val="single" w:sz="8" w:space="0" w:color="auto"/>
            </w:tcBorders>
            <w:vAlign w:val="center"/>
            <w:hideMark/>
          </w:tcPr>
          <w:p w:rsidR="002A6758" w:rsidRPr="00BA183C" w:rsidP="00CC5190" w14:paraId="6859E9E0" w14:textId="77777777">
            <w:pPr>
              <w:rPr>
                <w:b/>
                <w:bCs/>
              </w:rPr>
            </w:pPr>
            <w:r w:rsidRPr="00BA183C">
              <w:rPr>
                <w:b/>
                <w:bCs/>
              </w:rPr>
              <w:t>Total</w:t>
            </w:r>
          </w:p>
        </w:tc>
      </w:tr>
      <w:tr w14:paraId="2A925FEB" w14:textId="77777777" w:rsidTr="00CC5190">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2A6758" w:rsidRPr="00BA183C" w:rsidP="00CC5190" w14:paraId="0839BF95" w14:textId="77777777">
            <w:pPr>
              <w:rPr>
                <w:b/>
                <w:bCs/>
              </w:rPr>
            </w:pPr>
          </w:p>
        </w:tc>
        <w:tc>
          <w:tcPr>
            <w:tcW w:w="0" w:type="auto"/>
            <w:vMerge/>
            <w:tcBorders>
              <w:top w:val="nil"/>
              <w:left w:val="single" w:sz="8" w:space="0" w:color="auto"/>
              <w:bottom w:val="single" w:sz="8" w:space="0" w:color="000000"/>
              <w:right w:val="nil"/>
            </w:tcBorders>
            <w:vAlign w:val="center"/>
            <w:hideMark/>
          </w:tcPr>
          <w:p w:rsidR="002A6758" w:rsidRPr="00BA183C" w:rsidP="00CC5190" w14:paraId="2A7777F2"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444136F6"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14E6501D"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629C2CB8"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1C6C73ED" w14:textId="77777777">
            <w:pPr>
              <w:rPr>
                <w:b/>
                <w:bCs/>
              </w:rPr>
            </w:pPr>
          </w:p>
        </w:tc>
        <w:tc>
          <w:tcPr>
            <w:tcW w:w="0" w:type="auto"/>
            <w:vMerge/>
            <w:tcBorders>
              <w:top w:val="nil"/>
              <w:left w:val="nil"/>
              <w:bottom w:val="single" w:sz="8" w:space="0" w:color="000000"/>
              <w:right w:val="nil"/>
            </w:tcBorders>
            <w:vAlign w:val="center"/>
            <w:hideMark/>
          </w:tcPr>
          <w:p w:rsidR="002A6758" w:rsidRPr="00BA183C" w:rsidP="00CC5190" w14:paraId="07A7FFDA" w14:textId="77777777">
            <w:pPr>
              <w:rPr>
                <w:b/>
                <w:bCs/>
              </w:rPr>
            </w:pPr>
          </w:p>
        </w:tc>
        <w:tc>
          <w:tcPr>
            <w:tcW w:w="0" w:type="auto"/>
            <w:vMerge/>
            <w:tcBorders>
              <w:top w:val="nil"/>
              <w:left w:val="nil"/>
              <w:bottom w:val="single" w:sz="8" w:space="0" w:color="000000"/>
              <w:right w:val="single" w:sz="8" w:space="0" w:color="auto"/>
            </w:tcBorders>
            <w:vAlign w:val="center"/>
            <w:hideMark/>
          </w:tcPr>
          <w:p w:rsidR="002A6758" w:rsidRPr="00BA183C" w:rsidP="00CC5190" w14:paraId="530EFCE0" w14:textId="77777777">
            <w:pPr>
              <w:rPr>
                <w:b/>
                <w:bCs/>
              </w:rPr>
            </w:pPr>
          </w:p>
        </w:tc>
        <w:tc>
          <w:tcPr>
            <w:tcW w:w="1674" w:type="dxa"/>
            <w:tcBorders>
              <w:top w:val="nil"/>
              <w:left w:val="nil"/>
              <w:bottom w:val="single" w:sz="8" w:space="0" w:color="auto"/>
              <w:right w:val="single" w:sz="8" w:space="0" w:color="auto"/>
            </w:tcBorders>
            <w:vAlign w:val="center"/>
            <w:hideMark/>
          </w:tcPr>
          <w:p w:rsidR="002A6758" w:rsidRPr="00BA183C" w:rsidP="00CC5190" w14:paraId="0107FD70" w14:textId="77777777">
            <w:pPr>
              <w:rPr>
                <w:b/>
                <w:bCs/>
              </w:rPr>
            </w:pPr>
            <w:r w:rsidRPr="00BA183C">
              <w:rPr>
                <w:b/>
                <w:bCs/>
              </w:rPr>
              <w:t>2028-2034</w:t>
            </w:r>
          </w:p>
        </w:tc>
      </w:tr>
      <w:tr w14:paraId="6766B446"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2A6758" w:rsidRPr="00BA183C" w:rsidP="00CC5190" w14:paraId="4C7696FC" w14:textId="77777777">
            <w:pPr>
              <w:rPr>
                <w:b/>
                <w:bCs/>
              </w:rPr>
            </w:pPr>
            <w:r w:rsidRPr="00BA183C">
              <w:rPr>
                <w:b/>
                <w:bCs/>
              </w:rPr>
              <w:t xml:space="preserve">1. Economic, social and territorial cohesion, agriculture and rural, maritime, prosperity and security </w:t>
            </w:r>
          </w:p>
        </w:tc>
        <w:tc>
          <w:tcPr>
            <w:tcW w:w="1040" w:type="dxa"/>
            <w:noWrap/>
            <w:vAlign w:val="center"/>
            <w:hideMark/>
          </w:tcPr>
          <w:p w:rsidR="002A6758" w:rsidRPr="00BA183C" w:rsidP="00CC5190" w14:paraId="7C8B1401" w14:textId="77777777">
            <w:pPr>
              <w:rPr>
                <w:b/>
                <w:bCs/>
              </w:rPr>
            </w:pPr>
            <w:r w:rsidRPr="00BA183C">
              <w:rPr>
                <w:b/>
                <w:bCs/>
              </w:rPr>
              <w:t>146.152</w:t>
            </w:r>
          </w:p>
        </w:tc>
        <w:tc>
          <w:tcPr>
            <w:tcW w:w="1040" w:type="dxa"/>
            <w:noWrap/>
            <w:vAlign w:val="center"/>
            <w:hideMark/>
          </w:tcPr>
          <w:p w:rsidR="002A6758" w:rsidRPr="00BA183C" w:rsidP="00CC5190" w14:paraId="7E8B5369" w14:textId="77777777">
            <w:pPr>
              <w:rPr>
                <w:b/>
                <w:bCs/>
              </w:rPr>
            </w:pPr>
            <w:r w:rsidRPr="00BA183C">
              <w:rPr>
                <w:b/>
                <w:bCs/>
              </w:rPr>
              <w:t>140.992</w:t>
            </w:r>
          </w:p>
        </w:tc>
        <w:tc>
          <w:tcPr>
            <w:tcW w:w="1040" w:type="dxa"/>
            <w:noWrap/>
            <w:vAlign w:val="center"/>
            <w:hideMark/>
          </w:tcPr>
          <w:p w:rsidR="002A6758" w:rsidRPr="00BA183C" w:rsidP="00CC5190" w14:paraId="420BD676" w14:textId="77777777">
            <w:pPr>
              <w:rPr>
                <w:b/>
                <w:bCs/>
              </w:rPr>
            </w:pPr>
            <w:r w:rsidRPr="00BA183C">
              <w:rPr>
                <w:b/>
                <w:bCs/>
              </w:rPr>
              <w:t>135.392</w:t>
            </w:r>
          </w:p>
        </w:tc>
        <w:tc>
          <w:tcPr>
            <w:tcW w:w="1040" w:type="dxa"/>
            <w:noWrap/>
            <w:vAlign w:val="center"/>
            <w:hideMark/>
          </w:tcPr>
          <w:p w:rsidR="002A6758" w:rsidRPr="00BA183C" w:rsidP="00CC5190" w14:paraId="5B2F3552" w14:textId="77777777">
            <w:pPr>
              <w:rPr>
                <w:b/>
                <w:bCs/>
              </w:rPr>
            </w:pPr>
            <w:r w:rsidRPr="00BA183C">
              <w:rPr>
                <w:b/>
                <w:bCs/>
              </w:rPr>
              <w:t>130.273</w:t>
            </w:r>
          </w:p>
        </w:tc>
        <w:tc>
          <w:tcPr>
            <w:tcW w:w="1040" w:type="dxa"/>
            <w:noWrap/>
            <w:vAlign w:val="center"/>
            <w:hideMark/>
          </w:tcPr>
          <w:p w:rsidR="002A6758" w:rsidRPr="00BA183C" w:rsidP="00CC5190" w14:paraId="3D1D7D6E" w14:textId="77777777">
            <w:pPr>
              <w:rPr>
                <w:b/>
                <w:bCs/>
              </w:rPr>
            </w:pPr>
            <w:r w:rsidRPr="00BA183C">
              <w:rPr>
                <w:b/>
                <w:bCs/>
              </w:rPr>
              <w:t>124.525</w:t>
            </w:r>
          </w:p>
        </w:tc>
        <w:tc>
          <w:tcPr>
            <w:tcW w:w="1040" w:type="dxa"/>
            <w:noWrap/>
            <w:vAlign w:val="center"/>
            <w:hideMark/>
          </w:tcPr>
          <w:p w:rsidR="002A6758" w:rsidRPr="00BA183C" w:rsidP="00CC5190" w14:paraId="2F61BB5B" w14:textId="77777777">
            <w:pPr>
              <w:rPr>
                <w:b/>
                <w:bCs/>
              </w:rPr>
            </w:pPr>
            <w:r w:rsidRPr="00BA183C">
              <w:rPr>
                <w:b/>
                <w:bCs/>
              </w:rPr>
              <w:t>110.534</w:t>
            </w:r>
          </w:p>
        </w:tc>
        <w:tc>
          <w:tcPr>
            <w:tcW w:w="1040" w:type="dxa"/>
            <w:tcBorders>
              <w:top w:val="nil"/>
              <w:left w:val="nil"/>
              <w:bottom w:val="nil"/>
              <w:right w:val="single" w:sz="8" w:space="0" w:color="auto"/>
            </w:tcBorders>
            <w:noWrap/>
            <w:vAlign w:val="center"/>
            <w:hideMark/>
          </w:tcPr>
          <w:p w:rsidR="002A6758" w:rsidRPr="00BA183C" w:rsidP="00CC5190" w14:paraId="535D5618" w14:textId="77777777">
            <w:pPr>
              <w:rPr>
                <w:b/>
                <w:bCs/>
              </w:rPr>
            </w:pPr>
            <w:r w:rsidRPr="00BA183C">
              <w:rPr>
                <w:b/>
                <w:bCs/>
              </w:rPr>
              <w:t>100.996</w:t>
            </w:r>
          </w:p>
        </w:tc>
        <w:tc>
          <w:tcPr>
            <w:tcW w:w="1674" w:type="dxa"/>
            <w:tcBorders>
              <w:top w:val="nil"/>
              <w:left w:val="nil"/>
              <w:bottom w:val="nil"/>
              <w:right w:val="single" w:sz="8" w:space="0" w:color="auto"/>
            </w:tcBorders>
            <w:noWrap/>
            <w:vAlign w:val="center"/>
            <w:hideMark/>
          </w:tcPr>
          <w:p w:rsidR="002A6758" w:rsidRPr="00BA183C" w:rsidP="00CC5190" w14:paraId="3EBCADDC" w14:textId="77777777">
            <w:pPr>
              <w:rPr>
                <w:b/>
                <w:bCs/>
              </w:rPr>
            </w:pPr>
            <w:r w:rsidRPr="00BA183C">
              <w:rPr>
                <w:b/>
                <w:bCs/>
              </w:rPr>
              <w:t>888.864</w:t>
            </w:r>
          </w:p>
        </w:tc>
      </w:tr>
      <w:tr w14:paraId="75179598"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6A1EDC16" w14:textId="77777777">
            <w:pPr>
              <w:rPr>
                <w:b/>
                <w:bCs/>
              </w:rPr>
            </w:pPr>
            <w:r w:rsidRPr="00BA183C">
              <w:rPr>
                <w:b/>
                <w:bCs/>
              </w:rPr>
              <w:t>2. Competitiveness, prosperity and security</w:t>
            </w:r>
          </w:p>
        </w:tc>
        <w:tc>
          <w:tcPr>
            <w:tcW w:w="1040" w:type="dxa"/>
            <w:noWrap/>
            <w:vAlign w:val="center"/>
            <w:hideMark/>
          </w:tcPr>
          <w:p w:rsidR="002A6758" w:rsidRPr="00BA183C" w:rsidP="00CC5190" w14:paraId="3CEE1F18" w14:textId="77777777">
            <w:pPr>
              <w:rPr>
                <w:b/>
                <w:bCs/>
              </w:rPr>
            </w:pPr>
            <w:r w:rsidRPr="00BA183C">
              <w:rPr>
                <w:b/>
                <w:bCs/>
              </w:rPr>
              <w:t>70.508</w:t>
            </w:r>
          </w:p>
        </w:tc>
        <w:tc>
          <w:tcPr>
            <w:tcW w:w="1040" w:type="dxa"/>
            <w:noWrap/>
            <w:vAlign w:val="center"/>
            <w:hideMark/>
          </w:tcPr>
          <w:p w:rsidR="002A6758" w:rsidRPr="00BA183C" w:rsidP="00CC5190" w14:paraId="162BB32A" w14:textId="77777777">
            <w:pPr>
              <w:rPr>
                <w:b/>
                <w:bCs/>
              </w:rPr>
            </w:pPr>
            <w:r w:rsidRPr="00BA183C">
              <w:rPr>
                <w:b/>
                <w:bCs/>
              </w:rPr>
              <w:t>84.037</w:t>
            </w:r>
          </w:p>
        </w:tc>
        <w:tc>
          <w:tcPr>
            <w:tcW w:w="1040" w:type="dxa"/>
            <w:noWrap/>
            <w:vAlign w:val="center"/>
            <w:hideMark/>
          </w:tcPr>
          <w:p w:rsidR="002A6758" w:rsidRPr="00BA183C" w:rsidP="00CC5190" w14:paraId="258504C3" w14:textId="77777777">
            <w:pPr>
              <w:rPr>
                <w:b/>
                <w:bCs/>
              </w:rPr>
            </w:pPr>
            <w:r w:rsidRPr="00BA183C">
              <w:rPr>
                <w:b/>
                <w:bCs/>
              </w:rPr>
              <w:t>84.291</w:t>
            </w:r>
          </w:p>
        </w:tc>
        <w:tc>
          <w:tcPr>
            <w:tcW w:w="1040" w:type="dxa"/>
            <w:noWrap/>
            <w:vAlign w:val="center"/>
            <w:hideMark/>
          </w:tcPr>
          <w:p w:rsidR="002A6758" w:rsidRPr="00BA183C" w:rsidP="00CC5190" w14:paraId="7B1470A6" w14:textId="77777777">
            <w:pPr>
              <w:rPr>
                <w:b/>
                <w:bCs/>
              </w:rPr>
            </w:pPr>
            <w:r w:rsidRPr="00BA183C">
              <w:rPr>
                <w:b/>
                <w:bCs/>
              </w:rPr>
              <w:t>86.747</w:t>
            </w:r>
          </w:p>
        </w:tc>
        <w:tc>
          <w:tcPr>
            <w:tcW w:w="1040" w:type="dxa"/>
            <w:noWrap/>
            <w:vAlign w:val="center"/>
            <w:hideMark/>
          </w:tcPr>
          <w:p w:rsidR="002A6758" w:rsidRPr="00BA183C" w:rsidP="00CC5190" w14:paraId="5A3278E7" w14:textId="77777777">
            <w:pPr>
              <w:rPr>
                <w:b/>
                <w:bCs/>
              </w:rPr>
            </w:pPr>
            <w:r w:rsidRPr="00BA183C">
              <w:rPr>
                <w:b/>
                <w:bCs/>
              </w:rPr>
              <w:t>86.312</w:t>
            </w:r>
          </w:p>
        </w:tc>
        <w:tc>
          <w:tcPr>
            <w:tcW w:w="1040" w:type="dxa"/>
            <w:noWrap/>
            <w:vAlign w:val="center"/>
            <w:hideMark/>
          </w:tcPr>
          <w:p w:rsidR="002A6758" w:rsidRPr="00BA183C" w:rsidP="00CC5190" w14:paraId="5D5525A2" w14:textId="77777777">
            <w:pPr>
              <w:rPr>
                <w:b/>
                <w:bCs/>
              </w:rPr>
            </w:pPr>
            <w:r w:rsidRPr="00BA183C">
              <w:rPr>
                <w:b/>
                <w:bCs/>
              </w:rPr>
              <w:t>86.619</w:t>
            </w:r>
          </w:p>
        </w:tc>
        <w:tc>
          <w:tcPr>
            <w:tcW w:w="1040" w:type="dxa"/>
            <w:noWrap/>
            <w:vAlign w:val="center"/>
            <w:hideMark/>
          </w:tcPr>
          <w:p w:rsidR="002A6758" w:rsidRPr="00BA183C" w:rsidP="00CC5190" w14:paraId="2691B163" w14:textId="77777777">
            <w:pPr>
              <w:rPr>
                <w:b/>
                <w:bCs/>
              </w:rPr>
            </w:pPr>
            <w:r w:rsidRPr="00BA183C">
              <w:rPr>
                <w:b/>
                <w:bCs/>
              </w:rPr>
              <w:t>85.771</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3E4EEE45" w14:textId="77777777">
            <w:pPr>
              <w:rPr>
                <w:b/>
                <w:bCs/>
              </w:rPr>
            </w:pPr>
            <w:r w:rsidRPr="00BA183C">
              <w:rPr>
                <w:b/>
                <w:bCs/>
              </w:rPr>
              <w:t>584.288</w:t>
            </w:r>
          </w:p>
        </w:tc>
      </w:tr>
      <w:tr w14:paraId="018C8D60"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24D2E1D4" w14:textId="77777777">
            <w:pPr>
              <w:rPr>
                <w:b/>
                <w:bCs/>
              </w:rPr>
            </w:pPr>
            <w:r w:rsidRPr="00BA183C">
              <w:rPr>
                <w:b/>
                <w:bCs/>
              </w:rPr>
              <w:t>3. Global Europe</w:t>
            </w:r>
          </w:p>
        </w:tc>
        <w:tc>
          <w:tcPr>
            <w:tcW w:w="1040" w:type="dxa"/>
            <w:noWrap/>
            <w:vAlign w:val="center"/>
            <w:hideMark/>
          </w:tcPr>
          <w:p w:rsidR="002A6758" w:rsidRPr="00BA183C" w:rsidP="00CC5190" w14:paraId="492E545D" w14:textId="77777777">
            <w:pPr>
              <w:rPr>
                <w:b/>
                <w:bCs/>
              </w:rPr>
            </w:pPr>
            <w:r w:rsidRPr="00BA183C">
              <w:rPr>
                <w:b/>
                <w:bCs/>
              </w:rPr>
              <w:t>25.727</w:t>
            </w:r>
          </w:p>
        </w:tc>
        <w:tc>
          <w:tcPr>
            <w:tcW w:w="1040" w:type="dxa"/>
            <w:noWrap/>
            <w:vAlign w:val="center"/>
            <w:hideMark/>
          </w:tcPr>
          <w:p w:rsidR="002A6758" w:rsidRPr="00BA183C" w:rsidP="00CC5190" w14:paraId="11673F2B" w14:textId="77777777">
            <w:pPr>
              <w:rPr>
                <w:b/>
                <w:bCs/>
              </w:rPr>
            </w:pPr>
            <w:r w:rsidRPr="00BA183C">
              <w:rPr>
                <w:b/>
                <w:bCs/>
              </w:rPr>
              <w:t>25.810</w:t>
            </w:r>
          </w:p>
        </w:tc>
        <w:tc>
          <w:tcPr>
            <w:tcW w:w="1040" w:type="dxa"/>
            <w:noWrap/>
            <w:vAlign w:val="center"/>
            <w:hideMark/>
          </w:tcPr>
          <w:p w:rsidR="002A6758" w:rsidRPr="00BA183C" w:rsidP="00CC5190" w14:paraId="40EEFDC2" w14:textId="77777777">
            <w:pPr>
              <w:rPr>
                <w:b/>
                <w:bCs/>
              </w:rPr>
            </w:pPr>
            <w:r w:rsidRPr="00BA183C">
              <w:rPr>
                <w:b/>
                <w:bCs/>
              </w:rPr>
              <w:t>25.758</w:t>
            </w:r>
          </w:p>
        </w:tc>
        <w:tc>
          <w:tcPr>
            <w:tcW w:w="1040" w:type="dxa"/>
            <w:noWrap/>
            <w:vAlign w:val="center"/>
            <w:hideMark/>
          </w:tcPr>
          <w:p w:rsidR="002A6758" w:rsidRPr="00BA183C" w:rsidP="00CC5190" w14:paraId="2B89CA9A" w14:textId="77777777">
            <w:pPr>
              <w:rPr>
                <w:b/>
                <w:bCs/>
              </w:rPr>
            </w:pPr>
            <w:r w:rsidRPr="00BA183C">
              <w:rPr>
                <w:b/>
                <w:bCs/>
              </w:rPr>
              <w:t>30.214</w:t>
            </w:r>
          </w:p>
        </w:tc>
        <w:tc>
          <w:tcPr>
            <w:tcW w:w="1040" w:type="dxa"/>
            <w:noWrap/>
            <w:vAlign w:val="center"/>
            <w:hideMark/>
          </w:tcPr>
          <w:p w:rsidR="002A6758" w:rsidRPr="00BA183C" w:rsidP="00CC5190" w14:paraId="602E4897" w14:textId="77777777">
            <w:pPr>
              <w:rPr>
                <w:b/>
                <w:bCs/>
              </w:rPr>
            </w:pPr>
            <w:r w:rsidRPr="00BA183C">
              <w:rPr>
                <w:b/>
                <w:bCs/>
              </w:rPr>
              <w:t>34.615</w:t>
            </w:r>
          </w:p>
        </w:tc>
        <w:tc>
          <w:tcPr>
            <w:tcW w:w="1040" w:type="dxa"/>
            <w:noWrap/>
            <w:vAlign w:val="center"/>
            <w:hideMark/>
          </w:tcPr>
          <w:p w:rsidR="002A6758" w:rsidRPr="00BA183C" w:rsidP="00CC5190" w14:paraId="6AA3B01B" w14:textId="77777777">
            <w:pPr>
              <w:rPr>
                <w:b/>
                <w:bCs/>
              </w:rPr>
            </w:pPr>
            <w:r w:rsidRPr="00BA183C">
              <w:rPr>
                <w:b/>
                <w:bCs/>
              </w:rPr>
              <w:t>34.583</w:t>
            </w:r>
          </w:p>
        </w:tc>
        <w:tc>
          <w:tcPr>
            <w:tcW w:w="1040" w:type="dxa"/>
            <w:noWrap/>
            <w:vAlign w:val="center"/>
            <w:hideMark/>
          </w:tcPr>
          <w:p w:rsidR="002A6758" w:rsidRPr="00BA183C" w:rsidP="00CC5190" w14:paraId="24A7E130" w14:textId="77777777">
            <w:pPr>
              <w:rPr>
                <w:b/>
                <w:bCs/>
              </w:rPr>
            </w:pPr>
            <w:r w:rsidRPr="00BA183C">
              <w:rPr>
                <w:b/>
                <w:bCs/>
              </w:rPr>
              <w:t>34.551</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5776BF0F" w14:textId="77777777">
            <w:pPr>
              <w:rPr>
                <w:b/>
                <w:bCs/>
              </w:rPr>
            </w:pPr>
            <w:r w:rsidRPr="00BA183C">
              <w:rPr>
                <w:b/>
                <w:bCs/>
              </w:rPr>
              <w:t>211.260</w:t>
            </w:r>
          </w:p>
        </w:tc>
      </w:tr>
      <w:tr w14:paraId="2A08342A" w14:textId="77777777" w:rsidTr="00CC5190">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2A6758" w:rsidRPr="00BA183C" w:rsidP="00CC5190" w14:paraId="08185712" w14:textId="77777777">
            <w:pPr>
              <w:rPr>
                <w:b/>
                <w:bCs/>
              </w:rPr>
            </w:pPr>
            <w:r w:rsidRPr="00BA183C">
              <w:rPr>
                <w:b/>
                <w:bCs/>
              </w:rPr>
              <w:t>4. Administration</w:t>
            </w:r>
          </w:p>
        </w:tc>
        <w:tc>
          <w:tcPr>
            <w:tcW w:w="1040" w:type="dxa"/>
            <w:noWrap/>
            <w:vAlign w:val="center"/>
            <w:hideMark/>
          </w:tcPr>
          <w:p w:rsidR="002A6758" w:rsidRPr="00BA183C" w:rsidP="00CC5190" w14:paraId="28D1140D" w14:textId="77777777">
            <w:pPr>
              <w:rPr>
                <w:b/>
                <w:bCs/>
              </w:rPr>
            </w:pPr>
            <w:r w:rsidRPr="00BA183C">
              <w:rPr>
                <w:b/>
                <w:bCs/>
              </w:rPr>
              <w:t>14.083</w:t>
            </w:r>
          </w:p>
        </w:tc>
        <w:tc>
          <w:tcPr>
            <w:tcW w:w="1040" w:type="dxa"/>
            <w:noWrap/>
            <w:vAlign w:val="center"/>
            <w:hideMark/>
          </w:tcPr>
          <w:p w:rsidR="002A6758" w:rsidRPr="00BA183C" w:rsidP="00CC5190" w14:paraId="77FAF2C6" w14:textId="77777777">
            <w:pPr>
              <w:rPr>
                <w:b/>
                <w:bCs/>
              </w:rPr>
            </w:pPr>
            <w:r w:rsidRPr="00BA183C">
              <w:rPr>
                <w:b/>
                <w:bCs/>
              </w:rPr>
              <w:t>14.397</w:t>
            </w:r>
          </w:p>
        </w:tc>
        <w:tc>
          <w:tcPr>
            <w:tcW w:w="1040" w:type="dxa"/>
            <w:noWrap/>
            <w:vAlign w:val="center"/>
            <w:hideMark/>
          </w:tcPr>
          <w:p w:rsidR="002A6758" w:rsidRPr="00BA183C" w:rsidP="00CC5190" w14:paraId="71409964" w14:textId="77777777">
            <w:pPr>
              <w:rPr>
                <w:b/>
                <w:bCs/>
              </w:rPr>
            </w:pPr>
            <w:r w:rsidRPr="00BA183C">
              <w:rPr>
                <w:b/>
                <w:bCs/>
              </w:rPr>
              <w:t>14.746</w:t>
            </w:r>
          </w:p>
        </w:tc>
        <w:tc>
          <w:tcPr>
            <w:tcW w:w="1040" w:type="dxa"/>
            <w:noWrap/>
            <w:vAlign w:val="center"/>
            <w:hideMark/>
          </w:tcPr>
          <w:p w:rsidR="002A6758" w:rsidRPr="00BA183C" w:rsidP="00CC5190" w14:paraId="56497282" w14:textId="77777777">
            <w:pPr>
              <w:rPr>
                <w:b/>
                <w:bCs/>
              </w:rPr>
            </w:pPr>
            <w:r w:rsidRPr="00BA183C">
              <w:rPr>
                <w:b/>
                <w:bCs/>
              </w:rPr>
              <w:t>14.980</w:t>
            </w:r>
          </w:p>
        </w:tc>
        <w:tc>
          <w:tcPr>
            <w:tcW w:w="1040" w:type="dxa"/>
            <w:noWrap/>
            <w:vAlign w:val="center"/>
            <w:hideMark/>
          </w:tcPr>
          <w:p w:rsidR="002A6758" w:rsidRPr="00BA183C" w:rsidP="00CC5190" w14:paraId="5ABAD5B1" w14:textId="77777777">
            <w:pPr>
              <w:rPr>
                <w:b/>
                <w:bCs/>
              </w:rPr>
            </w:pPr>
            <w:r w:rsidRPr="00BA183C">
              <w:rPr>
                <w:b/>
                <w:bCs/>
              </w:rPr>
              <w:t>15.205</w:t>
            </w:r>
          </w:p>
        </w:tc>
        <w:tc>
          <w:tcPr>
            <w:tcW w:w="1040" w:type="dxa"/>
            <w:noWrap/>
            <w:vAlign w:val="center"/>
            <w:hideMark/>
          </w:tcPr>
          <w:p w:rsidR="002A6758" w:rsidRPr="00BA183C" w:rsidP="00CC5190" w14:paraId="4CA4D9CA" w14:textId="77777777">
            <w:pPr>
              <w:rPr>
                <w:b/>
                <w:bCs/>
              </w:rPr>
            </w:pPr>
            <w:r w:rsidRPr="00BA183C">
              <w:rPr>
                <w:b/>
                <w:bCs/>
              </w:rPr>
              <w:t>15.415</w:t>
            </w:r>
          </w:p>
        </w:tc>
        <w:tc>
          <w:tcPr>
            <w:tcW w:w="1040" w:type="dxa"/>
            <w:noWrap/>
            <w:vAlign w:val="center"/>
            <w:hideMark/>
          </w:tcPr>
          <w:p w:rsidR="002A6758" w:rsidRPr="00BA183C" w:rsidP="00CC5190" w14:paraId="6B440933" w14:textId="77777777">
            <w:pPr>
              <w:rPr>
                <w:b/>
                <w:bCs/>
              </w:rPr>
            </w:pPr>
            <w:r w:rsidRPr="00BA183C">
              <w:rPr>
                <w:b/>
                <w:bCs/>
              </w:rPr>
              <w:t>15.621</w:t>
            </w:r>
          </w:p>
        </w:tc>
        <w:tc>
          <w:tcPr>
            <w:tcW w:w="1674" w:type="dxa"/>
            <w:tcBorders>
              <w:top w:val="nil"/>
              <w:left w:val="single" w:sz="8" w:space="0" w:color="auto"/>
              <w:bottom w:val="nil"/>
              <w:right w:val="single" w:sz="8" w:space="0" w:color="auto"/>
            </w:tcBorders>
            <w:noWrap/>
            <w:vAlign w:val="center"/>
            <w:hideMark/>
          </w:tcPr>
          <w:p w:rsidR="002A6758" w:rsidRPr="00BA183C" w:rsidP="00CC5190" w14:paraId="2C21DC2B" w14:textId="77777777">
            <w:pPr>
              <w:rPr>
                <w:b/>
                <w:bCs/>
              </w:rPr>
            </w:pPr>
            <w:r w:rsidRPr="00BA183C">
              <w:rPr>
                <w:b/>
                <w:bCs/>
              </w:rPr>
              <w:t>104.449</w:t>
            </w:r>
          </w:p>
        </w:tc>
      </w:tr>
      <w:tr w14:paraId="71E3BFF6"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A6758" w:rsidRPr="00BA183C" w:rsidP="00CC5190" w14:paraId="17C6013B" w14:textId="77777777">
            <w:pPr>
              <w:rPr>
                <w:b/>
                <w:bCs/>
              </w:rPr>
            </w:pPr>
            <w:r w:rsidRPr="00BA183C">
              <w:rPr>
                <w:b/>
                <w:bCs/>
              </w:rPr>
              <w:t>TOTAL COMMITMENT APPROPRIATIONS</w:t>
            </w:r>
          </w:p>
        </w:tc>
        <w:tc>
          <w:tcPr>
            <w:tcW w:w="1040" w:type="dxa"/>
            <w:tcBorders>
              <w:top w:val="single" w:sz="8" w:space="0" w:color="auto"/>
              <w:left w:val="nil"/>
              <w:bottom w:val="nil"/>
              <w:right w:val="nil"/>
            </w:tcBorders>
            <w:noWrap/>
            <w:vAlign w:val="center"/>
            <w:hideMark/>
          </w:tcPr>
          <w:p w:rsidR="002A6758" w:rsidRPr="00BA183C" w:rsidP="00CC5190" w14:paraId="222A0356" w14:textId="77777777">
            <w:pPr>
              <w:rPr>
                <w:b/>
                <w:bCs/>
              </w:rPr>
            </w:pPr>
            <w:r w:rsidRPr="00BA183C">
              <w:rPr>
                <w:b/>
                <w:bCs/>
              </w:rPr>
              <w:t>256.472</w:t>
            </w:r>
          </w:p>
        </w:tc>
        <w:tc>
          <w:tcPr>
            <w:tcW w:w="1040" w:type="dxa"/>
            <w:tcBorders>
              <w:top w:val="single" w:sz="8" w:space="0" w:color="auto"/>
              <w:left w:val="nil"/>
              <w:bottom w:val="nil"/>
              <w:right w:val="nil"/>
            </w:tcBorders>
            <w:noWrap/>
            <w:vAlign w:val="center"/>
            <w:hideMark/>
          </w:tcPr>
          <w:p w:rsidR="002A6758" w:rsidRPr="00BA183C" w:rsidP="00CC5190" w14:paraId="40CEB7FC" w14:textId="77777777">
            <w:pPr>
              <w:rPr>
                <w:b/>
                <w:bCs/>
              </w:rPr>
            </w:pPr>
            <w:r w:rsidRPr="00BA183C">
              <w:rPr>
                <w:b/>
                <w:bCs/>
              </w:rPr>
              <w:t>265.237</w:t>
            </w:r>
          </w:p>
        </w:tc>
        <w:tc>
          <w:tcPr>
            <w:tcW w:w="1040" w:type="dxa"/>
            <w:tcBorders>
              <w:top w:val="single" w:sz="8" w:space="0" w:color="auto"/>
              <w:left w:val="nil"/>
              <w:bottom w:val="nil"/>
              <w:right w:val="nil"/>
            </w:tcBorders>
            <w:noWrap/>
            <w:vAlign w:val="center"/>
            <w:hideMark/>
          </w:tcPr>
          <w:p w:rsidR="002A6758" w:rsidRPr="00BA183C" w:rsidP="00CC5190" w14:paraId="55750BCC" w14:textId="77777777">
            <w:pPr>
              <w:rPr>
                <w:b/>
                <w:bCs/>
              </w:rPr>
            </w:pPr>
            <w:r w:rsidRPr="00BA183C">
              <w:rPr>
                <w:b/>
                <w:bCs/>
              </w:rPr>
              <w:t>260.189</w:t>
            </w:r>
          </w:p>
        </w:tc>
        <w:tc>
          <w:tcPr>
            <w:tcW w:w="1040" w:type="dxa"/>
            <w:tcBorders>
              <w:top w:val="single" w:sz="8" w:space="0" w:color="auto"/>
              <w:left w:val="nil"/>
              <w:bottom w:val="nil"/>
              <w:right w:val="nil"/>
            </w:tcBorders>
            <w:noWrap/>
            <w:vAlign w:val="center"/>
            <w:hideMark/>
          </w:tcPr>
          <w:p w:rsidR="002A6758" w:rsidRPr="00BA183C" w:rsidP="00CC5190" w14:paraId="0652755E" w14:textId="77777777">
            <w:pPr>
              <w:rPr>
                <w:b/>
                <w:bCs/>
              </w:rPr>
            </w:pPr>
            <w:r w:rsidRPr="00BA183C">
              <w:rPr>
                <w:b/>
                <w:bCs/>
              </w:rPr>
              <w:t>262.215</w:t>
            </w:r>
          </w:p>
        </w:tc>
        <w:tc>
          <w:tcPr>
            <w:tcW w:w="1040" w:type="dxa"/>
            <w:tcBorders>
              <w:top w:val="single" w:sz="8" w:space="0" w:color="auto"/>
              <w:left w:val="nil"/>
              <w:bottom w:val="nil"/>
              <w:right w:val="nil"/>
            </w:tcBorders>
            <w:noWrap/>
            <w:vAlign w:val="center"/>
            <w:hideMark/>
          </w:tcPr>
          <w:p w:rsidR="002A6758" w:rsidRPr="00BA183C" w:rsidP="00CC5190" w14:paraId="246D4BFA" w14:textId="77777777">
            <w:pPr>
              <w:rPr>
                <w:b/>
                <w:bCs/>
              </w:rPr>
            </w:pPr>
            <w:r w:rsidRPr="00BA183C">
              <w:rPr>
                <w:b/>
                <w:bCs/>
              </w:rPr>
              <w:t>260.657</w:t>
            </w:r>
          </w:p>
        </w:tc>
        <w:tc>
          <w:tcPr>
            <w:tcW w:w="1040" w:type="dxa"/>
            <w:tcBorders>
              <w:top w:val="single" w:sz="8" w:space="0" w:color="auto"/>
              <w:left w:val="nil"/>
              <w:bottom w:val="nil"/>
              <w:right w:val="nil"/>
            </w:tcBorders>
            <w:noWrap/>
            <w:vAlign w:val="center"/>
            <w:hideMark/>
          </w:tcPr>
          <w:p w:rsidR="002A6758" w:rsidRPr="00BA183C" w:rsidP="00CC5190" w14:paraId="10086B79" w14:textId="77777777">
            <w:pPr>
              <w:rPr>
                <w:b/>
                <w:bCs/>
              </w:rPr>
            </w:pPr>
            <w:r w:rsidRPr="00BA183C">
              <w:rPr>
                <w:b/>
                <w:bCs/>
              </w:rPr>
              <w:t>247.151</w:t>
            </w:r>
          </w:p>
        </w:tc>
        <w:tc>
          <w:tcPr>
            <w:tcW w:w="1040" w:type="dxa"/>
            <w:tcBorders>
              <w:top w:val="single" w:sz="8" w:space="0" w:color="auto"/>
              <w:left w:val="nil"/>
              <w:bottom w:val="nil"/>
              <w:right w:val="nil"/>
            </w:tcBorders>
            <w:noWrap/>
            <w:vAlign w:val="center"/>
            <w:hideMark/>
          </w:tcPr>
          <w:p w:rsidR="002A6758" w:rsidRPr="00BA183C" w:rsidP="00CC5190" w14:paraId="2E0FB688" w14:textId="77777777">
            <w:pPr>
              <w:rPr>
                <w:b/>
                <w:bCs/>
              </w:rPr>
            </w:pPr>
            <w:r w:rsidRPr="00BA183C">
              <w:rPr>
                <w:b/>
                <w:bCs/>
              </w:rPr>
              <w:t>236.939</w:t>
            </w:r>
          </w:p>
        </w:tc>
        <w:tc>
          <w:tcPr>
            <w:tcW w:w="1674" w:type="dxa"/>
            <w:tcBorders>
              <w:top w:val="single" w:sz="8" w:space="0" w:color="auto"/>
              <w:left w:val="single" w:sz="8" w:space="0" w:color="auto"/>
              <w:bottom w:val="nil"/>
              <w:right w:val="single" w:sz="8" w:space="0" w:color="auto"/>
            </w:tcBorders>
            <w:noWrap/>
            <w:vAlign w:val="center"/>
            <w:hideMark/>
          </w:tcPr>
          <w:p w:rsidR="002A6758" w:rsidRPr="00BA183C" w:rsidP="00CC5190" w14:paraId="2BDA5460" w14:textId="77777777">
            <w:pPr>
              <w:rPr>
                <w:b/>
                <w:bCs/>
              </w:rPr>
            </w:pPr>
            <w:r w:rsidRPr="00BA183C">
              <w:rPr>
                <w:b/>
                <w:bCs/>
              </w:rPr>
              <w:t>1.788.861</w:t>
            </w:r>
          </w:p>
        </w:tc>
      </w:tr>
      <w:tr w14:paraId="6ECB114A"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2A6758" w:rsidRPr="00BA183C" w:rsidP="00CC5190" w14:paraId="49483F72"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73B6D4A6"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4808D526"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15E5DB90"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2E24E51A"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5875DC5A"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3C935498" w14:textId="77777777">
            <w:pPr>
              <w:rPr>
                <w:b/>
                <w:bCs/>
              </w:rPr>
            </w:pPr>
            <w:r w:rsidRPr="00BA183C">
              <w:rPr>
                <w:b/>
                <w:bCs/>
              </w:rPr>
              <w:t> </w:t>
            </w:r>
          </w:p>
        </w:tc>
        <w:tc>
          <w:tcPr>
            <w:tcW w:w="1040" w:type="dxa"/>
            <w:tcBorders>
              <w:top w:val="single" w:sz="8" w:space="0" w:color="auto"/>
              <w:left w:val="nil"/>
              <w:bottom w:val="nil"/>
              <w:right w:val="nil"/>
            </w:tcBorders>
            <w:noWrap/>
            <w:vAlign w:val="center"/>
            <w:hideMark/>
          </w:tcPr>
          <w:p w:rsidR="002A6758" w:rsidRPr="00BA183C" w:rsidP="00CC5190" w14:paraId="7B211445" w14:textId="77777777">
            <w:pPr>
              <w:rPr>
                <w:b/>
                <w:bCs/>
              </w:rPr>
            </w:pPr>
            <w:r w:rsidRPr="00BA183C">
              <w:rPr>
                <w:b/>
                <w:bCs/>
              </w:rPr>
              <w:t> </w:t>
            </w:r>
          </w:p>
        </w:tc>
        <w:tc>
          <w:tcPr>
            <w:tcW w:w="1674" w:type="dxa"/>
            <w:tcBorders>
              <w:top w:val="single" w:sz="8" w:space="0" w:color="auto"/>
              <w:left w:val="single" w:sz="8" w:space="0" w:color="auto"/>
              <w:bottom w:val="nil"/>
              <w:right w:val="single" w:sz="8" w:space="0" w:color="auto"/>
            </w:tcBorders>
            <w:noWrap/>
            <w:vAlign w:val="center"/>
            <w:hideMark/>
          </w:tcPr>
          <w:p w:rsidR="002A6758" w:rsidRPr="00BA183C" w:rsidP="00CC5190" w14:paraId="3F139F17" w14:textId="77777777">
            <w:pPr>
              <w:rPr>
                <w:b/>
                <w:bCs/>
              </w:rPr>
            </w:pPr>
            <w:r w:rsidRPr="00BA183C">
              <w:rPr>
                <w:b/>
                <w:bCs/>
              </w:rPr>
              <w:t> </w:t>
            </w:r>
          </w:p>
        </w:tc>
      </w:tr>
      <w:tr w14:paraId="1670480A" w14:textId="77777777" w:rsidTr="00CC5190">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2A6758" w:rsidRPr="00BA183C" w:rsidP="00CC5190" w14:paraId="7F633F36" w14:textId="77777777">
            <w:pPr>
              <w:rPr>
                <w:b/>
                <w:bCs/>
              </w:rPr>
            </w:pPr>
            <w:r w:rsidRPr="00BA183C">
              <w:rPr>
                <w:b/>
                <w:bCs/>
              </w:rPr>
              <w:t>TOTAL PAYMENT APPROPRIATIONS</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1D7CFA39" w14:textId="77777777">
            <w:pPr>
              <w:rPr>
                <w:b/>
                <w:bCs/>
              </w:rPr>
            </w:pPr>
            <w:r w:rsidRPr="00BA183C">
              <w:rPr>
                <w:b/>
                <w:bCs/>
              </w:rPr>
              <w:t>255.399</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5E981D12" w14:textId="77777777">
            <w:pPr>
              <w:rPr>
                <w:b/>
                <w:bCs/>
              </w:rPr>
            </w:pPr>
            <w:r w:rsidRPr="00BA183C">
              <w:rPr>
                <w:b/>
                <w:bCs/>
              </w:rPr>
              <w:t>281.809</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0CA01681" w14:textId="77777777">
            <w:pPr>
              <w:rPr>
                <w:b/>
                <w:bCs/>
              </w:rPr>
            </w:pPr>
            <w:r w:rsidRPr="00BA183C">
              <w:rPr>
                <w:b/>
                <w:bCs/>
              </w:rPr>
              <w:t>272.552</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748C19F8" w14:textId="77777777">
            <w:pPr>
              <w:rPr>
                <w:b/>
                <w:bCs/>
              </w:rPr>
            </w:pPr>
            <w:r w:rsidRPr="00BA183C">
              <w:rPr>
                <w:b/>
                <w:bCs/>
              </w:rPr>
              <w:t>262.944</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3DCD2765" w14:textId="77777777">
            <w:pPr>
              <w:rPr>
                <w:b/>
                <w:bCs/>
              </w:rPr>
            </w:pPr>
            <w:r w:rsidRPr="00BA183C">
              <w:rPr>
                <w:b/>
                <w:bCs/>
              </w:rPr>
              <w:t>242.892</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026D218A" w14:textId="77777777">
            <w:pPr>
              <w:rPr>
                <w:b/>
                <w:bCs/>
              </w:rPr>
            </w:pPr>
            <w:r w:rsidRPr="00BA183C">
              <w:rPr>
                <w:b/>
                <w:bCs/>
              </w:rPr>
              <w:t>235.479</w:t>
            </w:r>
          </w:p>
        </w:tc>
        <w:tc>
          <w:tcPr>
            <w:tcW w:w="1040" w:type="dxa"/>
            <w:tcBorders>
              <w:top w:val="single" w:sz="8" w:space="0" w:color="auto"/>
              <w:left w:val="nil"/>
              <w:bottom w:val="single" w:sz="8" w:space="0" w:color="auto"/>
              <w:right w:val="nil"/>
            </w:tcBorders>
            <w:noWrap/>
            <w:vAlign w:val="center"/>
            <w:hideMark/>
          </w:tcPr>
          <w:p w:rsidR="002A6758" w:rsidRPr="00BA183C" w:rsidP="00CC5190" w14:paraId="2FAC686D" w14:textId="77777777">
            <w:pPr>
              <w:rPr>
                <w:b/>
                <w:bCs/>
              </w:rPr>
            </w:pPr>
            <w:r w:rsidRPr="00BA183C">
              <w:rPr>
                <w:b/>
                <w:bCs/>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2A6758" w:rsidRPr="00BA183C" w:rsidP="00CC5190" w14:paraId="042EE769" w14:textId="77777777">
            <w:pPr>
              <w:rPr>
                <w:b/>
                <w:bCs/>
              </w:rPr>
            </w:pPr>
            <w:r w:rsidRPr="00BA183C">
              <w:rPr>
                <w:b/>
                <w:bCs/>
              </w:rPr>
              <w:t>1.775.220</w:t>
            </w:r>
          </w:p>
        </w:tc>
      </w:tr>
    </w:tbl>
    <w:p w:rsidR="002A6758" w:rsidRPr="00BA183C" w:rsidP="002A6758" w14:paraId="6C887781" w14:textId="77777777">
      <w:pPr>
        <w:rPr>
          <w:b/>
          <w:bCs/>
          <w:u w:val="single"/>
        </w:rPr>
      </w:pPr>
    </w:p>
    <w:p w:rsidR="002A6758" w:rsidRPr="00BA183C" w:rsidP="002A6758" w14:paraId="4A5D81D4" w14:textId="77777777">
      <w:pPr>
        <w:pStyle w:val="ListParagraph"/>
        <w:ind w:left="0"/>
        <w:rPr>
          <w:b/>
          <w:bCs/>
          <w:u w:val="single"/>
        </w:rPr>
      </w:pPr>
    </w:p>
    <w:p w:rsidR="002A6758" w:rsidRPr="00BA183C" w:rsidP="002A6758" w14:paraId="004A8680" w14:textId="77777777">
      <w:pPr>
        <w:rPr>
          <w:b/>
          <w:bCs/>
          <w:u w:val="single"/>
        </w:rPr>
      </w:pPr>
      <w:r w:rsidRPr="00BA183C">
        <w:rPr>
          <w:b/>
          <w:bCs/>
          <w:u w:val="single"/>
        </w:rPr>
        <w:br w:type="page"/>
      </w:r>
      <w:r w:rsidRPr="00BA183C">
        <w:rPr>
          <w:b/>
          <w:bCs/>
          <w:u w:val="single"/>
        </w:rPr>
        <w:t>Annex II: European Parliament’s position on the breakdown per programme</w:t>
      </w:r>
    </w:p>
    <w:tbl>
      <w:tblPr>
        <w:tblpPr w:leftFromText="180" w:rightFromText="180" w:vertAnchor="text" w:horzAnchor="margin" w:tblpY="-34"/>
        <w:tblW w:w="0" w:type="auto"/>
        <w:tblLook w:val="04A0"/>
      </w:tblPr>
      <w:tblGrid>
        <w:gridCol w:w="2087"/>
        <w:gridCol w:w="6110"/>
        <w:gridCol w:w="1962"/>
        <w:gridCol w:w="1742"/>
        <w:gridCol w:w="1358"/>
        <w:gridCol w:w="1017"/>
      </w:tblGrid>
      <w:tr w14:paraId="7CA7FA78" w14:textId="77777777" w:rsidTr="00CC5190">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2A6758" w:rsidRPr="00BA183C" w:rsidP="00CC5190" w14:paraId="46167FDE" w14:textId="77777777">
            <w:pPr>
              <w:rPr>
                <w:b/>
                <w:bCs/>
                <w:sz w:val="22"/>
                <w:szCs w:val="22"/>
              </w:rPr>
            </w:pPr>
            <w:r w:rsidRPr="00BA183C">
              <w:rPr>
                <w:b/>
                <w:bCs/>
                <w:sz w:val="22"/>
                <w:szCs w:val="22"/>
              </w:rPr>
              <w:t>EUR billion - Commitment appropriations (current prices)</w:t>
            </w:r>
          </w:p>
        </w:tc>
        <w:tc>
          <w:tcPr>
            <w:tcW w:w="1962" w:type="dxa"/>
            <w:tcBorders>
              <w:top w:val="single" w:sz="4" w:space="0" w:color="auto"/>
              <w:left w:val="single" w:sz="4" w:space="0" w:color="auto"/>
              <w:bottom w:val="single" w:sz="4" w:space="0" w:color="auto"/>
              <w:right w:val="single" w:sz="4" w:space="0" w:color="auto"/>
            </w:tcBorders>
            <w:vAlign w:val="center"/>
            <w:hideMark/>
          </w:tcPr>
          <w:p w:rsidR="002A6758" w:rsidRPr="00BA183C" w:rsidP="00CC5190" w14:paraId="6834374C" w14:textId="77777777">
            <w:pPr>
              <w:jc w:val="center"/>
              <w:rPr>
                <w:b/>
                <w:bCs/>
                <w:sz w:val="22"/>
                <w:szCs w:val="22"/>
              </w:rPr>
            </w:pPr>
            <w:r w:rsidRPr="00BA183C">
              <w:rPr>
                <w:b/>
                <w:bCs/>
                <w:sz w:val="22"/>
                <w:szCs w:val="22"/>
              </w:rPr>
              <w:t>MFF proposal</w:t>
            </w:r>
          </w:p>
        </w:tc>
        <w:tc>
          <w:tcPr>
            <w:tcW w:w="1742" w:type="dxa"/>
            <w:tcBorders>
              <w:top w:val="single" w:sz="4" w:space="0" w:color="auto"/>
              <w:left w:val="nil"/>
              <w:bottom w:val="single" w:sz="4" w:space="0" w:color="auto"/>
              <w:right w:val="single" w:sz="4" w:space="0" w:color="auto"/>
            </w:tcBorders>
            <w:vAlign w:val="center"/>
            <w:hideMark/>
          </w:tcPr>
          <w:p w:rsidR="002A6758" w:rsidRPr="00BA183C" w:rsidP="00CC5190" w14:paraId="363A4A0F" w14:textId="77777777">
            <w:pPr>
              <w:jc w:val="center"/>
              <w:rPr>
                <w:b/>
                <w:bCs/>
                <w:sz w:val="22"/>
                <w:szCs w:val="22"/>
              </w:rPr>
            </w:pPr>
            <w:r w:rsidRPr="00BA183C">
              <w:rPr>
                <w:b/>
                <w:bCs/>
                <w:sz w:val="22"/>
                <w:szCs w:val="22"/>
              </w:rPr>
              <w:t>EP position (1,27% GNI, excluding NGEU repayment)</w:t>
            </w:r>
          </w:p>
        </w:tc>
        <w:tc>
          <w:tcPr>
            <w:tcW w:w="2375" w:type="dxa"/>
            <w:gridSpan w:val="2"/>
            <w:tcBorders>
              <w:top w:val="single" w:sz="4" w:space="0" w:color="auto"/>
              <w:left w:val="nil"/>
              <w:bottom w:val="single" w:sz="4" w:space="0" w:color="auto"/>
              <w:right w:val="single" w:sz="4" w:space="0" w:color="auto"/>
            </w:tcBorders>
            <w:vAlign w:val="center"/>
            <w:hideMark/>
          </w:tcPr>
          <w:p w:rsidR="002A6758" w:rsidRPr="00BA183C" w:rsidP="00CC5190" w14:paraId="7537E70E" w14:textId="77777777">
            <w:pPr>
              <w:jc w:val="center"/>
              <w:rPr>
                <w:b/>
                <w:bCs/>
                <w:sz w:val="22"/>
                <w:szCs w:val="22"/>
              </w:rPr>
            </w:pPr>
            <w:r w:rsidRPr="00BA183C">
              <w:rPr>
                <w:b/>
                <w:bCs/>
                <w:sz w:val="22"/>
                <w:szCs w:val="22"/>
              </w:rPr>
              <w:t>Nominal change</w:t>
            </w:r>
          </w:p>
        </w:tc>
      </w:tr>
      <w:tr w14:paraId="535818B6" w14:textId="77777777" w:rsidTr="00CC5190">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2A6758" w:rsidRPr="00BA183C" w:rsidP="00CC5190" w14:paraId="5340CD7F" w14:textId="77777777">
            <w:pPr>
              <w:jc w:val="center"/>
              <w:rPr>
                <w:b/>
                <w:bCs/>
                <w:sz w:val="22"/>
                <w:szCs w:val="22"/>
              </w:rPr>
            </w:pPr>
            <w:r w:rsidRPr="00BA183C">
              <w:rPr>
                <w:b/>
                <w:bCs/>
                <w:sz w:val="22"/>
                <w:szCs w:val="22"/>
              </w:rPr>
              <w:t>Multiannual Financial Framework</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2A6758" w:rsidRPr="00BA183C" w:rsidP="00CC5190" w14:paraId="78185D5F" w14:textId="77777777">
            <w:pPr>
              <w:jc w:val="right"/>
              <w:rPr>
                <w:b/>
                <w:bCs/>
                <w:sz w:val="22"/>
                <w:szCs w:val="22"/>
              </w:rPr>
            </w:pPr>
            <w:r w:rsidRPr="00BA183C">
              <w:rPr>
                <w:b/>
                <w:bCs/>
                <w:sz w:val="22"/>
                <w:szCs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2A6758" w:rsidRPr="00BA183C" w:rsidP="00CC5190" w14:paraId="59C2F65A" w14:textId="77777777">
            <w:pPr>
              <w:jc w:val="right"/>
              <w:rPr>
                <w:b/>
                <w:bCs/>
                <w:sz w:val="22"/>
                <w:szCs w:val="22"/>
              </w:rPr>
            </w:pPr>
            <w:r w:rsidRPr="00BA183C">
              <w:rPr>
                <w:b/>
                <w:bCs/>
                <w:sz w:val="22"/>
                <w:szCs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2A6758" w:rsidRPr="00BA183C" w:rsidP="00CC5190" w14:paraId="2771C9D1" w14:textId="77777777">
            <w:pPr>
              <w:jc w:val="right"/>
              <w:rPr>
                <w:b/>
                <w:bCs/>
                <w:sz w:val="22"/>
                <w:szCs w:val="22"/>
              </w:rPr>
            </w:pPr>
            <w:r w:rsidRPr="00BA183C">
              <w:rPr>
                <w:b/>
                <w:bCs/>
                <w:sz w:val="22"/>
                <w:szCs w:val="22"/>
              </w:rPr>
              <w:t>197,30</w:t>
            </w:r>
          </w:p>
        </w:tc>
      </w:tr>
      <w:tr w14:paraId="6ACF257D" w14:textId="77777777" w:rsidTr="00CC5190">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75B8EA63" w14:textId="77777777">
            <w:pPr>
              <w:rPr>
                <w:b/>
                <w:bCs/>
                <w:sz w:val="22"/>
                <w:szCs w:val="22"/>
              </w:rPr>
            </w:pPr>
            <w:r w:rsidRPr="00BA183C">
              <w:rPr>
                <w:b/>
                <w:bCs/>
                <w:sz w:val="22"/>
                <w:szCs w:val="22"/>
              </w:rPr>
              <w:t xml:space="preserve">Heading 1: Europe's Social model and quality of life, excluding NGEU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5204C3DC" w14:textId="77777777">
            <w:pPr>
              <w:jc w:val="right"/>
              <w:rPr>
                <w:sz w:val="22"/>
                <w:szCs w:val="22"/>
              </w:rPr>
            </w:pPr>
            <w:r w:rsidRPr="00BA183C">
              <w:rPr>
                <w:sz w:val="22"/>
                <w:szCs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2A6758" w:rsidRPr="00BA183C" w:rsidP="00CC5190" w14:paraId="1BDABE58" w14:textId="77777777">
            <w:pPr>
              <w:jc w:val="right"/>
              <w:rPr>
                <w:sz w:val="22"/>
                <w:szCs w:val="22"/>
              </w:rPr>
            </w:pPr>
            <w:r w:rsidRPr="00BA183C">
              <w:rPr>
                <w:sz w:val="22"/>
                <w:szCs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2A6758" w:rsidRPr="00BA183C" w:rsidP="00CC5190" w14:paraId="31C4ED44" w14:textId="77777777">
            <w:pPr>
              <w:jc w:val="right"/>
              <w:rPr>
                <w:sz w:val="22"/>
                <w:szCs w:val="22"/>
              </w:rPr>
            </w:pPr>
            <w:r w:rsidRPr="00BA183C">
              <w:rPr>
                <w:sz w:val="22"/>
                <w:szCs w:val="22"/>
              </w:rPr>
              <w:t>103,15</w:t>
            </w:r>
          </w:p>
        </w:tc>
      </w:tr>
      <w:tr w14:paraId="2B16BC42" w14:textId="77777777" w:rsidTr="00CC5190">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2A6758" w:rsidRPr="00BA183C" w:rsidP="00CC5190" w14:paraId="27DE19CF" w14:textId="77777777">
            <w:pPr>
              <w:rPr>
                <w:sz w:val="22"/>
                <w:szCs w:val="22"/>
              </w:rPr>
            </w:pPr>
            <w:r w:rsidRPr="00BA183C">
              <w:rPr>
                <w:sz w:val="22"/>
                <w:szCs w:val="22"/>
              </w:rPr>
              <w:t>European Fund for economic, social and territorial cohesion, agriculture and rural, fisheries and maritime, prosperity and security</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0E90D52C" w14:textId="77777777">
            <w:pPr>
              <w:jc w:val="right"/>
              <w:rPr>
                <w:sz w:val="22"/>
                <w:szCs w:val="22"/>
              </w:rPr>
            </w:pPr>
            <w:r w:rsidRPr="00BA183C">
              <w:rPr>
                <w:sz w:val="22"/>
                <w:szCs w:val="22"/>
              </w:rPr>
              <w:t>865,08</w:t>
            </w:r>
          </w:p>
        </w:tc>
        <w:tc>
          <w:tcPr>
            <w:tcW w:w="1742" w:type="dxa"/>
            <w:tcBorders>
              <w:top w:val="nil"/>
              <w:left w:val="nil"/>
              <w:bottom w:val="nil"/>
              <w:right w:val="single" w:sz="4" w:space="0" w:color="auto"/>
            </w:tcBorders>
            <w:noWrap/>
            <w:vAlign w:val="bottom"/>
            <w:hideMark/>
          </w:tcPr>
          <w:p w:rsidR="002A6758" w:rsidRPr="00BA183C" w:rsidP="00CC5190" w14:paraId="654EAA96" w14:textId="77777777">
            <w:pPr>
              <w:jc w:val="right"/>
              <w:rPr>
                <w:sz w:val="22"/>
                <w:szCs w:val="22"/>
              </w:rPr>
            </w:pPr>
            <w:r w:rsidRPr="00BA183C">
              <w:rPr>
                <w:sz w:val="22"/>
                <w:szCs w:val="22"/>
              </w:rPr>
              <w:t>972,86</w:t>
            </w:r>
          </w:p>
        </w:tc>
        <w:tc>
          <w:tcPr>
            <w:tcW w:w="2375" w:type="dxa"/>
            <w:gridSpan w:val="2"/>
            <w:tcBorders>
              <w:top w:val="nil"/>
              <w:left w:val="nil"/>
              <w:bottom w:val="nil"/>
              <w:right w:val="single" w:sz="4" w:space="0" w:color="auto"/>
            </w:tcBorders>
            <w:noWrap/>
            <w:vAlign w:val="bottom"/>
            <w:hideMark/>
          </w:tcPr>
          <w:p w:rsidR="002A6758" w:rsidRPr="00BA183C" w:rsidP="00CC5190" w14:paraId="15F31FC6" w14:textId="77777777">
            <w:pPr>
              <w:jc w:val="right"/>
              <w:rPr>
                <w:sz w:val="22"/>
                <w:szCs w:val="22"/>
              </w:rPr>
            </w:pPr>
            <w:r w:rsidRPr="00BA183C">
              <w:rPr>
                <w:sz w:val="22"/>
                <w:szCs w:val="22"/>
              </w:rPr>
              <w:t>107,79</w:t>
            </w:r>
          </w:p>
        </w:tc>
      </w:tr>
      <w:tr w14:paraId="3D14DA02"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2240F4D6" w14:textId="77777777">
            <w:pPr>
              <w:rPr>
                <w:i/>
                <w:iCs/>
                <w:sz w:val="22"/>
                <w:szCs w:val="22"/>
              </w:rPr>
            </w:pPr>
            <w:r w:rsidRPr="00BA183C">
              <w:rPr>
                <w:i/>
                <w:iCs/>
                <w:sz w:val="22"/>
                <w:szCs w:val="22"/>
              </w:rPr>
              <w:t>CAP</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30FD8CCF" w14:textId="77777777">
            <w:pPr>
              <w:jc w:val="right"/>
              <w:rPr>
                <w:i/>
                <w:iCs/>
                <w:sz w:val="22"/>
                <w:szCs w:val="22"/>
              </w:rPr>
            </w:pPr>
            <w:r w:rsidRPr="00BA183C">
              <w:rPr>
                <w:i/>
                <w:iCs/>
                <w:sz w:val="22"/>
                <w:szCs w:val="22"/>
              </w:rPr>
              <w:t>293,70</w:t>
            </w:r>
          </w:p>
        </w:tc>
        <w:tc>
          <w:tcPr>
            <w:tcW w:w="1742" w:type="dxa"/>
            <w:tcBorders>
              <w:top w:val="nil"/>
              <w:left w:val="nil"/>
              <w:bottom w:val="nil"/>
              <w:right w:val="single" w:sz="4" w:space="0" w:color="auto"/>
            </w:tcBorders>
            <w:noWrap/>
            <w:vAlign w:val="bottom"/>
            <w:hideMark/>
          </w:tcPr>
          <w:p w:rsidR="002A6758" w:rsidRPr="00BA183C" w:rsidP="00CC5190" w14:paraId="0A0FBD97" w14:textId="77777777">
            <w:pPr>
              <w:jc w:val="right"/>
              <w:rPr>
                <w:i/>
                <w:iCs/>
                <w:sz w:val="22"/>
                <w:szCs w:val="22"/>
              </w:rPr>
            </w:pPr>
            <w:r w:rsidRPr="00BA183C">
              <w:rPr>
                <w:i/>
                <w:iCs/>
                <w:sz w:val="22"/>
                <w:szCs w:val="22"/>
              </w:rPr>
              <w:t>433,01</w:t>
            </w:r>
          </w:p>
        </w:tc>
        <w:tc>
          <w:tcPr>
            <w:tcW w:w="2375" w:type="dxa"/>
            <w:gridSpan w:val="2"/>
            <w:tcBorders>
              <w:top w:val="nil"/>
              <w:left w:val="nil"/>
              <w:bottom w:val="nil"/>
              <w:right w:val="single" w:sz="4" w:space="0" w:color="auto"/>
            </w:tcBorders>
            <w:noWrap/>
            <w:vAlign w:val="bottom"/>
            <w:hideMark/>
          </w:tcPr>
          <w:p w:rsidR="002A6758" w:rsidRPr="00BA183C" w:rsidP="00CC5190" w14:paraId="18E8FBE9" w14:textId="77777777">
            <w:pPr>
              <w:jc w:val="right"/>
              <w:rPr>
                <w:i/>
                <w:iCs/>
                <w:sz w:val="22"/>
                <w:szCs w:val="22"/>
              </w:rPr>
            </w:pPr>
            <w:r w:rsidRPr="00BA183C">
              <w:rPr>
                <w:i/>
                <w:iCs/>
                <w:sz w:val="22"/>
                <w:szCs w:val="22"/>
              </w:rPr>
              <w:t>139,31</w:t>
            </w:r>
          </w:p>
        </w:tc>
      </w:tr>
      <w:tr w14:paraId="00905AFE"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63FC59B0" w14:textId="77777777">
            <w:pPr>
              <w:rPr>
                <w:i/>
                <w:iCs/>
                <w:sz w:val="22"/>
                <w:szCs w:val="22"/>
              </w:rPr>
            </w:pPr>
            <w:r w:rsidRPr="00BA183C">
              <w:rPr>
                <w:i/>
                <w:iCs/>
                <w:sz w:val="22"/>
                <w:szCs w:val="22"/>
              </w:rPr>
              <w:t xml:space="preserve">of which </w:t>
            </w:r>
          </w:p>
        </w:tc>
        <w:tc>
          <w:tcPr>
            <w:tcW w:w="6110" w:type="dxa"/>
            <w:noWrap/>
            <w:vAlign w:val="bottom"/>
            <w:hideMark/>
          </w:tcPr>
          <w:p w:rsidR="002A6758" w:rsidRPr="00BA183C" w:rsidP="00CC5190" w14:paraId="6309A268" w14:textId="77777777">
            <w:pPr>
              <w:rPr>
                <w:i/>
                <w:iCs/>
                <w:sz w:val="22"/>
                <w:szCs w:val="22"/>
              </w:rPr>
            </w:pPr>
            <w:r w:rsidRPr="00BA183C">
              <w:rPr>
                <w:i/>
                <w:iCs/>
                <w:sz w:val="22"/>
                <w:szCs w:val="22"/>
              </w:rPr>
              <w:t>Income support</w:t>
            </w:r>
          </w:p>
        </w:tc>
        <w:tc>
          <w:tcPr>
            <w:tcW w:w="1962" w:type="dxa"/>
            <w:tcBorders>
              <w:top w:val="nil"/>
              <w:left w:val="single" w:sz="4" w:space="0" w:color="auto"/>
              <w:bottom w:val="nil"/>
              <w:right w:val="single" w:sz="4" w:space="0" w:color="auto"/>
            </w:tcBorders>
            <w:noWrap/>
            <w:vAlign w:val="center"/>
            <w:hideMark/>
          </w:tcPr>
          <w:p w:rsidR="002A6758" w:rsidRPr="00BA183C" w:rsidP="00CC5190" w14:paraId="03A85816" w14:textId="77777777">
            <w:pPr>
              <w:jc w:val="right"/>
              <w:rPr>
                <w:i/>
                <w:iCs/>
                <w:sz w:val="22"/>
                <w:szCs w:val="22"/>
              </w:rPr>
            </w:pPr>
            <w:r w:rsidRPr="00BA183C">
              <w:rPr>
                <w:i/>
                <w:iCs/>
                <w:sz w:val="22"/>
                <w:szCs w:val="22"/>
              </w:rPr>
              <w:t>293,70</w:t>
            </w:r>
          </w:p>
        </w:tc>
        <w:tc>
          <w:tcPr>
            <w:tcW w:w="1742" w:type="dxa"/>
            <w:tcBorders>
              <w:top w:val="nil"/>
              <w:left w:val="nil"/>
              <w:bottom w:val="nil"/>
              <w:right w:val="single" w:sz="4" w:space="0" w:color="auto"/>
            </w:tcBorders>
            <w:noWrap/>
            <w:vAlign w:val="center"/>
            <w:hideMark/>
          </w:tcPr>
          <w:p w:rsidR="002A6758" w:rsidRPr="00BA183C" w:rsidP="00CC5190" w14:paraId="6C47F179" w14:textId="77777777">
            <w:pPr>
              <w:jc w:val="right"/>
              <w:rPr>
                <w:i/>
                <w:iCs/>
                <w:sz w:val="22"/>
                <w:szCs w:val="22"/>
              </w:rPr>
            </w:pPr>
            <w:r w:rsidRPr="00BA183C">
              <w:rPr>
                <w:i/>
                <w:iCs/>
                <w:sz w:val="22"/>
                <w:szCs w:val="22"/>
              </w:rPr>
              <w:t>320,30</w:t>
            </w:r>
          </w:p>
        </w:tc>
        <w:tc>
          <w:tcPr>
            <w:tcW w:w="2375" w:type="dxa"/>
            <w:gridSpan w:val="2"/>
            <w:tcBorders>
              <w:top w:val="nil"/>
              <w:left w:val="nil"/>
              <w:bottom w:val="nil"/>
              <w:right w:val="single" w:sz="4" w:space="0" w:color="auto"/>
            </w:tcBorders>
            <w:noWrap/>
            <w:vAlign w:val="bottom"/>
            <w:hideMark/>
          </w:tcPr>
          <w:p w:rsidR="002A6758" w:rsidRPr="00BA183C" w:rsidP="00CC5190" w14:paraId="1F07929D" w14:textId="77777777">
            <w:pPr>
              <w:jc w:val="right"/>
              <w:rPr>
                <w:i/>
                <w:iCs/>
                <w:sz w:val="22"/>
                <w:szCs w:val="22"/>
              </w:rPr>
            </w:pPr>
            <w:r w:rsidRPr="00BA183C">
              <w:rPr>
                <w:i/>
                <w:iCs/>
                <w:sz w:val="22"/>
                <w:szCs w:val="22"/>
              </w:rPr>
              <w:t>26,60</w:t>
            </w:r>
          </w:p>
        </w:tc>
      </w:tr>
      <w:tr w14:paraId="22904667"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3CFF8077" w14:textId="77777777">
            <w:pPr>
              <w:rPr>
                <w:i/>
                <w:iCs/>
                <w:sz w:val="22"/>
                <w:szCs w:val="22"/>
              </w:rPr>
            </w:pPr>
            <w:r w:rsidRPr="00BA183C">
              <w:rPr>
                <w:i/>
                <w:iCs/>
                <w:sz w:val="22"/>
                <w:szCs w:val="22"/>
              </w:rPr>
              <w:t> </w:t>
            </w:r>
          </w:p>
        </w:tc>
        <w:tc>
          <w:tcPr>
            <w:tcW w:w="6110" w:type="dxa"/>
            <w:noWrap/>
            <w:vAlign w:val="bottom"/>
            <w:hideMark/>
          </w:tcPr>
          <w:p w:rsidR="002A6758" w:rsidRPr="00BA183C" w:rsidP="00CC5190" w14:paraId="30F025EE" w14:textId="77777777">
            <w:pPr>
              <w:rPr>
                <w:i/>
                <w:iCs/>
                <w:sz w:val="22"/>
                <w:szCs w:val="22"/>
              </w:rPr>
            </w:pPr>
            <w:r w:rsidRPr="00BA183C">
              <w:rPr>
                <w:i/>
                <w:iCs/>
                <w:sz w:val="22"/>
                <w:szCs w:val="22"/>
              </w:rPr>
              <w:t>Rural areas</w:t>
            </w:r>
          </w:p>
        </w:tc>
        <w:tc>
          <w:tcPr>
            <w:tcW w:w="1962" w:type="dxa"/>
            <w:tcBorders>
              <w:top w:val="nil"/>
              <w:left w:val="single" w:sz="4" w:space="0" w:color="auto"/>
              <w:bottom w:val="nil"/>
              <w:right w:val="single" w:sz="4" w:space="0" w:color="auto"/>
            </w:tcBorders>
            <w:noWrap/>
            <w:vAlign w:val="center"/>
            <w:hideMark/>
          </w:tcPr>
          <w:p w:rsidR="002A6758" w:rsidRPr="00BA183C" w:rsidP="00CC5190" w14:paraId="07EBF275" w14:textId="77777777">
            <w:pPr>
              <w:jc w:val="right"/>
              <w:rPr>
                <w:i/>
                <w:iCs/>
                <w:sz w:val="22"/>
                <w:szCs w:val="22"/>
              </w:rPr>
            </w:pPr>
            <w:r w:rsidRPr="00BA183C">
              <w:rPr>
                <w:i/>
                <w:iCs/>
                <w:sz w:val="22"/>
                <w:szCs w:val="22"/>
              </w:rPr>
              <w:t>0,00</w:t>
            </w:r>
          </w:p>
        </w:tc>
        <w:tc>
          <w:tcPr>
            <w:tcW w:w="1742" w:type="dxa"/>
            <w:tcBorders>
              <w:top w:val="nil"/>
              <w:left w:val="nil"/>
              <w:bottom w:val="nil"/>
              <w:right w:val="single" w:sz="4" w:space="0" w:color="auto"/>
            </w:tcBorders>
            <w:noWrap/>
            <w:vAlign w:val="center"/>
            <w:hideMark/>
          </w:tcPr>
          <w:p w:rsidR="002A6758" w:rsidRPr="00BA183C" w:rsidP="00CC5190" w14:paraId="01C12190" w14:textId="77777777">
            <w:pPr>
              <w:jc w:val="right"/>
              <w:rPr>
                <w:i/>
                <w:iCs/>
                <w:sz w:val="22"/>
                <w:szCs w:val="22"/>
              </w:rPr>
            </w:pPr>
            <w:r w:rsidRPr="00BA183C">
              <w:rPr>
                <w:i/>
                <w:iCs/>
                <w:sz w:val="22"/>
                <w:szCs w:val="22"/>
              </w:rPr>
              <w:t>106,41</w:t>
            </w:r>
          </w:p>
        </w:tc>
        <w:tc>
          <w:tcPr>
            <w:tcW w:w="2375" w:type="dxa"/>
            <w:gridSpan w:val="2"/>
            <w:tcBorders>
              <w:top w:val="nil"/>
              <w:left w:val="nil"/>
              <w:bottom w:val="nil"/>
              <w:right w:val="single" w:sz="4" w:space="0" w:color="auto"/>
            </w:tcBorders>
            <w:noWrap/>
            <w:vAlign w:val="bottom"/>
            <w:hideMark/>
          </w:tcPr>
          <w:p w:rsidR="002A6758" w:rsidRPr="00BA183C" w:rsidP="00CC5190" w14:paraId="6931477C" w14:textId="77777777">
            <w:pPr>
              <w:jc w:val="right"/>
              <w:rPr>
                <w:i/>
                <w:iCs/>
                <w:sz w:val="22"/>
                <w:szCs w:val="22"/>
              </w:rPr>
            </w:pPr>
            <w:r w:rsidRPr="00BA183C">
              <w:rPr>
                <w:i/>
                <w:iCs/>
                <w:sz w:val="22"/>
                <w:szCs w:val="22"/>
              </w:rPr>
              <w:t>106,41</w:t>
            </w:r>
          </w:p>
        </w:tc>
      </w:tr>
      <w:tr w14:paraId="4F0E955B"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13E9AC8C" w14:textId="77777777">
            <w:pPr>
              <w:rPr>
                <w:i/>
                <w:iCs/>
                <w:sz w:val="22"/>
                <w:szCs w:val="22"/>
              </w:rPr>
            </w:pPr>
            <w:r w:rsidRPr="00BA183C">
              <w:rPr>
                <w:i/>
                <w:iCs/>
                <w:sz w:val="22"/>
                <w:szCs w:val="22"/>
              </w:rPr>
              <w:t> </w:t>
            </w:r>
          </w:p>
        </w:tc>
        <w:tc>
          <w:tcPr>
            <w:tcW w:w="6110" w:type="dxa"/>
            <w:noWrap/>
            <w:vAlign w:val="bottom"/>
            <w:hideMark/>
          </w:tcPr>
          <w:p w:rsidR="002A6758" w:rsidRPr="00BA183C" w:rsidP="00CC5190" w14:paraId="068D2325" w14:textId="77777777">
            <w:pPr>
              <w:rPr>
                <w:i/>
                <w:iCs/>
                <w:sz w:val="22"/>
                <w:szCs w:val="22"/>
              </w:rPr>
            </w:pPr>
            <w:r w:rsidRPr="00BA183C">
              <w:rPr>
                <w:i/>
                <w:iCs/>
                <w:sz w:val="22"/>
                <w:szCs w:val="22"/>
              </w:rPr>
              <w:t>Unity safety net*</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6F8A0354" w14:textId="77777777">
            <w:pPr>
              <w:jc w:val="right"/>
              <w:rPr>
                <w:i/>
                <w:iCs/>
                <w:sz w:val="22"/>
                <w:szCs w:val="22"/>
              </w:rPr>
            </w:pPr>
            <w:r w:rsidRPr="00BA183C">
              <w:rPr>
                <w:i/>
                <w:iCs/>
                <w:sz w:val="22"/>
                <w:szCs w:val="22"/>
              </w:rPr>
              <w:t>6,30</w:t>
            </w:r>
          </w:p>
        </w:tc>
        <w:tc>
          <w:tcPr>
            <w:tcW w:w="1742" w:type="dxa"/>
            <w:tcBorders>
              <w:top w:val="nil"/>
              <w:left w:val="nil"/>
              <w:bottom w:val="nil"/>
              <w:right w:val="single" w:sz="4" w:space="0" w:color="auto"/>
            </w:tcBorders>
            <w:noWrap/>
            <w:vAlign w:val="bottom"/>
            <w:hideMark/>
          </w:tcPr>
          <w:p w:rsidR="002A6758" w:rsidRPr="00BA183C" w:rsidP="00CC5190" w14:paraId="1CAE92E5" w14:textId="77777777">
            <w:pPr>
              <w:jc w:val="right"/>
              <w:rPr>
                <w:i/>
                <w:iCs/>
                <w:sz w:val="22"/>
                <w:szCs w:val="22"/>
              </w:rPr>
            </w:pPr>
            <w:r w:rsidRPr="00BA183C">
              <w:rPr>
                <w:i/>
                <w:iCs/>
                <w:sz w:val="22"/>
                <w:szCs w:val="22"/>
              </w:rPr>
              <w:t>6,30</w:t>
            </w:r>
          </w:p>
        </w:tc>
        <w:tc>
          <w:tcPr>
            <w:tcW w:w="2375" w:type="dxa"/>
            <w:gridSpan w:val="2"/>
            <w:tcBorders>
              <w:top w:val="nil"/>
              <w:left w:val="nil"/>
              <w:bottom w:val="nil"/>
              <w:right w:val="single" w:sz="4" w:space="0" w:color="auto"/>
            </w:tcBorders>
            <w:noWrap/>
            <w:vAlign w:val="bottom"/>
            <w:hideMark/>
          </w:tcPr>
          <w:p w:rsidR="002A6758" w:rsidRPr="00BA183C" w:rsidP="00CC5190" w14:paraId="70462BE3" w14:textId="77777777">
            <w:pPr>
              <w:jc w:val="right"/>
              <w:rPr>
                <w:i/>
                <w:iCs/>
                <w:sz w:val="22"/>
                <w:szCs w:val="22"/>
              </w:rPr>
            </w:pPr>
            <w:r w:rsidRPr="00BA183C">
              <w:rPr>
                <w:i/>
                <w:iCs/>
                <w:sz w:val="22"/>
                <w:szCs w:val="22"/>
              </w:rPr>
              <w:t>0,00</w:t>
            </w:r>
          </w:p>
        </w:tc>
      </w:tr>
      <w:tr w14:paraId="4F95F6F7"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7D84A17E" w14:textId="77777777">
            <w:pPr>
              <w:rPr>
                <w:i/>
                <w:iCs/>
                <w:sz w:val="22"/>
                <w:szCs w:val="22"/>
              </w:rPr>
            </w:pPr>
            <w:r w:rsidRPr="00BA183C">
              <w:rPr>
                <w:i/>
                <w:iCs/>
                <w:sz w:val="22"/>
                <w:szCs w:val="22"/>
              </w:rPr>
              <w:t>POSEI (to be put under CAP)</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64344C04" w14:textId="77777777">
            <w:pPr>
              <w:jc w:val="right"/>
              <w:rPr>
                <w:i/>
                <w:iCs/>
                <w:sz w:val="22"/>
                <w:szCs w:val="22"/>
              </w:rPr>
            </w:pPr>
            <w:r w:rsidRPr="00BA183C">
              <w:rPr>
                <w:i/>
                <w:iCs/>
                <w:sz w:val="22"/>
                <w:szCs w:val="22"/>
              </w:rPr>
              <w:t>0,00</w:t>
            </w:r>
          </w:p>
        </w:tc>
        <w:tc>
          <w:tcPr>
            <w:tcW w:w="1742" w:type="dxa"/>
            <w:tcBorders>
              <w:top w:val="nil"/>
              <w:left w:val="nil"/>
              <w:bottom w:val="nil"/>
              <w:right w:val="single" w:sz="4" w:space="0" w:color="auto"/>
            </w:tcBorders>
            <w:noWrap/>
            <w:vAlign w:val="bottom"/>
            <w:hideMark/>
          </w:tcPr>
          <w:p w:rsidR="002A6758" w:rsidRPr="00BA183C" w:rsidP="00CC5190" w14:paraId="45552F5D" w14:textId="77777777">
            <w:pPr>
              <w:jc w:val="right"/>
              <w:rPr>
                <w:i/>
                <w:iCs/>
                <w:sz w:val="22"/>
                <w:szCs w:val="22"/>
              </w:rPr>
            </w:pPr>
            <w:r w:rsidRPr="00BA183C">
              <w:rPr>
                <w:i/>
                <w:iCs/>
                <w:sz w:val="22"/>
                <w:szCs w:val="22"/>
              </w:rPr>
              <w:t>7,33</w:t>
            </w:r>
          </w:p>
        </w:tc>
        <w:tc>
          <w:tcPr>
            <w:tcW w:w="2375" w:type="dxa"/>
            <w:gridSpan w:val="2"/>
            <w:tcBorders>
              <w:top w:val="nil"/>
              <w:left w:val="nil"/>
              <w:bottom w:val="nil"/>
              <w:right w:val="single" w:sz="4" w:space="0" w:color="auto"/>
            </w:tcBorders>
            <w:noWrap/>
            <w:vAlign w:val="bottom"/>
            <w:hideMark/>
          </w:tcPr>
          <w:p w:rsidR="002A6758" w:rsidRPr="00BA183C" w:rsidP="00CC5190" w14:paraId="7006CA90" w14:textId="77777777">
            <w:pPr>
              <w:jc w:val="right"/>
              <w:rPr>
                <w:i/>
                <w:iCs/>
                <w:sz w:val="22"/>
                <w:szCs w:val="22"/>
              </w:rPr>
            </w:pPr>
            <w:r w:rsidRPr="00BA183C">
              <w:rPr>
                <w:i/>
                <w:iCs/>
                <w:sz w:val="22"/>
                <w:szCs w:val="22"/>
              </w:rPr>
              <w:t>7,33</w:t>
            </w:r>
          </w:p>
        </w:tc>
      </w:tr>
      <w:tr w14:paraId="76F8862A"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473036EC" w14:textId="77777777">
            <w:pPr>
              <w:rPr>
                <w:i/>
                <w:iCs/>
                <w:sz w:val="22"/>
                <w:szCs w:val="22"/>
              </w:rPr>
            </w:pPr>
            <w:r w:rsidRPr="00BA183C">
              <w:rPr>
                <w:i/>
                <w:iCs/>
                <w:sz w:val="22"/>
                <w:szCs w:val="22"/>
              </w:rPr>
              <w:t>Fisheries</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1FB7E9BB" w14:textId="77777777">
            <w:pPr>
              <w:jc w:val="right"/>
              <w:rPr>
                <w:i/>
                <w:iCs/>
                <w:sz w:val="22"/>
                <w:szCs w:val="22"/>
              </w:rPr>
            </w:pPr>
            <w:r w:rsidRPr="00BA183C">
              <w:rPr>
                <w:i/>
                <w:iCs/>
                <w:sz w:val="22"/>
                <w:szCs w:val="22"/>
              </w:rPr>
              <w:t>2,00</w:t>
            </w:r>
          </w:p>
        </w:tc>
        <w:tc>
          <w:tcPr>
            <w:tcW w:w="1742" w:type="dxa"/>
            <w:tcBorders>
              <w:top w:val="nil"/>
              <w:left w:val="nil"/>
              <w:bottom w:val="nil"/>
              <w:right w:val="single" w:sz="4" w:space="0" w:color="auto"/>
            </w:tcBorders>
            <w:noWrap/>
            <w:vAlign w:val="bottom"/>
            <w:hideMark/>
          </w:tcPr>
          <w:p w:rsidR="002A6758" w:rsidRPr="00BA183C" w:rsidP="00CC5190" w14:paraId="6D8E7748" w14:textId="77777777">
            <w:pPr>
              <w:jc w:val="right"/>
              <w:rPr>
                <w:i/>
                <w:iCs/>
                <w:sz w:val="22"/>
                <w:szCs w:val="22"/>
              </w:rPr>
            </w:pPr>
            <w:r w:rsidRPr="00BA183C">
              <w:rPr>
                <w:i/>
                <w:iCs/>
                <w:sz w:val="22"/>
                <w:szCs w:val="22"/>
              </w:rPr>
              <w:t>7,29</w:t>
            </w:r>
          </w:p>
        </w:tc>
        <w:tc>
          <w:tcPr>
            <w:tcW w:w="2375" w:type="dxa"/>
            <w:gridSpan w:val="2"/>
            <w:tcBorders>
              <w:top w:val="nil"/>
              <w:left w:val="nil"/>
              <w:bottom w:val="nil"/>
              <w:right w:val="single" w:sz="4" w:space="0" w:color="auto"/>
            </w:tcBorders>
            <w:noWrap/>
            <w:vAlign w:val="bottom"/>
            <w:hideMark/>
          </w:tcPr>
          <w:p w:rsidR="002A6758" w:rsidRPr="00BA183C" w:rsidP="00CC5190" w14:paraId="0D8308E2" w14:textId="77777777">
            <w:pPr>
              <w:jc w:val="right"/>
              <w:rPr>
                <w:i/>
                <w:iCs/>
                <w:sz w:val="22"/>
                <w:szCs w:val="22"/>
              </w:rPr>
            </w:pPr>
            <w:r w:rsidRPr="00BA183C">
              <w:rPr>
                <w:i/>
                <w:iCs/>
                <w:sz w:val="22"/>
                <w:szCs w:val="22"/>
              </w:rPr>
              <w:t>5,29</w:t>
            </w:r>
          </w:p>
        </w:tc>
      </w:tr>
      <w:tr w14:paraId="3AF9BBB5" w14:textId="77777777" w:rsidTr="00CC5190">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2A6758" w:rsidRPr="00BA183C" w:rsidP="00CC5190" w14:paraId="373FDEB6" w14:textId="77777777">
            <w:pPr>
              <w:rPr>
                <w:i/>
                <w:iCs/>
                <w:sz w:val="22"/>
                <w:szCs w:val="22"/>
              </w:rPr>
            </w:pPr>
            <w:r w:rsidRPr="00BA183C">
              <w:rPr>
                <w:i/>
                <w:iCs/>
                <w:sz w:val="22"/>
                <w:szCs w:val="22"/>
              </w:rPr>
              <w:t>European Fund for Regional Development, including for European Territorial Cooperation (Interreg) and the Cohesion Fund</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284FC3DC" w14:textId="77777777">
            <w:pPr>
              <w:jc w:val="right"/>
              <w:rPr>
                <w:i/>
                <w:iCs/>
                <w:sz w:val="22"/>
                <w:szCs w:val="22"/>
              </w:rPr>
            </w:pPr>
            <w:r w:rsidRPr="00BA183C">
              <w:rPr>
                <w:i/>
                <w:iCs/>
                <w:sz w:val="22"/>
                <w:szCs w:val="22"/>
              </w:rPr>
              <w:t>228,06</w:t>
            </w:r>
          </w:p>
        </w:tc>
        <w:tc>
          <w:tcPr>
            <w:tcW w:w="1742" w:type="dxa"/>
            <w:tcBorders>
              <w:top w:val="nil"/>
              <w:left w:val="nil"/>
              <w:bottom w:val="nil"/>
              <w:right w:val="single" w:sz="4" w:space="0" w:color="auto"/>
            </w:tcBorders>
            <w:noWrap/>
            <w:vAlign w:val="bottom"/>
            <w:hideMark/>
          </w:tcPr>
          <w:p w:rsidR="002A6758" w:rsidRPr="00BA183C" w:rsidP="00CC5190" w14:paraId="17199D4D" w14:textId="77777777">
            <w:pPr>
              <w:jc w:val="right"/>
              <w:rPr>
                <w:i/>
                <w:iCs/>
                <w:sz w:val="22"/>
                <w:szCs w:val="22"/>
              </w:rPr>
            </w:pPr>
            <w:r w:rsidRPr="00BA183C">
              <w:rPr>
                <w:i/>
                <w:iCs/>
                <w:sz w:val="22"/>
                <w:szCs w:val="22"/>
              </w:rPr>
              <w:t>306,93</w:t>
            </w:r>
          </w:p>
        </w:tc>
        <w:tc>
          <w:tcPr>
            <w:tcW w:w="2375" w:type="dxa"/>
            <w:gridSpan w:val="2"/>
            <w:tcBorders>
              <w:top w:val="nil"/>
              <w:left w:val="nil"/>
              <w:bottom w:val="nil"/>
              <w:right w:val="single" w:sz="4" w:space="0" w:color="auto"/>
            </w:tcBorders>
            <w:noWrap/>
            <w:vAlign w:val="bottom"/>
            <w:hideMark/>
          </w:tcPr>
          <w:p w:rsidR="002A6758" w:rsidRPr="00BA183C" w:rsidP="00CC5190" w14:paraId="4CB4464C" w14:textId="77777777">
            <w:pPr>
              <w:jc w:val="right"/>
              <w:rPr>
                <w:i/>
                <w:iCs/>
                <w:sz w:val="22"/>
                <w:szCs w:val="22"/>
              </w:rPr>
            </w:pPr>
            <w:r w:rsidRPr="00BA183C">
              <w:rPr>
                <w:i/>
                <w:iCs/>
                <w:sz w:val="22"/>
                <w:szCs w:val="22"/>
              </w:rPr>
              <w:t>78,87</w:t>
            </w:r>
          </w:p>
        </w:tc>
      </w:tr>
      <w:tr w14:paraId="54D817FE"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19A2F063" w14:textId="77777777">
            <w:pPr>
              <w:rPr>
                <w:i/>
                <w:iCs/>
                <w:sz w:val="22"/>
                <w:szCs w:val="22"/>
              </w:rPr>
            </w:pPr>
            <w:r w:rsidRPr="00BA183C">
              <w:rPr>
                <w:i/>
                <w:iCs/>
                <w:sz w:val="22"/>
                <w:szCs w:val="22"/>
              </w:rPr>
              <w:t>of which</w:t>
            </w:r>
          </w:p>
        </w:tc>
        <w:tc>
          <w:tcPr>
            <w:tcW w:w="6110" w:type="dxa"/>
            <w:noWrap/>
            <w:vAlign w:val="bottom"/>
            <w:hideMark/>
          </w:tcPr>
          <w:p w:rsidR="002A6758" w:rsidRPr="00BA183C" w:rsidP="00CC5190" w14:paraId="1AECD371" w14:textId="77777777">
            <w:pPr>
              <w:rPr>
                <w:i/>
                <w:iCs/>
                <w:sz w:val="22"/>
                <w:szCs w:val="22"/>
              </w:rPr>
            </w:pPr>
            <w:r w:rsidRPr="00BA183C">
              <w:rPr>
                <w:i/>
                <w:iCs/>
                <w:sz w:val="22"/>
                <w:szCs w:val="22"/>
              </w:rPr>
              <w:t>ERDF</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0A7868DA" w14:textId="77777777">
            <w:pPr>
              <w:jc w:val="right"/>
              <w:rPr>
                <w:i/>
                <w:iCs/>
                <w:sz w:val="22"/>
                <w:szCs w:val="22"/>
              </w:rPr>
            </w:pPr>
            <w:r w:rsidRPr="00BA183C">
              <w:rPr>
                <w:i/>
                <w:iCs/>
                <w:sz w:val="22"/>
                <w:szCs w:val="22"/>
              </w:rPr>
              <w:t>183,15</w:t>
            </w:r>
          </w:p>
        </w:tc>
        <w:tc>
          <w:tcPr>
            <w:tcW w:w="1742" w:type="dxa"/>
            <w:tcBorders>
              <w:top w:val="nil"/>
              <w:left w:val="nil"/>
              <w:bottom w:val="nil"/>
              <w:right w:val="single" w:sz="4" w:space="0" w:color="auto"/>
            </w:tcBorders>
            <w:noWrap/>
            <w:vAlign w:val="bottom"/>
            <w:hideMark/>
          </w:tcPr>
          <w:p w:rsidR="002A6758" w:rsidRPr="00BA183C" w:rsidP="00CC5190" w14:paraId="485B1BA8" w14:textId="77777777">
            <w:pPr>
              <w:jc w:val="right"/>
              <w:rPr>
                <w:i/>
                <w:iCs/>
                <w:sz w:val="22"/>
                <w:szCs w:val="22"/>
              </w:rPr>
            </w:pPr>
            <w:r w:rsidRPr="00BA183C">
              <w:rPr>
                <w:i/>
                <w:iCs/>
                <w:sz w:val="22"/>
                <w:szCs w:val="22"/>
              </w:rPr>
              <w:t>248,37</w:t>
            </w:r>
          </w:p>
        </w:tc>
        <w:tc>
          <w:tcPr>
            <w:tcW w:w="2375" w:type="dxa"/>
            <w:gridSpan w:val="2"/>
            <w:tcBorders>
              <w:top w:val="nil"/>
              <w:left w:val="nil"/>
              <w:bottom w:val="nil"/>
              <w:right w:val="single" w:sz="4" w:space="0" w:color="auto"/>
            </w:tcBorders>
            <w:noWrap/>
            <w:vAlign w:val="bottom"/>
            <w:hideMark/>
          </w:tcPr>
          <w:p w:rsidR="002A6758" w:rsidRPr="00BA183C" w:rsidP="00CC5190" w14:paraId="6A40D92A" w14:textId="77777777">
            <w:pPr>
              <w:jc w:val="right"/>
              <w:rPr>
                <w:i/>
                <w:iCs/>
                <w:sz w:val="22"/>
                <w:szCs w:val="22"/>
              </w:rPr>
            </w:pPr>
            <w:r w:rsidRPr="00BA183C">
              <w:rPr>
                <w:i/>
                <w:iCs/>
                <w:sz w:val="22"/>
                <w:szCs w:val="22"/>
              </w:rPr>
              <w:t>65,23</w:t>
            </w:r>
          </w:p>
        </w:tc>
      </w:tr>
      <w:tr w14:paraId="08888B97"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011D4F28" w14:textId="77777777">
            <w:pPr>
              <w:rPr>
                <w:i/>
                <w:iCs/>
                <w:sz w:val="22"/>
                <w:szCs w:val="22"/>
              </w:rPr>
            </w:pPr>
            <w:r w:rsidRPr="00BA183C">
              <w:rPr>
                <w:i/>
                <w:iCs/>
                <w:sz w:val="22"/>
                <w:szCs w:val="22"/>
              </w:rPr>
              <w:t> </w:t>
            </w:r>
          </w:p>
        </w:tc>
        <w:tc>
          <w:tcPr>
            <w:tcW w:w="6110" w:type="dxa"/>
            <w:noWrap/>
            <w:vAlign w:val="bottom"/>
            <w:hideMark/>
          </w:tcPr>
          <w:p w:rsidR="002A6758" w:rsidRPr="00BA183C" w:rsidP="00CC5190" w14:paraId="5C7269E0" w14:textId="77777777">
            <w:pPr>
              <w:rPr>
                <w:i/>
                <w:iCs/>
                <w:sz w:val="22"/>
                <w:szCs w:val="22"/>
              </w:rPr>
            </w:pPr>
            <w:r w:rsidRPr="00BA183C">
              <w:rPr>
                <w:i/>
                <w:iCs/>
                <w:sz w:val="22"/>
                <w:szCs w:val="22"/>
              </w:rPr>
              <w:t>CF</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2C54A6FF" w14:textId="77777777">
            <w:pPr>
              <w:jc w:val="right"/>
              <w:rPr>
                <w:i/>
                <w:iCs/>
                <w:sz w:val="22"/>
                <w:szCs w:val="22"/>
              </w:rPr>
            </w:pPr>
            <w:r w:rsidRPr="00BA183C">
              <w:rPr>
                <w:i/>
                <w:iCs/>
                <w:sz w:val="22"/>
                <w:szCs w:val="22"/>
              </w:rPr>
              <w:t>34,65</w:t>
            </w:r>
          </w:p>
        </w:tc>
        <w:tc>
          <w:tcPr>
            <w:tcW w:w="1742" w:type="dxa"/>
            <w:tcBorders>
              <w:top w:val="nil"/>
              <w:left w:val="nil"/>
              <w:bottom w:val="nil"/>
              <w:right w:val="single" w:sz="4" w:space="0" w:color="auto"/>
            </w:tcBorders>
            <w:noWrap/>
            <w:vAlign w:val="bottom"/>
            <w:hideMark/>
          </w:tcPr>
          <w:p w:rsidR="002A6758" w:rsidRPr="00BA183C" w:rsidP="00CC5190" w14:paraId="469743CD" w14:textId="77777777">
            <w:pPr>
              <w:jc w:val="right"/>
              <w:rPr>
                <w:i/>
                <w:iCs/>
                <w:sz w:val="22"/>
                <w:szCs w:val="22"/>
              </w:rPr>
            </w:pPr>
            <w:r w:rsidRPr="00BA183C">
              <w:rPr>
                <w:i/>
                <w:iCs/>
                <w:sz w:val="22"/>
                <w:szCs w:val="22"/>
              </w:rPr>
              <w:t>46,99</w:t>
            </w:r>
          </w:p>
        </w:tc>
        <w:tc>
          <w:tcPr>
            <w:tcW w:w="2375" w:type="dxa"/>
            <w:gridSpan w:val="2"/>
            <w:tcBorders>
              <w:top w:val="nil"/>
              <w:left w:val="nil"/>
              <w:bottom w:val="nil"/>
              <w:right w:val="single" w:sz="4" w:space="0" w:color="auto"/>
            </w:tcBorders>
            <w:noWrap/>
            <w:vAlign w:val="bottom"/>
            <w:hideMark/>
          </w:tcPr>
          <w:p w:rsidR="002A6758" w:rsidRPr="00BA183C" w:rsidP="00CC5190" w14:paraId="3410EE09" w14:textId="77777777">
            <w:pPr>
              <w:jc w:val="right"/>
              <w:rPr>
                <w:i/>
                <w:iCs/>
                <w:sz w:val="22"/>
                <w:szCs w:val="22"/>
              </w:rPr>
            </w:pPr>
            <w:r w:rsidRPr="00BA183C">
              <w:rPr>
                <w:i/>
                <w:iCs/>
                <w:sz w:val="22"/>
                <w:szCs w:val="22"/>
              </w:rPr>
              <w:t>12,34</w:t>
            </w:r>
          </w:p>
        </w:tc>
      </w:tr>
      <w:tr w14:paraId="39C14938" w14:textId="77777777" w:rsidTr="00CC5190">
        <w:tblPrEx>
          <w:tblW w:w="0" w:type="auto"/>
          <w:tblLook w:val="04A0"/>
        </w:tblPrEx>
        <w:trPr>
          <w:trHeight w:val="20"/>
        </w:trPr>
        <w:tc>
          <w:tcPr>
            <w:tcW w:w="2087" w:type="dxa"/>
            <w:tcBorders>
              <w:top w:val="nil"/>
              <w:left w:val="single" w:sz="4" w:space="0" w:color="auto"/>
              <w:bottom w:val="nil"/>
              <w:right w:val="nil"/>
            </w:tcBorders>
            <w:noWrap/>
            <w:vAlign w:val="bottom"/>
            <w:hideMark/>
          </w:tcPr>
          <w:p w:rsidR="002A6758" w:rsidRPr="00BA183C" w:rsidP="00CC5190" w14:paraId="795FDBCC" w14:textId="77777777">
            <w:pPr>
              <w:rPr>
                <w:i/>
                <w:iCs/>
                <w:sz w:val="22"/>
                <w:szCs w:val="22"/>
              </w:rPr>
            </w:pPr>
            <w:r w:rsidRPr="00BA183C">
              <w:rPr>
                <w:i/>
                <w:iCs/>
                <w:sz w:val="22"/>
                <w:szCs w:val="22"/>
              </w:rPr>
              <w:t> </w:t>
            </w:r>
          </w:p>
        </w:tc>
        <w:tc>
          <w:tcPr>
            <w:tcW w:w="6110" w:type="dxa"/>
            <w:noWrap/>
            <w:vAlign w:val="bottom"/>
            <w:hideMark/>
          </w:tcPr>
          <w:p w:rsidR="002A6758" w:rsidRPr="00BA183C" w:rsidP="00CC5190" w14:paraId="6D8006EF" w14:textId="77777777">
            <w:pPr>
              <w:rPr>
                <w:i/>
                <w:iCs/>
                <w:sz w:val="22"/>
                <w:szCs w:val="22"/>
              </w:rPr>
            </w:pPr>
            <w:r w:rsidRPr="00BA183C">
              <w:rPr>
                <w:i/>
                <w:iCs/>
                <w:sz w:val="22"/>
                <w:szCs w:val="22"/>
              </w:rPr>
              <w:t>Interreg</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6396F955" w14:textId="77777777">
            <w:pPr>
              <w:jc w:val="right"/>
              <w:rPr>
                <w:i/>
                <w:iCs/>
                <w:sz w:val="22"/>
                <w:szCs w:val="22"/>
              </w:rPr>
            </w:pPr>
            <w:r w:rsidRPr="00BA183C">
              <w:rPr>
                <w:i/>
                <w:iCs/>
                <w:sz w:val="22"/>
                <w:szCs w:val="22"/>
              </w:rPr>
              <w:t>10,26</w:t>
            </w:r>
          </w:p>
        </w:tc>
        <w:tc>
          <w:tcPr>
            <w:tcW w:w="1742" w:type="dxa"/>
            <w:tcBorders>
              <w:top w:val="nil"/>
              <w:left w:val="nil"/>
              <w:bottom w:val="nil"/>
              <w:right w:val="single" w:sz="4" w:space="0" w:color="auto"/>
            </w:tcBorders>
            <w:noWrap/>
            <w:vAlign w:val="bottom"/>
            <w:hideMark/>
          </w:tcPr>
          <w:p w:rsidR="002A6758" w:rsidRPr="00BA183C" w:rsidP="00CC5190" w14:paraId="31E80B1F" w14:textId="77777777">
            <w:pPr>
              <w:jc w:val="right"/>
              <w:rPr>
                <w:i/>
                <w:iCs/>
                <w:sz w:val="22"/>
                <w:szCs w:val="22"/>
              </w:rPr>
            </w:pPr>
            <w:r w:rsidRPr="00BA183C">
              <w:rPr>
                <w:i/>
                <w:iCs/>
                <w:sz w:val="22"/>
                <w:szCs w:val="22"/>
              </w:rPr>
              <w:t>11,57</w:t>
            </w:r>
          </w:p>
        </w:tc>
        <w:tc>
          <w:tcPr>
            <w:tcW w:w="2375" w:type="dxa"/>
            <w:gridSpan w:val="2"/>
            <w:tcBorders>
              <w:top w:val="nil"/>
              <w:left w:val="nil"/>
              <w:bottom w:val="nil"/>
              <w:right w:val="single" w:sz="4" w:space="0" w:color="auto"/>
            </w:tcBorders>
            <w:noWrap/>
            <w:vAlign w:val="bottom"/>
            <w:hideMark/>
          </w:tcPr>
          <w:p w:rsidR="002A6758" w:rsidRPr="00BA183C" w:rsidP="00CC5190" w14:paraId="2DFF648D" w14:textId="77777777">
            <w:pPr>
              <w:jc w:val="right"/>
              <w:rPr>
                <w:i/>
                <w:iCs/>
                <w:sz w:val="22"/>
                <w:szCs w:val="22"/>
              </w:rPr>
            </w:pPr>
            <w:r w:rsidRPr="00BA183C">
              <w:rPr>
                <w:i/>
                <w:iCs/>
                <w:sz w:val="22"/>
                <w:szCs w:val="22"/>
              </w:rPr>
              <w:t>1,30</w:t>
            </w:r>
          </w:p>
        </w:tc>
      </w:tr>
      <w:tr w14:paraId="0919841E"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4722B492" w14:textId="77777777">
            <w:pPr>
              <w:rPr>
                <w:i/>
                <w:iCs/>
                <w:sz w:val="22"/>
                <w:szCs w:val="22"/>
              </w:rPr>
            </w:pPr>
            <w:r w:rsidRPr="00BA183C">
              <w:rPr>
                <w:i/>
                <w:iCs/>
                <w:sz w:val="22"/>
                <w:szCs w:val="22"/>
              </w:rPr>
              <w:t>European Social Fund</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19762CF8" w14:textId="77777777">
            <w:pPr>
              <w:jc w:val="right"/>
              <w:rPr>
                <w:i/>
                <w:iCs/>
                <w:sz w:val="22"/>
                <w:szCs w:val="22"/>
              </w:rPr>
            </w:pPr>
            <w:r w:rsidRPr="00BA183C">
              <w:rPr>
                <w:i/>
                <w:iCs/>
                <w:sz w:val="22"/>
                <w:szCs w:val="22"/>
              </w:rPr>
              <w:t>0,00</w:t>
            </w:r>
          </w:p>
        </w:tc>
        <w:tc>
          <w:tcPr>
            <w:tcW w:w="1742" w:type="dxa"/>
            <w:tcBorders>
              <w:top w:val="nil"/>
              <w:left w:val="nil"/>
              <w:bottom w:val="nil"/>
              <w:right w:val="single" w:sz="4" w:space="0" w:color="auto"/>
            </w:tcBorders>
            <w:noWrap/>
            <w:vAlign w:val="bottom"/>
            <w:hideMark/>
          </w:tcPr>
          <w:p w:rsidR="002A6758" w:rsidRPr="00BA183C" w:rsidP="00CC5190" w14:paraId="65A7D718" w14:textId="77777777">
            <w:pPr>
              <w:jc w:val="right"/>
              <w:rPr>
                <w:i/>
                <w:iCs/>
                <w:sz w:val="22"/>
                <w:szCs w:val="22"/>
              </w:rPr>
            </w:pPr>
            <w:r w:rsidRPr="00BA183C">
              <w:rPr>
                <w:i/>
                <w:iCs/>
                <w:sz w:val="22"/>
                <w:szCs w:val="22"/>
              </w:rPr>
              <w:t>124,19</w:t>
            </w:r>
          </w:p>
        </w:tc>
        <w:tc>
          <w:tcPr>
            <w:tcW w:w="2375" w:type="dxa"/>
            <w:gridSpan w:val="2"/>
            <w:tcBorders>
              <w:top w:val="nil"/>
              <w:left w:val="nil"/>
              <w:bottom w:val="nil"/>
              <w:right w:val="single" w:sz="4" w:space="0" w:color="auto"/>
            </w:tcBorders>
            <w:noWrap/>
            <w:vAlign w:val="bottom"/>
            <w:hideMark/>
          </w:tcPr>
          <w:p w:rsidR="002A6758" w:rsidRPr="00BA183C" w:rsidP="00CC5190" w14:paraId="72F3ABFA" w14:textId="77777777">
            <w:pPr>
              <w:jc w:val="right"/>
              <w:rPr>
                <w:i/>
                <w:iCs/>
                <w:sz w:val="22"/>
                <w:szCs w:val="22"/>
              </w:rPr>
            </w:pPr>
            <w:r w:rsidRPr="00BA183C">
              <w:rPr>
                <w:i/>
                <w:iCs/>
                <w:sz w:val="22"/>
                <w:szCs w:val="22"/>
              </w:rPr>
              <w:t>124,19</w:t>
            </w:r>
          </w:p>
        </w:tc>
      </w:tr>
      <w:tr w14:paraId="7AD6A9CA"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32EE34C3" w14:textId="77777777">
            <w:pPr>
              <w:rPr>
                <w:i/>
                <w:iCs/>
                <w:sz w:val="22"/>
                <w:szCs w:val="22"/>
              </w:rPr>
            </w:pPr>
            <w:r w:rsidRPr="00BA183C">
              <w:rPr>
                <w:i/>
                <w:iCs/>
                <w:sz w:val="22"/>
                <w:szCs w:val="22"/>
              </w:rPr>
              <w:t>Migration - Asylum, migration and integration**</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776AE9B7" w14:textId="77777777">
            <w:pPr>
              <w:jc w:val="right"/>
              <w:rPr>
                <w:i/>
                <w:iCs/>
                <w:sz w:val="22"/>
                <w:szCs w:val="22"/>
              </w:rPr>
            </w:pPr>
            <w:r w:rsidRPr="00BA183C">
              <w:rPr>
                <w:i/>
                <w:iCs/>
                <w:sz w:val="22"/>
                <w:szCs w:val="22"/>
              </w:rPr>
              <w:t>11,98</w:t>
            </w:r>
          </w:p>
        </w:tc>
        <w:tc>
          <w:tcPr>
            <w:tcW w:w="1742" w:type="dxa"/>
            <w:tcBorders>
              <w:top w:val="nil"/>
              <w:left w:val="nil"/>
              <w:bottom w:val="nil"/>
              <w:right w:val="single" w:sz="4" w:space="0" w:color="auto"/>
            </w:tcBorders>
            <w:noWrap/>
            <w:vAlign w:val="bottom"/>
            <w:hideMark/>
          </w:tcPr>
          <w:p w:rsidR="002A6758" w:rsidRPr="00BA183C" w:rsidP="00CC5190" w14:paraId="5B94F941" w14:textId="77777777">
            <w:pPr>
              <w:jc w:val="right"/>
              <w:rPr>
                <w:i/>
                <w:iCs/>
                <w:sz w:val="22"/>
                <w:szCs w:val="22"/>
              </w:rPr>
            </w:pPr>
            <w:r w:rsidRPr="00BA183C">
              <w:rPr>
                <w:i/>
                <w:iCs/>
                <w:sz w:val="22"/>
                <w:szCs w:val="22"/>
              </w:rPr>
              <w:t>13,31</w:t>
            </w:r>
          </w:p>
        </w:tc>
        <w:tc>
          <w:tcPr>
            <w:tcW w:w="2375" w:type="dxa"/>
            <w:gridSpan w:val="2"/>
            <w:tcBorders>
              <w:top w:val="nil"/>
              <w:left w:val="nil"/>
              <w:bottom w:val="nil"/>
              <w:right w:val="single" w:sz="4" w:space="0" w:color="auto"/>
            </w:tcBorders>
            <w:noWrap/>
            <w:vAlign w:val="bottom"/>
            <w:hideMark/>
          </w:tcPr>
          <w:p w:rsidR="002A6758" w:rsidRPr="00BA183C" w:rsidP="00CC5190" w14:paraId="7D2B227A" w14:textId="77777777">
            <w:pPr>
              <w:jc w:val="right"/>
              <w:rPr>
                <w:i/>
                <w:iCs/>
                <w:sz w:val="22"/>
                <w:szCs w:val="22"/>
              </w:rPr>
            </w:pPr>
            <w:r w:rsidRPr="00BA183C">
              <w:rPr>
                <w:i/>
                <w:iCs/>
                <w:sz w:val="22"/>
                <w:szCs w:val="22"/>
              </w:rPr>
              <w:t>1,34</w:t>
            </w:r>
          </w:p>
        </w:tc>
      </w:tr>
      <w:tr w14:paraId="248A7D30"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183C93CF" w14:textId="77777777">
            <w:pPr>
              <w:rPr>
                <w:i/>
                <w:iCs/>
                <w:sz w:val="22"/>
                <w:szCs w:val="22"/>
              </w:rPr>
            </w:pPr>
            <w:r w:rsidRPr="00BA183C">
              <w:rPr>
                <w:i/>
                <w:iCs/>
                <w:sz w:val="22"/>
                <w:szCs w:val="22"/>
              </w:rPr>
              <w:t>Migration - Border management and common policy on visas**</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66FF358D" w14:textId="77777777">
            <w:pPr>
              <w:jc w:val="right"/>
              <w:rPr>
                <w:i/>
                <w:iCs/>
                <w:sz w:val="22"/>
                <w:szCs w:val="22"/>
              </w:rPr>
            </w:pPr>
            <w:r w:rsidRPr="00BA183C">
              <w:rPr>
                <w:i/>
                <w:iCs/>
                <w:sz w:val="22"/>
                <w:szCs w:val="22"/>
              </w:rPr>
              <w:t>15,40</w:t>
            </w:r>
          </w:p>
        </w:tc>
        <w:tc>
          <w:tcPr>
            <w:tcW w:w="1742" w:type="dxa"/>
            <w:tcBorders>
              <w:top w:val="nil"/>
              <w:left w:val="nil"/>
              <w:bottom w:val="nil"/>
              <w:right w:val="single" w:sz="4" w:space="0" w:color="auto"/>
            </w:tcBorders>
            <w:noWrap/>
            <w:vAlign w:val="bottom"/>
            <w:hideMark/>
          </w:tcPr>
          <w:p w:rsidR="002A6758" w:rsidRPr="00BA183C" w:rsidP="00CC5190" w14:paraId="67B65BC1" w14:textId="77777777">
            <w:pPr>
              <w:jc w:val="right"/>
              <w:rPr>
                <w:i/>
                <w:iCs/>
                <w:sz w:val="22"/>
                <w:szCs w:val="22"/>
              </w:rPr>
            </w:pPr>
            <w:r w:rsidRPr="00BA183C">
              <w:rPr>
                <w:i/>
                <w:iCs/>
                <w:sz w:val="22"/>
                <w:szCs w:val="22"/>
              </w:rPr>
              <w:t>17,12</w:t>
            </w:r>
          </w:p>
        </w:tc>
        <w:tc>
          <w:tcPr>
            <w:tcW w:w="2375" w:type="dxa"/>
            <w:gridSpan w:val="2"/>
            <w:tcBorders>
              <w:top w:val="nil"/>
              <w:left w:val="nil"/>
              <w:bottom w:val="nil"/>
              <w:right w:val="single" w:sz="4" w:space="0" w:color="auto"/>
            </w:tcBorders>
            <w:noWrap/>
            <w:vAlign w:val="bottom"/>
            <w:hideMark/>
          </w:tcPr>
          <w:p w:rsidR="002A6758" w:rsidRPr="00BA183C" w:rsidP="00CC5190" w14:paraId="59EAECC7" w14:textId="77777777">
            <w:pPr>
              <w:jc w:val="right"/>
              <w:rPr>
                <w:i/>
                <w:iCs/>
                <w:sz w:val="22"/>
                <w:szCs w:val="22"/>
              </w:rPr>
            </w:pPr>
            <w:r w:rsidRPr="00BA183C">
              <w:rPr>
                <w:i/>
                <w:iCs/>
                <w:sz w:val="22"/>
                <w:szCs w:val="22"/>
              </w:rPr>
              <w:t>1,72</w:t>
            </w:r>
          </w:p>
        </w:tc>
      </w:tr>
      <w:tr w14:paraId="13DF98FA"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6FF16DAE" w14:textId="77777777">
            <w:pPr>
              <w:rPr>
                <w:i/>
                <w:iCs/>
                <w:sz w:val="22"/>
                <w:szCs w:val="22"/>
              </w:rPr>
            </w:pPr>
            <w:r w:rsidRPr="00BA183C">
              <w:rPr>
                <w:i/>
                <w:iCs/>
                <w:sz w:val="22"/>
                <w:szCs w:val="22"/>
              </w:rPr>
              <w:t>Migration - Internal security**</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1C09A4D9" w14:textId="77777777">
            <w:pPr>
              <w:jc w:val="right"/>
              <w:rPr>
                <w:i/>
                <w:iCs/>
                <w:sz w:val="22"/>
                <w:szCs w:val="22"/>
              </w:rPr>
            </w:pPr>
            <w:r w:rsidRPr="00BA183C">
              <w:rPr>
                <w:i/>
                <w:iCs/>
                <w:sz w:val="22"/>
                <w:szCs w:val="22"/>
              </w:rPr>
              <w:t>6,84</w:t>
            </w:r>
          </w:p>
        </w:tc>
        <w:tc>
          <w:tcPr>
            <w:tcW w:w="1742" w:type="dxa"/>
            <w:tcBorders>
              <w:top w:val="nil"/>
              <w:left w:val="nil"/>
              <w:bottom w:val="nil"/>
              <w:right w:val="single" w:sz="4" w:space="0" w:color="auto"/>
            </w:tcBorders>
            <w:noWrap/>
            <w:vAlign w:val="bottom"/>
            <w:hideMark/>
          </w:tcPr>
          <w:p w:rsidR="002A6758" w:rsidRPr="00BA183C" w:rsidP="00CC5190" w14:paraId="3905DD64" w14:textId="77777777">
            <w:pPr>
              <w:jc w:val="right"/>
              <w:rPr>
                <w:i/>
                <w:iCs/>
                <w:sz w:val="22"/>
                <w:szCs w:val="22"/>
              </w:rPr>
            </w:pPr>
            <w:r w:rsidRPr="00BA183C">
              <w:rPr>
                <w:i/>
                <w:iCs/>
                <w:sz w:val="22"/>
                <w:szCs w:val="22"/>
              </w:rPr>
              <w:t>7,61</w:t>
            </w:r>
          </w:p>
        </w:tc>
        <w:tc>
          <w:tcPr>
            <w:tcW w:w="2375" w:type="dxa"/>
            <w:gridSpan w:val="2"/>
            <w:tcBorders>
              <w:top w:val="nil"/>
              <w:left w:val="nil"/>
              <w:bottom w:val="nil"/>
              <w:right w:val="single" w:sz="4" w:space="0" w:color="auto"/>
            </w:tcBorders>
            <w:noWrap/>
            <w:vAlign w:val="bottom"/>
            <w:hideMark/>
          </w:tcPr>
          <w:p w:rsidR="002A6758" w:rsidRPr="00BA183C" w:rsidP="00CC5190" w14:paraId="310B26E3" w14:textId="77777777">
            <w:pPr>
              <w:jc w:val="right"/>
              <w:rPr>
                <w:i/>
                <w:iCs/>
                <w:sz w:val="22"/>
                <w:szCs w:val="22"/>
              </w:rPr>
            </w:pPr>
            <w:r w:rsidRPr="00BA183C">
              <w:rPr>
                <w:i/>
                <w:iCs/>
                <w:sz w:val="22"/>
                <w:szCs w:val="22"/>
              </w:rPr>
              <w:t>0,76</w:t>
            </w:r>
          </w:p>
        </w:tc>
      </w:tr>
      <w:tr w14:paraId="79EC535A"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03FC5F61" w14:textId="77777777">
            <w:pPr>
              <w:rPr>
                <w:i/>
                <w:iCs/>
                <w:sz w:val="22"/>
                <w:szCs w:val="22"/>
              </w:rPr>
            </w:pPr>
            <w:r w:rsidRPr="00BA183C">
              <w:rPr>
                <w:i/>
                <w:iCs/>
                <w:sz w:val="22"/>
                <w:szCs w:val="22"/>
              </w:rPr>
              <w:t>EU Facility***</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03E3B454" w14:textId="77777777">
            <w:pPr>
              <w:jc w:val="right"/>
              <w:rPr>
                <w:i/>
                <w:iCs/>
                <w:sz w:val="22"/>
                <w:szCs w:val="22"/>
              </w:rPr>
            </w:pPr>
            <w:r w:rsidRPr="00BA183C">
              <w:rPr>
                <w:i/>
                <w:iCs/>
                <w:sz w:val="22"/>
                <w:szCs w:val="22"/>
              </w:rPr>
              <w:t>65,63</w:t>
            </w:r>
          </w:p>
        </w:tc>
        <w:tc>
          <w:tcPr>
            <w:tcW w:w="1742" w:type="dxa"/>
            <w:tcBorders>
              <w:top w:val="nil"/>
              <w:left w:val="nil"/>
              <w:bottom w:val="nil"/>
              <w:right w:val="single" w:sz="4" w:space="0" w:color="auto"/>
            </w:tcBorders>
            <w:noWrap/>
            <w:vAlign w:val="bottom"/>
            <w:hideMark/>
          </w:tcPr>
          <w:p w:rsidR="002A6758" w:rsidRPr="00BA183C" w:rsidP="00CC5190" w14:paraId="5189B4CF" w14:textId="77777777">
            <w:pPr>
              <w:jc w:val="right"/>
              <w:rPr>
                <w:i/>
                <w:iCs/>
                <w:sz w:val="22"/>
                <w:szCs w:val="22"/>
              </w:rPr>
            </w:pPr>
            <w:r w:rsidRPr="00BA183C">
              <w:rPr>
                <w:i/>
                <w:iCs/>
                <w:sz w:val="22"/>
                <w:szCs w:val="22"/>
              </w:rPr>
              <w:t>56,08</w:t>
            </w:r>
          </w:p>
        </w:tc>
        <w:tc>
          <w:tcPr>
            <w:tcW w:w="2375" w:type="dxa"/>
            <w:gridSpan w:val="2"/>
            <w:tcBorders>
              <w:top w:val="nil"/>
              <w:left w:val="nil"/>
              <w:bottom w:val="nil"/>
              <w:right w:val="single" w:sz="4" w:space="0" w:color="auto"/>
            </w:tcBorders>
            <w:noWrap/>
            <w:vAlign w:val="bottom"/>
            <w:hideMark/>
          </w:tcPr>
          <w:p w:rsidR="002A6758" w:rsidRPr="00BA183C" w:rsidP="00CC5190" w14:paraId="2AEA4F2E" w14:textId="77777777">
            <w:pPr>
              <w:jc w:val="right"/>
              <w:rPr>
                <w:i/>
                <w:iCs/>
                <w:sz w:val="22"/>
                <w:szCs w:val="22"/>
              </w:rPr>
            </w:pPr>
            <w:r w:rsidRPr="00BA183C">
              <w:rPr>
                <w:i/>
                <w:iCs/>
                <w:sz w:val="22"/>
                <w:szCs w:val="22"/>
              </w:rPr>
              <w:t>-9,56</w:t>
            </w:r>
          </w:p>
        </w:tc>
      </w:tr>
      <w:tr w14:paraId="541212E0" w14:textId="77777777" w:rsidTr="00CC5190">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2A6758" w:rsidRPr="00BA183C" w:rsidP="00CC5190" w14:paraId="7A469402" w14:textId="77777777">
            <w:pPr>
              <w:rPr>
                <w:i/>
                <w:iCs/>
                <w:sz w:val="22"/>
                <w:szCs w:val="22"/>
              </w:rPr>
            </w:pPr>
            <w:r w:rsidRPr="00BA183C">
              <w:rPr>
                <w:i/>
                <w:iCs/>
                <w:sz w:val="22"/>
                <w:szCs w:val="22"/>
              </w:rPr>
              <w:t>Non-ringfenced in NRPP</w:t>
            </w:r>
          </w:p>
        </w:tc>
        <w:tc>
          <w:tcPr>
            <w:tcW w:w="1962" w:type="dxa"/>
            <w:tcBorders>
              <w:top w:val="nil"/>
              <w:left w:val="single" w:sz="4" w:space="0" w:color="auto"/>
              <w:bottom w:val="nil"/>
              <w:right w:val="single" w:sz="4" w:space="0" w:color="auto"/>
            </w:tcBorders>
            <w:noWrap/>
            <w:vAlign w:val="bottom"/>
            <w:hideMark/>
          </w:tcPr>
          <w:p w:rsidR="002A6758" w:rsidRPr="00BA183C" w:rsidP="00CC5190" w14:paraId="00A91BB9" w14:textId="77777777">
            <w:pPr>
              <w:jc w:val="right"/>
              <w:rPr>
                <w:i/>
                <w:iCs/>
                <w:sz w:val="22"/>
                <w:szCs w:val="22"/>
              </w:rPr>
            </w:pPr>
            <w:r w:rsidRPr="00BA183C">
              <w:rPr>
                <w:i/>
                <w:iCs/>
                <w:sz w:val="22"/>
                <w:szCs w:val="22"/>
              </w:rPr>
              <w:t>235,17</w:t>
            </w:r>
          </w:p>
        </w:tc>
        <w:tc>
          <w:tcPr>
            <w:tcW w:w="1742" w:type="dxa"/>
            <w:tcBorders>
              <w:top w:val="nil"/>
              <w:left w:val="nil"/>
              <w:bottom w:val="nil"/>
              <w:right w:val="single" w:sz="4" w:space="0" w:color="auto"/>
            </w:tcBorders>
            <w:noWrap/>
            <w:vAlign w:val="bottom"/>
            <w:hideMark/>
          </w:tcPr>
          <w:p w:rsidR="002A6758" w:rsidRPr="00BA183C" w:rsidP="00CC5190" w14:paraId="72993995" w14:textId="77777777">
            <w:pPr>
              <w:jc w:val="right"/>
              <w:rPr>
                <w:i/>
                <w:iCs/>
                <w:sz w:val="22"/>
                <w:szCs w:val="22"/>
              </w:rPr>
            </w:pPr>
            <w:r w:rsidRPr="00BA183C">
              <w:rPr>
                <w:i/>
                <w:iCs/>
                <w:sz w:val="22"/>
                <w:szCs w:val="22"/>
              </w:rPr>
              <w:t>0,00</w:t>
            </w:r>
          </w:p>
        </w:tc>
        <w:tc>
          <w:tcPr>
            <w:tcW w:w="2375" w:type="dxa"/>
            <w:gridSpan w:val="2"/>
            <w:tcBorders>
              <w:top w:val="nil"/>
              <w:left w:val="nil"/>
              <w:bottom w:val="nil"/>
              <w:right w:val="single" w:sz="4" w:space="0" w:color="auto"/>
            </w:tcBorders>
            <w:noWrap/>
            <w:vAlign w:val="bottom"/>
            <w:hideMark/>
          </w:tcPr>
          <w:p w:rsidR="002A6758" w:rsidRPr="00BA183C" w:rsidP="00CC5190" w14:paraId="7B42FDDD" w14:textId="77777777">
            <w:pPr>
              <w:jc w:val="right"/>
              <w:rPr>
                <w:i/>
                <w:iCs/>
                <w:sz w:val="22"/>
                <w:szCs w:val="22"/>
              </w:rPr>
            </w:pPr>
            <w:r w:rsidRPr="00BA183C">
              <w:rPr>
                <w:i/>
                <w:iCs/>
                <w:sz w:val="22"/>
                <w:szCs w:val="22"/>
              </w:rPr>
              <w:t>-235,17</w:t>
            </w:r>
          </w:p>
        </w:tc>
      </w:tr>
      <w:tr w14:paraId="46DB40E0" w14:textId="77777777" w:rsidTr="00CC5190">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46B0480" w14:textId="77777777">
            <w:pPr>
              <w:rPr>
                <w:sz w:val="22"/>
                <w:szCs w:val="22"/>
              </w:rPr>
            </w:pPr>
            <w:r w:rsidRPr="00BA183C">
              <w:rPr>
                <w:sz w:val="22"/>
                <w:szCs w:val="22"/>
              </w:rPr>
              <w:t>Support to the Turkish-Cypriot Community</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2A6758" w:rsidRPr="00BA183C" w:rsidP="00CC5190" w14:paraId="28987646" w14:textId="77777777">
            <w:pPr>
              <w:jc w:val="right"/>
              <w:rPr>
                <w:sz w:val="22"/>
                <w:szCs w:val="22"/>
              </w:rPr>
            </w:pPr>
            <w:r w:rsidRPr="00BA183C">
              <w:rPr>
                <w:sz w:val="22"/>
                <w:szCs w:val="22"/>
              </w:rPr>
              <w:t>0,44</w:t>
            </w:r>
          </w:p>
        </w:tc>
        <w:tc>
          <w:tcPr>
            <w:tcW w:w="1742" w:type="dxa"/>
            <w:tcBorders>
              <w:top w:val="single" w:sz="4" w:space="0" w:color="auto"/>
              <w:left w:val="nil"/>
              <w:bottom w:val="single" w:sz="4" w:space="0" w:color="auto"/>
              <w:right w:val="single" w:sz="4" w:space="0" w:color="auto"/>
            </w:tcBorders>
            <w:noWrap/>
            <w:vAlign w:val="bottom"/>
            <w:hideMark/>
          </w:tcPr>
          <w:p w:rsidR="002A6758" w:rsidRPr="00BA183C" w:rsidP="00CC5190" w14:paraId="7BFE11C0" w14:textId="77777777">
            <w:pPr>
              <w:jc w:val="right"/>
              <w:rPr>
                <w:sz w:val="22"/>
                <w:szCs w:val="22"/>
              </w:rPr>
            </w:pPr>
            <w:r w:rsidRPr="00BA183C">
              <w:rPr>
                <w:sz w:val="22"/>
                <w:szCs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2A6758" w:rsidRPr="00BA183C" w:rsidP="00CC5190" w14:paraId="5CFBE70A" w14:textId="77777777">
            <w:pPr>
              <w:jc w:val="right"/>
              <w:rPr>
                <w:sz w:val="22"/>
                <w:szCs w:val="22"/>
              </w:rPr>
            </w:pPr>
            <w:r w:rsidRPr="00BA183C">
              <w:rPr>
                <w:sz w:val="22"/>
                <w:szCs w:val="22"/>
              </w:rPr>
              <w:t>0,05</w:t>
            </w:r>
          </w:p>
        </w:tc>
      </w:tr>
      <w:tr w14:paraId="2CB4A984" w14:textId="77777777" w:rsidTr="00CC5190">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6454ADD6" w14:textId="77777777">
            <w:pPr>
              <w:rPr>
                <w:sz w:val="22"/>
                <w:szCs w:val="22"/>
              </w:rPr>
            </w:pPr>
            <w:r w:rsidRPr="00BA183C">
              <w:rPr>
                <w:sz w:val="22"/>
                <w:szCs w:val="22"/>
              </w:rPr>
              <w:t>Decentralised agencies</w:t>
            </w:r>
          </w:p>
        </w:tc>
        <w:tc>
          <w:tcPr>
            <w:tcW w:w="1962" w:type="dxa"/>
            <w:tcBorders>
              <w:top w:val="nil"/>
              <w:left w:val="single" w:sz="4" w:space="0" w:color="auto"/>
              <w:bottom w:val="single" w:sz="4" w:space="0" w:color="auto"/>
              <w:right w:val="single" w:sz="4" w:space="0" w:color="auto"/>
            </w:tcBorders>
            <w:noWrap/>
            <w:vAlign w:val="bottom"/>
            <w:hideMark/>
          </w:tcPr>
          <w:p w:rsidR="002A6758" w:rsidRPr="00BA183C" w:rsidP="00CC5190" w14:paraId="1F9DCA21" w14:textId="77777777">
            <w:pPr>
              <w:jc w:val="right"/>
              <w:rPr>
                <w:sz w:val="22"/>
                <w:szCs w:val="22"/>
              </w:rPr>
            </w:pPr>
            <w:r w:rsidRPr="00BA183C">
              <w:rPr>
                <w:sz w:val="22"/>
                <w:szCs w:val="22"/>
              </w:rPr>
              <w:t>22,89</w:t>
            </w:r>
          </w:p>
        </w:tc>
        <w:tc>
          <w:tcPr>
            <w:tcW w:w="1742" w:type="dxa"/>
            <w:tcBorders>
              <w:top w:val="nil"/>
              <w:left w:val="nil"/>
              <w:bottom w:val="single" w:sz="4" w:space="0" w:color="auto"/>
              <w:right w:val="single" w:sz="4" w:space="0" w:color="auto"/>
            </w:tcBorders>
            <w:noWrap/>
            <w:vAlign w:val="bottom"/>
            <w:hideMark/>
          </w:tcPr>
          <w:p w:rsidR="002A6758" w:rsidRPr="00BA183C" w:rsidP="00CC5190" w14:paraId="0360103C" w14:textId="77777777">
            <w:pPr>
              <w:jc w:val="right"/>
              <w:rPr>
                <w:sz w:val="22"/>
                <w:szCs w:val="22"/>
              </w:rPr>
            </w:pPr>
            <w:r w:rsidRPr="00BA183C">
              <w:rPr>
                <w:sz w:val="22"/>
                <w:szCs w:val="22"/>
              </w:rPr>
              <w:t>22,89</w:t>
            </w:r>
          </w:p>
        </w:tc>
        <w:tc>
          <w:tcPr>
            <w:tcW w:w="2375" w:type="dxa"/>
            <w:gridSpan w:val="2"/>
            <w:tcBorders>
              <w:top w:val="nil"/>
              <w:left w:val="nil"/>
              <w:bottom w:val="single" w:sz="4" w:space="0" w:color="auto"/>
              <w:right w:val="single" w:sz="4" w:space="0" w:color="auto"/>
            </w:tcBorders>
            <w:noWrap/>
            <w:vAlign w:val="bottom"/>
            <w:hideMark/>
          </w:tcPr>
          <w:p w:rsidR="002A6758" w:rsidRPr="00BA183C" w:rsidP="00CC5190" w14:paraId="175B82C6" w14:textId="77777777">
            <w:pPr>
              <w:jc w:val="right"/>
              <w:rPr>
                <w:sz w:val="22"/>
                <w:szCs w:val="22"/>
              </w:rPr>
            </w:pPr>
            <w:r w:rsidRPr="00BA183C">
              <w:rPr>
                <w:sz w:val="22"/>
                <w:szCs w:val="22"/>
              </w:rPr>
              <w:t>0,00</w:t>
            </w:r>
          </w:p>
        </w:tc>
      </w:tr>
      <w:tr w14:paraId="5BC88B2B" w14:textId="77777777" w:rsidTr="00CC5190">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29D800A6" w14:textId="77777777">
            <w:pPr>
              <w:rPr>
                <w:sz w:val="22"/>
                <w:szCs w:val="22"/>
              </w:rPr>
            </w:pPr>
            <w:r w:rsidRPr="00BA183C">
              <w:rPr>
                <w:sz w:val="22"/>
                <w:szCs w:val="22"/>
              </w:rPr>
              <w:t>Margins</w:t>
            </w:r>
          </w:p>
        </w:tc>
        <w:tc>
          <w:tcPr>
            <w:tcW w:w="1962" w:type="dxa"/>
            <w:tcBorders>
              <w:top w:val="nil"/>
              <w:left w:val="single" w:sz="4" w:space="0" w:color="auto"/>
              <w:bottom w:val="single" w:sz="4" w:space="0" w:color="auto"/>
              <w:right w:val="single" w:sz="4" w:space="0" w:color="auto"/>
            </w:tcBorders>
            <w:noWrap/>
            <w:vAlign w:val="bottom"/>
            <w:hideMark/>
          </w:tcPr>
          <w:p w:rsidR="002A6758" w:rsidRPr="00BA183C" w:rsidP="00CC5190" w14:paraId="5E9DB605" w14:textId="77777777">
            <w:pPr>
              <w:jc w:val="right"/>
              <w:rPr>
                <w:sz w:val="22"/>
                <w:szCs w:val="22"/>
              </w:rPr>
            </w:pPr>
            <w:r w:rsidRPr="00BA183C">
              <w:rPr>
                <w:sz w:val="22"/>
                <w:szCs w:val="22"/>
              </w:rPr>
              <w:t>5,82</w:t>
            </w:r>
          </w:p>
        </w:tc>
        <w:tc>
          <w:tcPr>
            <w:tcW w:w="1742" w:type="dxa"/>
            <w:tcBorders>
              <w:top w:val="nil"/>
              <w:left w:val="nil"/>
              <w:bottom w:val="single" w:sz="4" w:space="0" w:color="auto"/>
              <w:right w:val="single" w:sz="4" w:space="0" w:color="auto"/>
            </w:tcBorders>
            <w:noWrap/>
            <w:vAlign w:val="bottom"/>
            <w:hideMark/>
          </w:tcPr>
          <w:p w:rsidR="002A6758" w:rsidRPr="00BA183C" w:rsidP="00CC5190" w14:paraId="635CD639" w14:textId="77777777">
            <w:pPr>
              <w:jc w:val="right"/>
              <w:rPr>
                <w:sz w:val="22"/>
                <w:szCs w:val="22"/>
              </w:rPr>
            </w:pPr>
            <w:r w:rsidRPr="00BA183C">
              <w:rPr>
                <w:sz w:val="22"/>
                <w:szCs w:val="22"/>
              </w:rPr>
              <w:t>1,13</w:t>
            </w:r>
          </w:p>
        </w:tc>
        <w:tc>
          <w:tcPr>
            <w:tcW w:w="2375" w:type="dxa"/>
            <w:gridSpan w:val="2"/>
            <w:tcBorders>
              <w:top w:val="nil"/>
              <w:left w:val="nil"/>
              <w:bottom w:val="single" w:sz="4" w:space="0" w:color="auto"/>
              <w:right w:val="single" w:sz="4" w:space="0" w:color="auto"/>
            </w:tcBorders>
            <w:noWrap/>
            <w:vAlign w:val="bottom"/>
            <w:hideMark/>
          </w:tcPr>
          <w:p w:rsidR="002A6758" w:rsidRPr="00BA183C" w:rsidP="00CC5190" w14:paraId="7B9344EF" w14:textId="77777777">
            <w:pPr>
              <w:jc w:val="right"/>
              <w:rPr>
                <w:sz w:val="22"/>
                <w:szCs w:val="22"/>
              </w:rPr>
            </w:pPr>
            <w:r w:rsidRPr="00BA183C">
              <w:rPr>
                <w:sz w:val="22"/>
                <w:szCs w:val="22"/>
              </w:rPr>
              <w:t>-4,69</w:t>
            </w:r>
          </w:p>
        </w:tc>
      </w:tr>
      <w:tr w14:paraId="2644F547" w14:textId="77777777" w:rsidTr="00CC5190">
        <w:tblPrEx>
          <w:tblW w:w="0" w:type="auto"/>
          <w:tblLook w:val="04A0"/>
        </w:tblPrEx>
        <w:trPr>
          <w:gridAfter w:val="1"/>
          <w:wAfter w:w="1017" w:type="dxa"/>
          <w:trHeight w:val="285"/>
        </w:trPr>
        <w:tc>
          <w:tcPr>
            <w:tcW w:w="13259" w:type="dxa"/>
            <w:gridSpan w:val="5"/>
            <w:noWrap/>
            <w:vAlign w:val="bottom"/>
            <w:hideMark/>
          </w:tcPr>
          <w:p w:rsidR="002A6758" w:rsidRPr="00BA183C" w:rsidP="00CC5190" w14:paraId="378FE4B0" w14:textId="77777777">
            <w:pPr>
              <w:rPr>
                <w:sz w:val="22"/>
                <w:szCs w:val="18"/>
              </w:rPr>
            </w:pPr>
            <w:r w:rsidRPr="00BA183C">
              <w:rPr>
                <w:sz w:val="22"/>
                <w:szCs w:val="18"/>
              </w:rPr>
              <w:t>* The amount of EUR 6,3 billion corresponding to the Unity Safety Net is accounted for under the CAP</w:t>
            </w:r>
          </w:p>
        </w:tc>
      </w:tr>
      <w:tr w14:paraId="00D48630" w14:textId="77777777" w:rsidTr="00CC5190">
        <w:tblPrEx>
          <w:tblW w:w="0" w:type="auto"/>
          <w:tblLook w:val="04A0"/>
        </w:tblPrEx>
        <w:trPr>
          <w:gridAfter w:val="1"/>
          <w:wAfter w:w="1017" w:type="dxa"/>
          <w:trHeight w:val="285"/>
        </w:trPr>
        <w:tc>
          <w:tcPr>
            <w:tcW w:w="13259" w:type="dxa"/>
            <w:gridSpan w:val="5"/>
            <w:noWrap/>
            <w:vAlign w:val="bottom"/>
            <w:hideMark/>
          </w:tcPr>
          <w:p w:rsidR="002A6758" w:rsidRPr="00BA183C" w:rsidP="00CC5190" w14:paraId="3E826741" w14:textId="77777777">
            <w:pPr>
              <w:rPr>
                <w:sz w:val="22"/>
                <w:szCs w:val="18"/>
              </w:rPr>
            </w:pPr>
            <w:r w:rsidRPr="00BA183C">
              <w:rPr>
                <w:sz w:val="22"/>
                <w:szCs w:val="18"/>
              </w:rPr>
              <w:t>** Total for the HOME Affairs funds: EUR 38,04 billion</w:t>
            </w:r>
          </w:p>
          <w:p w:rsidR="002A6758" w:rsidRPr="00BA183C" w:rsidP="00CC5190" w14:paraId="2BC006E0" w14:textId="77777777">
            <w:pPr>
              <w:rPr>
                <w:sz w:val="22"/>
                <w:szCs w:val="18"/>
              </w:rPr>
            </w:pPr>
            <w:r w:rsidRPr="00BA183C">
              <w:rPr>
                <w:sz w:val="22"/>
                <w:szCs w:val="18"/>
              </w:rPr>
              <w:t>*** without accounting for the Unity Safety Net</w:t>
            </w:r>
          </w:p>
        </w:tc>
      </w:tr>
    </w:tbl>
    <w:p w:rsidR="002A6758" w:rsidRPr="00BA183C" w:rsidP="002A6758" w14:paraId="742C8580" w14:textId="77777777">
      <w:r w:rsidRPr="00BA183C">
        <w:br w:type="page"/>
      </w:r>
    </w:p>
    <w:tbl>
      <w:tblPr>
        <w:tblpPr w:leftFromText="180" w:rightFromText="180" w:vertAnchor="text" w:horzAnchor="margin" w:tblpY="-34"/>
        <w:tblW w:w="0" w:type="auto"/>
        <w:tblLook w:val="04A0"/>
      </w:tblPr>
      <w:tblGrid>
        <w:gridCol w:w="14286"/>
      </w:tblGrid>
      <w:tr w14:paraId="1D2B4B6F" w14:textId="77777777" w:rsidTr="00CC5190">
        <w:tblPrEx>
          <w:tblW w:w="0" w:type="auto"/>
          <w:tblLook w:val="04A0"/>
        </w:tblPrEx>
        <w:trPr>
          <w:trHeight w:val="285"/>
        </w:trPr>
        <w:tc>
          <w:tcPr>
            <w:tcW w:w="13259" w:type="dxa"/>
            <w:noWrap/>
            <w:vAlign w:val="bottom"/>
            <w:hideMark/>
          </w:tcPr>
          <w:p w:rsidR="002A6758" w:rsidRPr="00BA183C" w:rsidP="00CC5190" w14:paraId="6B0A63D4"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7283E13B"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2A6758" w:rsidRPr="00BA183C" w:rsidP="00CC5190" w14:paraId="08A4A9CA" w14:textId="77777777">
                  <w:pPr>
                    <w:rPr>
                      <w:b/>
                      <w:bCs/>
                    </w:rPr>
                  </w:pPr>
                  <w:r w:rsidRPr="00BA183C">
                    <w:rPr>
                      <w:b/>
                      <w:bCs/>
                    </w:rPr>
                    <w:t>EUR billion - Commitment appropriations (current prices)</w:t>
                  </w:r>
                </w:p>
                <w:p w:rsidR="002A6758" w:rsidRPr="00BA183C" w:rsidP="00CC5190" w14:paraId="301261E8" w14:textId="77777777">
                  <w:pPr>
                    <w:rPr>
                      <w:b/>
                      <w:bCs/>
                    </w:rPr>
                  </w:pPr>
                  <w:r w:rsidRPr="00BA183C">
                    <w:rPr>
                      <w:b/>
                      <w:bCs/>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2A6758" w:rsidRPr="00BA183C" w:rsidP="00CC5190" w14:paraId="4C42CB9C" w14:textId="77777777">
                  <w:pPr>
                    <w:jc w:val="center"/>
                    <w:rPr>
                      <w:b/>
                      <w:bCs/>
                    </w:rPr>
                  </w:pPr>
                  <w:r w:rsidRPr="00BA183C">
                    <w:rPr>
                      <w:b/>
                      <w:bCs/>
                    </w:rPr>
                    <w:t>MFF proposal</w:t>
                  </w:r>
                </w:p>
              </w:tc>
              <w:tc>
                <w:tcPr>
                  <w:tcW w:w="2552" w:type="dxa"/>
                  <w:tcBorders>
                    <w:top w:val="single" w:sz="4" w:space="0" w:color="auto"/>
                    <w:left w:val="nil"/>
                    <w:bottom w:val="single" w:sz="4" w:space="0" w:color="auto"/>
                    <w:right w:val="single" w:sz="4" w:space="0" w:color="auto"/>
                  </w:tcBorders>
                  <w:vAlign w:val="center"/>
                  <w:hideMark/>
                </w:tcPr>
                <w:p w:rsidR="002A6758" w:rsidRPr="00BA183C" w:rsidP="00CC5190" w14:paraId="398A00B4" w14:textId="77777777">
                  <w:pPr>
                    <w:jc w:val="center"/>
                    <w:rPr>
                      <w:b/>
                      <w:bCs/>
                    </w:rPr>
                  </w:pPr>
                  <w:r w:rsidRPr="00BA183C">
                    <w:rPr>
                      <w:b/>
                      <w:bCs/>
                    </w:rPr>
                    <w:t>EP position (1,27% GNI, excluding NGEU repayment)</w:t>
                  </w:r>
                </w:p>
              </w:tc>
              <w:tc>
                <w:tcPr>
                  <w:tcW w:w="1701" w:type="dxa"/>
                  <w:tcBorders>
                    <w:top w:val="single" w:sz="4" w:space="0" w:color="auto"/>
                    <w:left w:val="nil"/>
                    <w:bottom w:val="single" w:sz="4" w:space="0" w:color="auto"/>
                    <w:right w:val="single" w:sz="4" w:space="0" w:color="auto"/>
                  </w:tcBorders>
                  <w:vAlign w:val="center"/>
                  <w:hideMark/>
                </w:tcPr>
                <w:p w:rsidR="002A6758" w:rsidRPr="00BA183C" w:rsidP="00CC5190" w14:paraId="7E49DBD8" w14:textId="77777777">
                  <w:pPr>
                    <w:jc w:val="center"/>
                    <w:rPr>
                      <w:b/>
                      <w:bCs/>
                    </w:rPr>
                  </w:pPr>
                  <w:r w:rsidRPr="00BA183C">
                    <w:rPr>
                      <w:b/>
                      <w:bCs/>
                    </w:rPr>
                    <w:t>Nominal change</w:t>
                  </w:r>
                </w:p>
              </w:tc>
            </w:tr>
            <w:tr w14:paraId="128F1258"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486486B3" w14:textId="77777777">
                  <w:pPr>
                    <w:rPr>
                      <w:b/>
                      <w:bCs/>
                    </w:rPr>
                  </w:pPr>
                  <w:r w:rsidRPr="00BA183C">
                    <w:rPr>
                      <w:b/>
                      <w:bCs/>
                    </w:rPr>
                    <w:t>Heading 2: Competitiveness, Prosperity, and Security</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A6758" w:rsidRPr="00BA183C" w:rsidP="00CC5190" w14:paraId="53905B04" w14:textId="77777777">
                  <w:pPr>
                    <w:jc w:val="right"/>
                    <w:rPr>
                      <w:b/>
                      <w:bCs/>
                    </w:rPr>
                  </w:pPr>
                  <w:r w:rsidRPr="00BA183C">
                    <w:rPr>
                      <w:b/>
                      <w:bCs/>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2A6758" w:rsidRPr="00BA183C" w:rsidP="00CC5190" w14:paraId="6400880F" w14:textId="77777777">
                  <w:pPr>
                    <w:jc w:val="right"/>
                    <w:rPr>
                      <w:b/>
                      <w:bCs/>
                    </w:rPr>
                  </w:pPr>
                  <w:r w:rsidRPr="00BA183C">
                    <w:rPr>
                      <w:b/>
                      <w:bCs/>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2A6758" w:rsidRPr="00BA183C" w:rsidP="00CC5190" w14:paraId="03709EF7" w14:textId="77777777">
                  <w:pPr>
                    <w:jc w:val="right"/>
                    <w:rPr>
                      <w:b/>
                      <w:bCs/>
                    </w:rPr>
                  </w:pPr>
                  <w:r w:rsidRPr="00BA183C">
                    <w:rPr>
                      <w:b/>
                      <w:bCs/>
                    </w:rPr>
                    <w:t>70,10</w:t>
                  </w:r>
                </w:p>
              </w:tc>
            </w:tr>
            <w:tr w14:paraId="7269E581" w14:textId="77777777" w:rsidTr="00CC5190">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2A6758" w:rsidRPr="00BA183C" w:rsidP="00CC5190" w14:paraId="15BF7EAE" w14:textId="77777777">
                  <w:r w:rsidRPr="00BA183C">
                    <w:t>European Competitiveness Fund</w:t>
                  </w:r>
                </w:p>
              </w:tc>
              <w:tc>
                <w:tcPr>
                  <w:tcW w:w="1984" w:type="dxa"/>
                  <w:tcBorders>
                    <w:top w:val="nil"/>
                    <w:left w:val="single" w:sz="4" w:space="0" w:color="auto"/>
                    <w:bottom w:val="nil"/>
                    <w:right w:val="single" w:sz="4" w:space="0" w:color="auto"/>
                  </w:tcBorders>
                  <w:noWrap/>
                  <w:vAlign w:val="bottom"/>
                  <w:hideMark/>
                </w:tcPr>
                <w:p w:rsidR="002A6758" w:rsidRPr="00BA183C" w:rsidP="00CC5190" w14:paraId="6E6BA257" w14:textId="77777777">
                  <w:pPr>
                    <w:jc w:val="right"/>
                  </w:pPr>
                  <w:r w:rsidRPr="00BA183C">
                    <w:t>234,30</w:t>
                  </w:r>
                </w:p>
              </w:tc>
              <w:tc>
                <w:tcPr>
                  <w:tcW w:w="2552" w:type="dxa"/>
                  <w:tcBorders>
                    <w:top w:val="nil"/>
                    <w:left w:val="nil"/>
                    <w:bottom w:val="nil"/>
                    <w:right w:val="single" w:sz="4" w:space="0" w:color="auto"/>
                  </w:tcBorders>
                  <w:noWrap/>
                  <w:vAlign w:val="bottom"/>
                  <w:hideMark/>
                </w:tcPr>
                <w:p w:rsidR="002A6758" w:rsidRPr="00BA183C" w:rsidP="00CC5190" w14:paraId="323FC83C" w14:textId="77777777">
                  <w:pPr>
                    <w:jc w:val="right"/>
                  </w:pPr>
                  <w:r w:rsidRPr="00BA183C">
                    <w:t>264,35</w:t>
                  </w:r>
                </w:p>
              </w:tc>
              <w:tc>
                <w:tcPr>
                  <w:tcW w:w="1701" w:type="dxa"/>
                  <w:tcBorders>
                    <w:top w:val="nil"/>
                    <w:left w:val="nil"/>
                    <w:bottom w:val="nil"/>
                    <w:right w:val="single" w:sz="4" w:space="0" w:color="auto"/>
                  </w:tcBorders>
                  <w:noWrap/>
                  <w:vAlign w:val="bottom"/>
                  <w:hideMark/>
                </w:tcPr>
                <w:p w:rsidR="002A6758" w:rsidRPr="00BA183C" w:rsidP="00CC5190" w14:paraId="53F17D89" w14:textId="77777777">
                  <w:pPr>
                    <w:jc w:val="right"/>
                  </w:pPr>
                  <w:r w:rsidRPr="00BA183C">
                    <w:t>30,05</w:t>
                  </w:r>
                </w:p>
              </w:tc>
            </w:tr>
            <w:tr w14:paraId="008CE04E" w14:textId="77777777" w:rsidTr="00CC5190">
              <w:tblPrEx>
                <w:tblW w:w="0" w:type="auto"/>
                <w:tblLook w:val="04A0"/>
              </w:tblPrEx>
              <w:trPr>
                <w:trHeight w:val="20"/>
              </w:trPr>
              <w:tc>
                <w:tcPr>
                  <w:tcW w:w="3193" w:type="dxa"/>
                  <w:tcBorders>
                    <w:top w:val="nil"/>
                    <w:left w:val="single" w:sz="4" w:space="0" w:color="auto"/>
                    <w:bottom w:val="nil"/>
                    <w:right w:val="nil"/>
                  </w:tcBorders>
                  <w:noWrap/>
                  <w:vAlign w:val="bottom"/>
                  <w:hideMark/>
                </w:tcPr>
                <w:p w:rsidR="002A6758" w:rsidRPr="00BA183C" w:rsidP="00CC5190" w14:paraId="639685EA" w14:textId="77777777">
                  <w:pPr>
                    <w:rPr>
                      <w:i/>
                      <w:iCs/>
                    </w:rPr>
                  </w:pPr>
                  <w:r w:rsidRPr="00BA183C">
                    <w:rPr>
                      <w:i/>
                      <w:iCs/>
                    </w:rPr>
                    <w:t>of which</w:t>
                  </w:r>
                </w:p>
              </w:tc>
              <w:tc>
                <w:tcPr>
                  <w:tcW w:w="5024" w:type="dxa"/>
                  <w:noWrap/>
                  <w:vAlign w:val="bottom"/>
                  <w:hideMark/>
                </w:tcPr>
                <w:p w:rsidR="002A6758" w:rsidRPr="00BA183C" w:rsidP="00CC5190" w14:paraId="209C4C2F" w14:textId="77777777">
                  <w:pPr>
                    <w:rPr>
                      <w:i/>
                      <w:iCs/>
                    </w:rPr>
                  </w:pPr>
                  <w:r w:rsidRPr="00BA183C">
                    <w:rPr>
                      <w:i/>
                      <w:iCs/>
                    </w:rPr>
                    <w:t>LIFE actions</w:t>
                  </w:r>
                </w:p>
              </w:tc>
              <w:tc>
                <w:tcPr>
                  <w:tcW w:w="1984" w:type="dxa"/>
                  <w:tcBorders>
                    <w:top w:val="nil"/>
                    <w:left w:val="single" w:sz="4" w:space="0" w:color="auto"/>
                    <w:bottom w:val="nil"/>
                    <w:right w:val="single" w:sz="4" w:space="0" w:color="auto"/>
                  </w:tcBorders>
                  <w:noWrap/>
                  <w:vAlign w:val="bottom"/>
                  <w:hideMark/>
                </w:tcPr>
                <w:p w:rsidR="002A6758" w:rsidRPr="00BA183C" w:rsidP="00CC5190" w14:paraId="27236950" w14:textId="77777777">
                  <w:pPr>
                    <w:jc w:val="right"/>
                    <w:rPr>
                      <w:i/>
                      <w:iCs/>
                    </w:rPr>
                  </w:pPr>
                  <w:r w:rsidRPr="00BA183C">
                    <w:rPr>
                      <w:i/>
                      <w:iCs/>
                    </w:rPr>
                    <w:t>0,00</w:t>
                  </w:r>
                </w:p>
              </w:tc>
              <w:tc>
                <w:tcPr>
                  <w:tcW w:w="2552" w:type="dxa"/>
                  <w:tcBorders>
                    <w:top w:val="nil"/>
                    <w:left w:val="nil"/>
                    <w:bottom w:val="nil"/>
                    <w:right w:val="single" w:sz="4" w:space="0" w:color="auto"/>
                  </w:tcBorders>
                  <w:noWrap/>
                  <w:vAlign w:val="bottom"/>
                  <w:hideMark/>
                </w:tcPr>
                <w:p w:rsidR="002A6758" w:rsidRPr="00BA183C" w:rsidP="00CC5190" w14:paraId="148BEB6C" w14:textId="77777777">
                  <w:pPr>
                    <w:jc w:val="right"/>
                    <w:rPr>
                      <w:i/>
                      <w:iCs/>
                    </w:rPr>
                  </w:pPr>
                  <w:r w:rsidRPr="00BA183C">
                    <w:rPr>
                      <w:i/>
                      <w:iCs/>
                    </w:rPr>
                    <w:t>3,39</w:t>
                  </w:r>
                </w:p>
              </w:tc>
              <w:tc>
                <w:tcPr>
                  <w:tcW w:w="1701" w:type="dxa"/>
                  <w:tcBorders>
                    <w:top w:val="nil"/>
                    <w:left w:val="nil"/>
                    <w:bottom w:val="nil"/>
                    <w:right w:val="single" w:sz="4" w:space="0" w:color="auto"/>
                  </w:tcBorders>
                  <w:noWrap/>
                  <w:vAlign w:val="bottom"/>
                  <w:hideMark/>
                </w:tcPr>
                <w:p w:rsidR="002A6758" w:rsidRPr="00BA183C" w:rsidP="00CC5190" w14:paraId="56D33B0A" w14:textId="77777777">
                  <w:pPr>
                    <w:jc w:val="right"/>
                    <w:rPr>
                      <w:i/>
                      <w:iCs/>
                    </w:rPr>
                  </w:pPr>
                  <w:r w:rsidRPr="00BA183C">
                    <w:rPr>
                      <w:i/>
                      <w:iCs/>
                    </w:rPr>
                    <w:t>3,39</w:t>
                  </w:r>
                </w:p>
              </w:tc>
            </w:tr>
            <w:tr w14:paraId="0BB48C35" w14:textId="77777777" w:rsidTr="00CC5190">
              <w:tblPrEx>
                <w:tblW w:w="0" w:type="auto"/>
                <w:tblLook w:val="04A0"/>
              </w:tblPrEx>
              <w:trPr>
                <w:trHeight w:val="20"/>
              </w:trPr>
              <w:tc>
                <w:tcPr>
                  <w:tcW w:w="3193" w:type="dxa"/>
                  <w:tcBorders>
                    <w:top w:val="nil"/>
                    <w:left w:val="single" w:sz="4" w:space="0" w:color="auto"/>
                    <w:bottom w:val="nil"/>
                    <w:right w:val="nil"/>
                  </w:tcBorders>
                  <w:noWrap/>
                  <w:vAlign w:val="bottom"/>
                  <w:hideMark/>
                </w:tcPr>
                <w:p w:rsidR="002A6758" w:rsidRPr="00BA183C" w:rsidP="00CC5190" w14:paraId="3785B281" w14:textId="77777777">
                  <w:pPr>
                    <w:rPr>
                      <w:i/>
                      <w:iCs/>
                    </w:rPr>
                  </w:pPr>
                  <w:r w:rsidRPr="00BA183C">
                    <w:rPr>
                      <w:i/>
                      <w:iCs/>
                    </w:rPr>
                    <w:t> </w:t>
                  </w:r>
                </w:p>
              </w:tc>
              <w:tc>
                <w:tcPr>
                  <w:tcW w:w="5024" w:type="dxa"/>
                  <w:noWrap/>
                  <w:vAlign w:val="bottom"/>
                  <w:hideMark/>
                </w:tcPr>
                <w:p w:rsidR="002A6758" w:rsidRPr="00BA183C" w:rsidP="00CC5190" w14:paraId="1F1DD21D" w14:textId="77777777">
                  <w:pPr>
                    <w:rPr>
                      <w:i/>
                      <w:iCs/>
                    </w:rPr>
                  </w:pPr>
                  <w:r w:rsidRPr="00BA183C">
                    <w:rPr>
                      <w:i/>
                      <w:iCs/>
                    </w:rPr>
                    <w:t>EU4Health actions</w:t>
                  </w:r>
                </w:p>
              </w:tc>
              <w:tc>
                <w:tcPr>
                  <w:tcW w:w="1984" w:type="dxa"/>
                  <w:tcBorders>
                    <w:top w:val="nil"/>
                    <w:left w:val="single" w:sz="4" w:space="0" w:color="auto"/>
                    <w:bottom w:val="nil"/>
                    <w:right w:val="single" w:sz="4" w:space="0" w:color="auto"/>
                  </w:tcBorders>
                  <w:noWrap/>
                  <w:vAlign w:val="bottom"/>
                  <w:hideMark/>
                </w:tcPr>
                <w:p w:rsidR="002A6758" w:rsidRPr="00BA183C" w:rsidP="00CC5190" w14:paraId="561259E8" w14:textId="77777777">
                  <w:pPr>
                    <w:jc w:val="right"/>
                    <w:rPr>
                      <w:i/>
                      <w:iCs/>
                    </w:rPr>
                  </w:pPr>
                  <w:r w:rsidRPr="00BA183C">
                    <w:rPr>
                      <w:i/>
                      <w:iCs/>
                    </w:rPr>
                    <w:t>0,00</w:t>
                  </w:r>
                </w:p>
              </w:tc>
              <w:tc>
                <w:tcPr>
                  <w:tcW w:w="2552" w:type="dxa"/>
                  <w:tcBorders>
                    <w:top w:val="nil"/>
                    <w:left w:val="nil"/>
                    <w:bottom w:val="nil"/>
                    <w:right w:val="single" w:sz="4" w:space="0" w:color="auto"/>
                  </w:tcBorders>
                  <w:noWrap/>
                  <w:vAlign w:val="bottom"/>
                  <w:hideMark/>
                </w:tcPr>
                <w:p w:rsidR="002A6758" w:rsidRPr="00BA183C" w:rsidP="00CC5190" w14:paraId="190FFC0A" w14:textId="77777777">
                  <w:pPr>
                    <w:jc w:val="right"/>
                    <w:rPr>
                      <w:i/>
                      <w:iCs/>
                    </w:rPr>
                  </w:pPr>
                  <w:r w:rsidRPr="00BA183C">
                    <w:rPr>
                      <w:i/>
                      <w:iCs/>
                    </w:rPr>
                    <w:t>10,05</w:t>
                  </w:r>
                </w:p>
              </w:tc>
              <w:tc>
                <w:tcPr>
                  <w:tcW w:w="1701" w:type="dxa"/>
                  <w:tcBorders>
                    <w:top w:val="nil"/>
                    <w:left w:val="nil"/>
                    <w:bottom w:val="nil"/>
                    <w:right w:val="single" w:sz="4" w:space="0" w:color="auto"/>
                  </w:tcBorders>
                  <w:noWrap/>
                  <w:vAlign w:val="bottom"/>
                  <w:hideMark/>
                </w:tcPr>
                <w:p w:rsidR="002A6758" w:rsidRPr="00BA183C" w:rsidP="00CC5190" w14:paraId="1544CE8C" w14:textId="77777777">
                  <w:pPr>
                    <w:jc w:val="right"/>
                    <w:rPr>
                      <w:i/>
                      <w:iCs/>
                    </w:rPr>
                  </w:pPr>
                  <w:r w:rsidRPr="00BA183C">
                    <w:rPr>
                      <w:i/>
                      <w:iCs/>
                    </w:rPr>
                    <w:t>10,05</w:t>
                  </w:r>
                </w:p>
              </w:tc>
            </w:tr>
            <w:tr w14:paraId="3F11F1AB"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28737B56" w14:textId="77777777">
                  <w:r w:rsidRPr="00BA183C">
                    <w:t>Horizon Europe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2A6758" w:rsidRPr="00BA183C" w:rsidP="00CC5190" w14:paraId="714F60EA" w14:textId="77777777">
                  <w:pPr>
                    <w:jc w:val="right"/>
                  </w:pPr>
                  <w:r w:rsidRPr="00BA183C">
                    <w:t>175,00</w:t>
                  </w:r>
                </w:p>
              </w:tc>
              <w:tc>
                <w:tcPr>
                  <w:tcW w:w="2552" w:type="dxa"/>
                  <w:tcBorders>
                    <w:top w:val="single" w:sz="4" w:space="0" w:color="auto"/>
                    <w:left w:val="nil"/>
                    <w:bottom w:val="single" w:sz="4" w:space="0" w:color="auto"/>
                    <w:right w:val="single" w:sz="4" w:space="0" w:color="auto"/>
                  </w:tcBorders>
                  <w:noWrap/>
                  <w:vAlign w:val="bottom"/>
                  <w:hideMark/>
                </w:tcPr>
                <w:p w:rsidR="002A6758" w:rsidRPr="00BA183C" w:rsidP="00CC5190" w14:paraId="0D45E693" w14:textId="77777777">
                  <w:pPr>
                    <w:jc w:val="right"/>
                  </w:pPr>
                  <w:r w:rsidRPr="00BA183C">
                    <w:t>200,00</w:t>
                  </w:r>
                </w:p>
              </w:tc>
              <w:tc>
                <w:tcPr>
                  <w:tcW w:w="1701" w:type="dxa"/>
                  <w:tcBorders>
                    <w:top w:val="single" w:sz="4" w:space="0" w:color="auto"/>
                    <w:left w:val="nil"/>
                    <w:bottom w:val="single" w:sz="4" w:space="0" w:color="auto"/>
                    <w:right w:val="single" w:sz="4" w:space="0" w:color="auto"/>
                  </w:tcBorders>
                  <w:noWrap/>
                  <w:vAlign w:val="bottom"/>
                  <w:hideMark/>
                </w:tcPr>
                <w:p w:rsidR="002A6758" w:rsidRPr="00BA183C" w:rsidP="00CC5190" w14:paraId="4DAB48BA" w14:textId="77777777">
                  <w:pPr>
                    <w:jc w:val="right"/>
                  </w:pPr>
                  <w:r w:rsidRPr="00BA183C">
                    <w:t>25,00</w:t>
                  </w:r>
                </w:p>
              </w:tc>
            </w:tr>
            <w:tr w14:paraId="1F7F75E9"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2E710EC1" w14:textId="77777777">
                  <w:r w:rsidRPr="00BA183C">
                    <w:t>EURATOM/ITER</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424FCF97" w14:textId="77777777">
                  <w:pPr>
                    <w:jc w:val="right"/>
                  </w:pPr>
                  <w:r w:rsidRPr="00BA183C">
                    <w:t>9,79</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0ADBA6A8" w14:textId="77777777">
                  <w:pPr>
                    <w:jc w:val="right"/>
                  </w:pPr>
                  <w:r w:rsidRPr="00BA183C">
                    <w:t>9,79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2795237F" w14:textId="77777777">
                  <w:pPr>
                    <w:jc w:val="right"/>
                  </w:pPr>
                  <w:r w:rsidRPr="00BA183C">
                    <w:t>0,00</w:t>
                  </w:r>
                </w:p>
              </w:tc>
            </w:tr>
            <w:tr w14:paraId="42144620"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77DB3D03" w14:textId="77777777">
                  <w:r w:rsidRPr="00BA183C">
                    <w:t>INSC-D (Instrument for Nuclear Safety Cooperation - Decommissioning)</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30C0A655" w14:textId="77777777">
                  <w:pPr>
                    <w:jc w:val="right"/>
                  </w:pPr>
                  <w:r w:rsidRPr="00BA183C">
                    <w:t>0,97</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69B9E9A9" w14:textId="77777777">
                  <w:pPr>
                    <w:jc w:val="right"/>
                  </w:pPr>
                  <w:r w:rsidRPr="00BA183C">
                    <w:t>0,97</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1C45EFFC" w14:textId="77777777">
                  <w:pPr>
                    <w:jc w:val="right"/>
                  </w:pPr>
                  <w:r w:rsidRPr="00BA183C">
                    <w:t>0,00</w:t>
                  </w:r>
                </w:p>
              </w:tc>
            </w:tr>
            <w:tr w14:paraId="11CF4D6D"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1ED32094" w14:textId="77777777">
                  <w:r w:rsidRPr="00BA183C">
                    <w:t>Ignalina Programme</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24959746" w14:textId="77777777">
                  <w:pPr>
                    <w:jc w:val="right"/>
                  </w:pPr>
                  <w:r w:rsidRPr="00BA183C">
                    <w:t>0,68</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19D9132D" w14:textId="77777777">
                  <w:pPr>
                    <w:jc w:val="right"/>
                  </w:pPr>
                  <w:r w:rsidRPr="00BA183C">
                    <w:t>0,68</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7C16869" w14:textId="77777777">
                  <w:pPr>
                    <w:jc w:val="right"/>
                  </w:pPr>
                  <w:r w:rsidRPr="00BA183C">
                    <w:t>0,00</w:t>
                  </w:r>
                </w:p>
              </w:tc>
            </w:tr>
            <w:tr w14:paraId="005B44FB"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8DA1ACC" w14:textId="77777777">
                  <w:r w:rsidRPr="00BA183C">
                    <w:t>CEF (Transport, Energy, Military Mobility)</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4242F9E6" w14:textId="77777777">
                  <w:pPr>
                    <w:jc w:val="right"/>
                  </w:pPr>
                  <w:r w:rsidRPr="00BA183C">
                    <w:t>81,43</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1E79B4B7" w14:textId="77777777">
                  <w:pPr>
                    <w:jc w:val="right"/>
                  </w:pPr>
                  <w:r w:rsidRPr="00BA183C">
                    <w:t>91,29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E1680E2" w14:textId="77777777">
                  <w:pPr>
                    <w:jc w:val="right"/>
                  </w:pPr>
                  <w:r w:rsidRPr="00BA183C">
                    <w:t>9,86</w:t>
                  </w:r>
                </w:p>
              </w:tc>
            </w:tr>
            <w:tr w14:paraId="50029FD8"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487213B8" w14:textId="77777777">
                  <w:r w:rsidRPr="00BA183C">
                    <w:t>Single Market and Customs Programme</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5B6B5F12" w14:textId="77777777">
                  <w:pPr>
                    <w:jc w:val="right"/>
                  </w:pPr>
                  <w:r w:rsidRPr="00BA183C">
                    <w:t>6,24</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412B2CFA" w14:textId="77777777">
                  <w:pPr>
                    <w:jc w:val="right"/>
                  </w:pPr>
                  <w:r w:rsidRPr="00BA183C">
                    <w:t>6,87</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0693AD4" w14:textId="77777777">
                  <w:pPr>
                    <w:jc w:val="right"/>
                  </w:pPr>
                  <w:r w:rsidRPr="00BA183C">
                    <w:t>0,63</w:t>
                  </w:r>
                </w:p>
              </w:tc>
            </w:tr>
            <w:tr w14:paraId="06E72FFE"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0FBB1097" w14:textId="77777777">
                  <w:r w:rsidRPr="00BA183C">
                    <w:t>Pericles (protection of the Euro)</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167832A5" w14:textId="77777777">
                  <w:pPr>
                    <w:jc w:val="right"/>
                  </w:pPr>
                  <w:r w:rsidRPr="00BA183C">
                    <w:t>0,01</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1C3BA9DA" w14:textId="77777777">
                  <w:pPr>
                    <w:jc w:val="right"/>
                  </w:pPr>
                  <w:r w:rsidRPr="00BA183C">
                    <w:t>0,01</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7EFD5BB" w14:textId="77777777">
                  <w:pPr>
                    <w:jc w:val="right"/>
                  </w:pPr>
                  <w:r w:rsidRPr="00BA183C">
                    <w:t>0,00</w:t>
                  </w:r>
                </w:p>
              </w:tc>
            </w:tr>
            <w:tr w14:paraId="76643327"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6E28DA91" w14:textId="77777777">
                  <w:r w:rsidRPr="00BA183C">
                    <w:t>Erasmus+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3055EED4" w14:textId="77777777">
                  <w:pPr>
                    <w:jc w:val="right"/>
                  </w:pPr>
                  <w:r w:rsidRPr="00BA183C">
                    <w:t>40,83</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6BB8021F" w14:textId="77777777">
                  <w:pPr>
                    <w:jc w:val="right"/>
                  </w:pPr>
                  <w:r w:rsidRPr="00BA183C">
                    <w:t>47,39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0D364791" w14:textId="77777777">
                  <w:pPr>
                    <w:jc w:val="right"/>
                  </w:pPr>
                  <w:r w:rsidRPr="00BA183C">
                    <w:t>6,56</w:t>
                  </w:r>
                </w:p>
              </w:tc>
            </w:tr>
            <w:tr w14:paraId="2689A3E5"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7D0B692F" w14:textId="77777777">
                  <w:r w:rsidRPr="00BA183C">
                    <w:t>AgoraEU</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39CF2064" w14:textId="77777777">
                  <w:pPr>
                    <w:jc w:val="right"/>
                  </w:pPr>
                  <w:r w:rsidRPr="00BA183C">
                    <w:t>8,58</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5A1A80F5" w14:textId="77777777">
                  <w:pPr>
                    <w:jc w:val="right"/>
                  </w:pPr>
                  <w:r w:rsidRPr="00BA183C">
                    <w:t>10,72</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45D20EAC" w14:textId="77777777">
                  <w:pPr>
                    <w:jc w:val="right"/>
                  </w:pPr>
                  <w:r w:rsidRPr="00BA183C">
                    <w:t>2,14</w:t>
                  </w:r>
                </w:p>
              </w:tc>
            </w:tr>
            <w:tr w14:paraId="19EA289B"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09613FA4" w14:textId="77777777">
                  <w:r w:rsidRPr="00BA183C">
                    <w:t>UCPM+ (EU Civil Protection Mechanism and health preparedness)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72D339F0" w14:textId="77777777">
                  <w:pPr>
                    <w:jc w:val="right"/>
                  </w:pPr>
                  <w:r w:rsidRPr="00BA183C">
                    <w:t>10,68</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2C629158" w14:textId="77777777">
                  <w:pPr>
                    <w:jc w:val="right"/>
                  </w:pPr>
                  <w:r w:rsidRPr="00BA183C">
                    <w:t>12,42</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5C6E98D6" w14:textId="77777777">
                  <w:pPr>
                    <w:jc w:val="right"/>
                  </w:pPr>
                  <w:r w:rsidRPr="00BA183C">
                    <w:t>1,74</w:t>
                  </w:r>
                </w:p>
              </w:tc>
            </w:tr>
            <w:tr w14:paraId="4449D4D4"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47247423" w14:textId="77777777">
                  <w:r w:rsidRPr="00BA183C">
                    <w:t>Justice</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5C883489" w14:textId="77777777">
                  <w:pPr>
                    <w:jc w:val="right"/>
                  </w:pPr>
                  <w:r w:rsidRPr="00BA183C">
                    <w:t>0,80</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70545318" w14:textId="77777777">
                  <w:pPr>
                    <w:jc w:val="right"/>
                  </w:pPr>
                  <w:r w:rsidRPr="00BA183C">
                    <w:t>0,89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6E04AC10" w14:textId="77777777">
                  <w:pPr>
                    <w:jc w:val="right"/>
                  </w:pPr>
                  <w:r w:rsidRPr="00BA183C">
                    <w:t>0,09</w:t>
                  </w:r>
                </w:p>
              </w:tc>
            </w:tr>
            <w:tr w14:paraId="3AC7FA8B"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F769BF6" w14:textId="77777777">
                  <w:r w:rsidRPr="00BA183C">
                    <w:t>Decentralised agencies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644A0920" w14:textId="77777777">
                  <w:pPr>
                    <w:jc w:val="right"/>
                  </w:pPr>
                  <w:r w:rsidRPr="00BA183C">
                    <w:t>9,80</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074D0BE3" w14:textId="77777777">
                  <w:pPr>
                    <w:jc w:val="right"/>
                  </w:pPr>
                  <w:r w:rsidRPr="00BA183C">
                    <w:t>9,80</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1CDAF39" w14:textId="77777777">
                  <w:pPr>
                    <w:jc w:val="right"/>
                  </w:pPr>
                  <w:r w:rsidRPr="00BA183C">
                    <w:t>0,00</w:t>
                  </w:r>
                </w:p>
              </w:tc>
            </w:tr>
            <w:tr w14:paraId="3F6965DF"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24E3825C" w14:textId="77777777">
                  <w:r w:rsidRPr="00BA183C">
                    <w:t>Other actions, prerogatives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470CD16C" w14:textId="77777777">
                  <w:pPr>
                    <w:jc w:val="right"/>
                  </w:pPr>
                  <w:r w:rsidRPr="00BA183C">
                    <w:t>2,49</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51CAF972" w14:textId="77777777">
                  <w:pPr>
                    <w:jc w:val="right"/>
                  </w:pPr>
                  <w:r w:rsidRPr="00BA183C">
                    <w:t>2,49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72D062C0" w14:textId="77777777">
                  <w:pPr>
                    <w:jc w:val="right"/>
                  </w:pPr>
                  <w:r w:rsidRPr="00BA183C">
                    <w:t>0,00</w:t>
                  </w:r>
                </w:p>
              </w:tc>
            </w:tr>
            <w:tr w14:paraId="05094E3F"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4975FB3F" w14:textId="77777777">
                  <w:r w:rsidRPr="00BA183C">
                    <w:t>Margins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4E34748E" w14:textId="77777777">
                  <w:pPr>
                    <w:jc w:val="right"/>
                  </w:pPr>
                  <w:r w:rsidRPr="00BA183C">
                    <w:t>8,01</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4D684F2A" w14:textId="77777777">
                  <w:pPr>
                    <w:jc w:val="right"/>
                  </w:pPr>
                  <w:r w:rsidRPr="00BA183C">
                    <w:t>2,03</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5B1E775" w14:textId="77777777">
                  <w:pPr>
                    <w:jc w:val="right"/>
                  </w:pPr>
                  <w:r w:rsidRPr="00BA183C">
                    <w:t>-5,98</w:t>
                  </w:r>
                </w:p>
              </w:tc>
            </w:tr>
            <w:tr w14:paraId="2A60525A"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510B7917" w14:textId="77777777">
                  <w:pPr>
                    <w:rPr>
                      <w:b/>
                      <w:bCs/>
                    </w:rPr>
                  </w:pPr>
                  <w:r w:rsidRPr="00BA183C">
                    <w:rPr>
                      <w:b/>
                      <w:bCs/>
                    </w:rPr>
                    <w:t>Heading 3: Global Europe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403135A8" w14:textId="77777777">
                  <w:pPr>
                    <w:jc w:val="right"/>
                    <w:rPr>
                      <w:b/>
                      <w:bCs/>
                    </w:rPr>
                  </w:pPr>
                  <w:r w:rsidRPr="00BA183C">
                    <w:rPr>
                      <w:b/>
                      <w:bCs/>
                    </w:rPr>
                    <w:t>215,20</w:t>
                  </w:r>
                </w:p>
              </w:tc>
              <w:tc>
                <w:tcPr>
                  <w:tcW w:w="2552" w:type="dxa"/>
                  <w:tcBorders>
                    <w:top w:val="nil"/>
                    <w:left w:val="nil"/>
                    <w:bottom w:val="single" w:sz="4" w:space="0" w:color="auto"/>
                    <w:right w:val="single" w:sz="4" w:space="0" w:color="auto"/>
                  </w:tcBorders>
                  <w:shd w:val="clear" w:color="auto" w:fill="F2F2F2"/>
                  <w:vAlign w:val="center"/>
                  <w:hideMark/>
                </w:tcPr>
                <w:p w:rsidR="002A6758" w:rsidRPr="00BA183C" w:rsidP="00CC5190" w14:paraId="3AE440C1" w14:textId="77777777">
                  <w:pPr>
                    <w:jc w:val="right"/>
                    <w:rPr>
                      <w:b/>
                      <w:bCs/>
                    </w:rPr>
                  </w:pPr>
                  <w:r w:rsidRPr="00BA183C">
                    <w:rPr>
                      <w:b/>
                      <w:bCs/>
                    </w:rPr>
                    <w:t>239,26</w:t>
                  </w:r>
                </w:p>
              </w:tc>
              <w:tc>
                <w:tcPr>
                  <w:tcW w:w="1701" w:type="dxa"/>
                  <w:tcBorders>
                    <w:top w:val="nil"/>
                    <w:left w:val="nil"/>
                    <w:bottom w:val="single" w:sz="4" w:space="0" w:color="auto"/>
                    <w:right w:val="single" w:sz="4" w:space="0" w:color="auto"/>
                  </w:tcBorders>
                  <w:shd w:val="clear" w:color="auto" w:fill="F2F2F2"/>
                  <w:vAlign w:val="center"/>
                  <w:hideMark/>
                </w:tcPr>
                <w:p w:rsidR="002A6758" w:rsidRPr="00BA183C" w:rsidP="00CC5190" w14:paraId="6194F3F8" w14:textId="77777777">
                  <w:pPr>
                    <w:jc w:val="right"/>
                    <w:rPr>
                      <w:b/>
                      <w:bCs/>
                    </w:rPr>
                  </w:pPr>
                  <w:r w:rsidRPr="00BA183C">
                    <w:rPr>
                      <w:b/>
                      <w:bCs/>
                    </w:rPr>
                    <w:t>24,06</w:t>
                  </w:r>
                </w:p>
              </w:tc>
            </w:tr>
            <w:tr w14:paraId="6C8997DF"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4C4417B1" w14:textId="77777777">
                  <w:r w:rsidRPr="00BA183C">
                    <w:t>Global Europe</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6B4DC8B3" w14:textId="77777777">
                  <w:pPr>
                    <w:jc w:val="right"/>
                  </w:pPr>
                  <w:r w:rsidRPr="00BA183C">
                    <w:t>200,31</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22196E58" w14:textId="77777777">
                  <w:pPr>
                    <w:jc w:val="right"/>
                  </w:pPr>
                  <w:r w:rsidRPr="00BA183C">
                    <w:t>225,00</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44AAEE6D" w14:textId="77777777">
                  <w:pPr>
                    <w:jc w:val="right"/>
                  </w:pPr>
                  <w:r w:rsidRPr="00BA183C">
                    <w:t>24,69</w:t>
                  </w:r>
                </w:p>
              </w:tc>
            </w:tr>
            <w:tr w14:paraId="11ADC9B9"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759442C4" w14:textId="77777777">
                  <w:r w:rsidRPr="00BA183C">
                    <w:t>Common Foreign and Security Policy</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53D243AD" w14:textId="77777777">
                  <w:pPr>
                    <w:jc w:val="right"/>
                  </w:pPr>
                  <w:r w:rsidRPr="00BA183C">
                    <w:t>3,37</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447B2208" w14:textId="77777777">
                  <w:pPr>
                    <w:jc w:val="right"/>
                  </w:pPr>
                  <w:r w:rsidRPr="00BA183C">
                    <w:t>3,76</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42D5731C" w14:textId="77777777">
                  <w:pPr>
                    <w:jc w:val="right"/>
                  </w:pPr>
                  <w:r w:rsidRPr="00BA183C">
                    <w:t>0,39</w:t>
                  </w:r>
                </w:p>
              </w:tc>
            </w:tr>
            <w:tr w14:paraId="7FC01A74"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3207BCC" w14:textId="77777777">
                  <w:r w:rsidRPr="00BA183C">
                    <w:t>Overseas countries and territories, including Greenland</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203A26CA" w14:textId="77777777">
                  <w:pPr>
                    <w:jc w:val="right"/>
                  </w:pPr>
                  <w:r w:rsidRPr="00BA183C">
                    <w:t>1,00</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71EED983" w14:textId="77777777">
                  <w:pPr>
                    <w:jc w:val="right"/>
                  </w:pPr>
                  <w:r w:rsidRPr="00BA183C">
                    <w:t>2,08</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731B7764" w14:textId="77777777">
                  <w:pPr>
                    <w:jc w:val="right"/>
                  </w:pPr>
                  <w:r w:rsidRPr="00BA183C">
                    <w:t>1,09</w:t>
                  </w:r>
                </w:p>
              </w:tc>
            </w:tr>
            <w:tr w14:paraId="60770949"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07C3E056" w14:textId="77777777">
                  <w:r w:rsidRPr="00BA183C">
                    <w:t>Sustainable Fisheries Partnership Agreements (SFPAS) And Regional Fisheries Management Organisations (RFMOS)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0081F107" w14:textId="77777777">
                  <w:pPr>
                    <w:jc w:val="right"/>
                  </w:pPr>
                  <w:r w:rsidRPr="00BA183C">
                    <w:t>1,33</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14084C59" w14:textId="77777777">
                  <w:pPr>
                    <w:jc w:val="right"/>
                  </w:pPr>
                  <w:r w:rsidRPr="00BA183C">
                    <w:t>1,69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1D65ABA8" w14:textId="77777777">
                  <w:pPr>
                    <w:jc w:val="right"/>
                  </w:pPr>
                  <w:r w:rsidRPr="00BA183C">
                    <w:t>0,36</w:t>
                  </w:r>
                </w:p>
              </w:tc>
            </w:tr>
            <w:tr w14:paraId="654D3BBF"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1AC0F05" w14:textId="77777777">
                  <w:r w:rsidRPr="00BA183C">
                    <w:t>Other actions, prerogatives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50C91EB6" w14:textId="77777777">
                  <w:pPr>
                    <w:jc w:val="right"/>
                  </w:pPr>
                  <w:r w:rsidRPr="00BA183C">
                    <w:t>1,12</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4EAC1B89" w14:textId="77777777">
                  <w:pPr>
                    <w:jc w:val="right"/>
                  </w:pPr>
                  <w:r w:rsidRPr="00BA183C">
                    <w:t>1,12</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3BA9346E" w14:textId="77777777">
                  <w:pPr>
                    <w:jc w:val="right"/>
                  </w:pPr>
                  <w:r w:rsidRPr="00BA183C">
                    <w:t>0,00</w:t>
                  </w:r>
                </w:p>
              </w:tc>
            </w:tr>
            <w:tr w14:paraId="0D05CF5C"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2A6758" w:rsidRPr="00BA183C" w:rsidP="00CC5190" w14:paraId="5EF9FBC8" w14:textId="77777777">
                  <w:r w:rsidRPr="00BA183C">
                    <w:t>Margins</w:t>
                  </w:r>
                </w:p>
              </w:tc>
              <w:tc>
                <w:tcPr>
                  <w:tcW w:w="1984" w:type="dxa"/>
                  <w:tcBorders>
                    <w:top w:val="nil"/>
                    <w:left w:val="single" w:sz="4" w:space="0" w:color="auto"/>
                    <w:bottom w:val="single" w:sz="4" w:space="0" w:color="auto"/>
                    <w:right w:val="single" w:sz="4" w:space="0" w:color="auto"/>
                  </w:tcBorders>
                  <w:noWrap/>
                  <w:vAlign w:val="bottom"/>
                  <w:hideMark/>
                </w:tcPr>
                <w:p w:rsidR="002A6758" w:rsidRPr="00BA183C" w:rsidP="00CC5190" w14:paraId="373D08FD" w14:textId="77777777">
                  <w:pPr>
                    <w:jc w:val="right"/>
                  </w:pPr>
                  <w:r w:rsidRPr="00BA183C">
                    <w:t>8,07</w:t>
                  </w:r>
                </w:p>
              </w:tc>
              <w:tc>
                <w:tcPr>
                  <w:tcW w:w="2552" w:type="dxa"/>
                  <w:tcBorders>
                    <w:top w:val="nil"/>
                    <w:left w:val="nil"/>
                    <w:bottom w:val="single" w:sz="4" w:space="0" w:color="auto"/>
                    <w:right w:val="single" w:sz="4" w:space="0" w:color="auto"/>
                  </w:tcBorders>
                  <w:noWrap/>
                  <w:vAlign w:val="bottom"/>
                  <w:hideMark/>
                </w:tcPr>
                <w:p w:rsidR="002A6758" w:rsidRPr="00BA183C" w:rsidP="00CC5190" w14:paraId="3B8EA9E0" w14:textId="77777777">
                  <w:pPr>
                    <w:jc w:val="right"/>
                  </w:pPr>
                  <w:r w:rsidRPr="00BA183C">
                    <w:t>5,59</w:t>
                  </w:r>
                </w:p>
              </w:tc>
              <w:tc>
                <w:tcPr>
                  <w:tcW w:w="1701" w:type="dxa"/>
                  <w:tcBorders>
                    <w:top w:val="nil"/>
                    <w:left w:val="nil"/>
                    <w:bottom w:val="single" w:sz="4" w:space="0" w:color="auto"/>
                    <w:right w:val="single" w:sz="4" w:space="0" w:color="auto"/>
                  </w:tcBorders>
                  <w:noWrap/>
                  <w:vAlign w:val="bottom"/>
                  <w:hideMark/>
                </w:tcPr>
                <w:p w:rsidR="002A6758" w:rsidRPr="00BA183C" w:rsidP="00CC5190" w14:paraId="6B17D9A7" w14:textId="77777777">
                  <w:pPr>
                    <w:jc w:val="right"/>
                  </w:pPr>
                  <w:r w:rsidRPr="00BA183C">
                    <w:t>-2,48</w:t>
                  </w:r>
                </w:p>
              </w:tc>
            </w:tr>
            <w:tr w14:paraId="0F1CA115" w14:textId="77777777" w:rsidTr="00CC5190">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32F0C148" w14:textId="77777777">
                  <w:pPr>
                    <w:rPr>
                      <w:b/>
                      <w:bCs/>
                    </w:rPr>
                  </w:pPr>
                  <w:r w:rsidRPr="00BA183C">
                    <w:rPr>
                      <w:b/>
                      <w:bCs/>
                    </w:rPr>
                    <w:t>Heading 4: Administration</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5933BE39" w14:textId="77777777">
                  <w:pPr>
                    <w:jc w:val="right"/>
                    <w:rPr>
                      <w:b/>
                      <w:bCs/>
                    </w:rPr>
                  </w:pPr>
                  <w:r w:rsidRPr="00BA183C">
                    <w:rPr>
                      <w:b/>
                      <w:bCs/>
                    </w:rPr>
                    <w:t>117,88</w:t>
                  </w:r>
                </w:p>
              </w:tc>
              <w:tc>
                <w:tcPr>
                  <w:tcW w:w="2552" w:type="dxa"/>
                  <w:tcBorders>
                    <w:top w:val="nil"/>
                    <w:left w:val="nil"/>
                    <w:bottom w:val="single" w:sz="4" w:space="0" w:color="auto"/>
                    <w:right w:val="single" w:sz="4" w:space="0" w:color="auto"/>
                  </w:tcBorders>
                  <w:shd w:val="clear" w:color="auto" w:fill="F2F2F2"/>
                  <w:vAlign w:val="center"/>
                  <w:hideMark/>
                </w:tcPr>
                <w:p w:rsidR="002A6758" w:rsidRPr="00BA183C" w:rsidP="00CC5190" w14:paraId="31156D18" w14:textId="77777777">
                  <w:pPr>
                    <w:jc w:val="right"/>
                    <w:rPr>
                      <w:b/>
                      <w:bCs/>
                    </w:rPr>
                  </w:pPr>
                  <w:r w:rsidRPr="00BA183C">
                    <w:rPr>
                      <w:b/>
                      <w:bCs/>
                    </w:rPr>
                    <w:t>117,88</w:t>
                  </w:r>
                </w:p>
              </w:tc>
              <w:tc>
                <w:tcPr>
                  <w:tcW w:w="1701" w:type="dxa"/>
                  <w:tcBorders>
                    <w:top w:val="nil"/>
                    <w:left w:val="nil"/>
                    <w:bottom w:val="single" w:sz="4" w:space="0" w:color="auto"/>
                    <w:right w:val="single" w:sz="4" w:space="0" w:color="auto"/>
                  </w:tcBorders>
                  <w:shd w:val="clear" w:color="auto" w:fill="F2F2F2"/>
                  <w:vAlign w:val="center"/>
                  <w:hideMark/>
                </w:tcPr>
                <w:p w:rsidR="002A6758" w:rsidRPr="00BA183C" w:rsidP="00CC5190" w14:paraId="1E070A23" w14:textId="77777777">
                  <w:pPr>
                    <w:jc w:val="right"/>
                    <w:rPr>
                      <w:b/>
                      <w:bCs/>
                    </w:rPr>
                  </w:pPr>
                  <w:r w:rsidRPr="00BA183C">
                    <w:rPr>
                      <w:b/>
                      <w:bCs/>
                    </w:rPr>
                    <w:t>0,00</w:t>
                  </w:r>
                </w:p>
              </w:tc>
            </w:tr>
          </w:tbl>
          <w:p w:rsidR="002A6758" w:rsidRPr="00BA183C" w:rsidP="00CC5190" w14:paraId="585C573A" w14:textId="77777777">
            <w:pPr>
              <w:rPr>
                <w:b/>
                <w:bCs/>
                <w:sz w:val="2"/>
                <w:szCs w:val="2"/>
                <w:u w:val="single"/>
              </w:rPr>
            </w:pPr>
          </w:p>
          <w:p w:rsidR="002A6758" w:rsidRPr="00BA183C" w:rsidP="00CC5190" w14:paraId="698B398A"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0A982A60"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2A6758" w:rsidRPr="0012486E" w:rsidP="00CC5190" w14:paraId="20F9B52C" w14:textId="77777777">
            <w:pPr>
              <w:rPr>
                <w:b/>
                <w:bCs/>
                <w:lang w:val="fr-BE"/>
              </w:rPr>
            </w:pPr>
            <w:r w:rsidRPr="0012486E">
              <w:rPr>
                <w:b/>
                <w:bCs/>
                <w:lang w:val="fr-BE"/>
              </w:rPr>
              <w:t>EUR billion - Commitment appropriations (2025 constant prices)</w:t>
            </w:r>
          </w:p>
          <w:p w:rsidR="002A6758" w:rsidRPr="0012486E" w:rsidP="00CC5190" w14:paraId="26A81647" w14:textId="77777777">
            <w:pPr>
              <w:rPr>
                <w:b/>
                <w:bCs/>
                <w:lang w:val="fr-BE"/>
              </w:rPr>
            </w:pPr>
            <w:r w:rsidRPr="0012486E">
              <w:rPr>
                <w:b/>
                <w:bCs/>
                <w:lang w:val="fr-BE"/>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2A6758" w:rsidRPr="00BA183C" w:rsidP="00CC5190" w14:paraId="196B6B9A" w14:textId="77777777">
            <w:pPr>
              <w:jc w:val="center"/>
              <w:rPr>
                <w:b/>
                <w:bCs/>
              </w:rPr>
            </w:pPr>
            <w:r w:rsidRPr="00BA183C">
              <w:rPr>
                <w:b/>
                <w:bCs/>
              </w:rPr>
              <w:t>MFF proposal</w:t>
            </w:r>
          </w:p>
        </w:tc>
        <w:tc>
          <w:tcPr>
            <w:tcW w:w="2549" w:type="dxa"/>
            <w:tcBorders>
              <w:top w:val="single" w:sz="4" w:space="0" w:color="auto"/>
              <w:left w:val="nil"/>
              <w:bottom w:val="single" w:sz="4" w:space="0" w:color="auto"/>
              <w:right w:val="single" w:sz="4" w:space="0" w:color="auto"/>
            </w:tcBorders>
            <w:vAlign w:val="center"/>
            <w:hideMark/>
          </w:tcPr>
          <w:p w:rsidR="002A6758" w:rsidRPr="00BA183C" w:rsidP="00CC5190" w14:paraId="490BA333" w14:textId="77777777">
            <w:pPr>
              <w:jc w:val="center"/>
              <w:rPr>
                <w:b/>
                <w:bCs/>
              </w:rPr>
            </w:pPr>
            <w:r w:rsidRPr="00BA183C">
              <w:rPr>
                <w:b/>
                <w:bCs/>
              </w:rPr>
              <w:t xml:space="preserve">EP position (1,27% </w:t>
            </w:r>
            <w:r w:rsidRPr="00BA183C">
              <w:rPr>
                <w:b/>
                <w:bCs/>
              </w:rPr>
              <w:t>GNI, excluding NGEU repayment)</w:t>
            </w:r>
          </w:p>
        </w:tc>
        <w:tc>
          <w:tcPr>
            <w:tcW w:w="1803" w:type="dxa"/>
            <w:tcBorders>
              <w:top w:val="single" w:sz="4" w:space="0" w:color="auto"/>
              <w:left w:val="nil"/>
              <w:bottom w:val="single" w:sz="4" w:space="0" w:color="auto"/>
              <w:right w:val="single" w:sz="4" w:space="0" w:color="auto"/>
            </w:tcBorders>
            <w:vAlign w:val="center"/>
            <w:hideMark/>
          </w:tcPr>
          <w:p w:rsidR="002A6758" w:rsidRPr="00BA183C" w:rsidP="00CC5190" w14:paraId="5E80B477" w14:textId="77777777">
            <w:pPr>
              <w:jc w:val="center"/>
              <w:rPr>
                <w:b/>
                <w:bCs/>
              </w:rPr>
            </w:pPr>
            <w:r w:rsidRPr="00BA183C">
              <w:rPr>
                <w:b/>
                <w:bCs/>
              </w:rPr>
              <w:t xml:space="preserve">Nominal </w:t>
            </w:r>
            <w:r w:rsidRPr="00BA183C">
              <w:rPr>
                <w:b/>
                <w:bCs/>
              </w:rPr>
              <w:t>change</w:t>
            </w:r>
          </w:p>
        </w:tc>
      </w:tr>
      <w:tr w14:paraId="56A0FC84"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2A6758" w:rsidRPr="00BA183C" w:rsidP="00CC5190" w14:paraId="0A9E62FF" w14:textId="77777777">
            <w:pPr>
              <w:rPr>
                <w:b/>
                <w:bCs/>
              </w:rPr>
            </w:pPr>
            <w:r w:rsidRPr="00BA183C">
              <w:rPr>
                <w:b/>
                <w:bCs/>
              </w:rPr>
              <w:t>Multiannual Financial Framework</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2A6758" w:rsidRPr="00BA183C" w:rsidP="00CC5190" w14:paraId="79487400" w14:textId="77777777">
            <w:pPr>
              <w:jc w:val="right"/>
              <w:rPr>
                <w:b/>
                <w:bCs/>
              </w:rPr>
            </w:pPr>
            <w:r w:rsidRPr="00BA183C">
              <w:rPr>
                <w:b/>
                <w:bCs/>
              </w:rPr>
              <w:t>1613,75</w:t>
            </w:r>
          </w:p>
        </w:tc>
        <w:tc>
          <w:tcPr>
            <w:tcW w:w="2549" w:type="dxa"/>
            <w:tcBorders>
              <w:top w:val="nil"/>
              <w:left w:val="nil"/>
              <w:bottom w:val="single" w:sz="4" w:space="0" w:color="auto"/>
              <w:right w:val="single" w:sz="4" w:space="0" w:color="auto"/>
            </w:tcBorders>
            <w:shd w:val="clear" w:color="auto" w:fill="D9D9D9"/>
            <w:vAlign w:val="center"/>
            <w:hideMark/>
          </w:tcPr>
          <w:p w:rsidR="002A6758" w:rsidRPr="00BA183C" w:rsidP="00CC5190" w14:paraId="6B971A02" w14:textId="77777777">
            <w:pPr>
              <w:jc w:val="right"/>
              <w:rPr>
                <w:b/>
                <w:bCs/>
              </w:rPr>
            </w:pPr>
            <w:r w:rsidRPr="00BA183C">
              <w:rPr>
                <w:b/>
                <w:bCs/>
              </w:rPr>
              <w:t>1788,86</w:t>
            </w:r>
          </w:p>
        </w:tc>
        <w:tc>
          <w:tcPr>
            <w:tcW w:w="1803" w:type="dxa"/>
            <w:tcBorders>
              <w:top w:val="nil"/>
              <w:left w:val="nil"/>
              <w:bottom w:val="single" w:sz="4" w:space="0" w:color="auto"/>
              <w:right w:val="single" w:sz="4" w:space="0" w:color="auto"/>
            </w:tcBorders>
            <w:shd w:val="clear" w:color="auto" w:fill="D9D9D9"/>
            <w:vAlign w:val="center"/>
            <w:hideMark/>
          </w:tcPr>
          <w:p w:rsidR="002A6758" w:rsidRPr="00BA183C" w:rsidP="00CC5190" w14:paraId="1ECDC23A" w14:textId="77777777">
            <w:pPr>
              <w:jc w:val="right"/>
              <w:rPr>
                <w:b/>
                <w:bCs/>
              </w:rPr>
            </w:pPr>
            <w:r w:rsidRPr="00BA183C">
              <w:rPr>
                <w:b/>
                <w:bCs/>
              </w:rPr>
              <w:t>175,11</w:t>
            </w:r>
          </w:p>
        </w:tc>
      </w:tr>
      <w:tr w14:paraId="10EFC116"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79043ECC" w14:textId="77777777">
            <w:pPr>
              <w:rPr>
                <w:b/>
                <w:bCs/>
              </w:rPr>
            </w:pPr>
            <w:r w:rsidRPr="00BA183C">
              <w:rPr>
                <w:b/>
                <w:bCs/>
              </w:rPr>
              <w:t xml:space="preserve">Heading 1: Europe's Social model and quality of life, excluding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32EA1910" w14:textId="77777777">
            <w:pPr>
              <w:jc w:val="right"/>
            </w:pPr>
            <w:r w:rsidRPr="00BA183C">
              <w:t>797,08</w:t>
            </w:r>
          </w:p>
        </w:tc>
        <w:tc>
          <w:tcPr>
            <w:tcW w:w="2549" w:type="dxa"/>
            <w:tcBorders>
              <w:top w:val="nil"/>
              <w:left w:val="nil"/>
              <w:bottom w:val="single" w:sz="4" w:space="0" w:color="auto"/>
              <w:right w:val="single" w:sz="4" w:space="0" w:color="auto"/>
            </w:tcBorders>
            <w:shd w:val="clear" w:color="auto" w:fill="F2F2F2"/>
            <w:vAlign w:val="center"/>
            <w:hideMark/>
          </w:tcPr>
          <w:p w:rsidR="002A6758" w:rsidRPr="00BA183C" w:rsidP="00CC5190" w14:paraId="59D04584" w14:textId="77777777">
            <w:pPr>
              <w:jc w:val="right"/>
            </w:pPr>
            <w:r w:rsidRPr="00BA183C">
              <w:t>888,86</w:t>
            </w:r>
          </w:p>
        </w:tc>
        <w:tc>
          <w:tcPr>
            <w:tcW w:w="1803" w:type="dxa"/>
            <w:tcBorders>
              <w:top w:val="nil"/>
              <w:left w:val="nil"/>
              <w:bottom w:val="single" w:sz="4" w:space="0" w:color="auto"/>
              <w:right w:val="single" w:sz="4" w:space="0" w:color="auto"/>
            </w:tcBorders>
            <w:shd w:val="clear" w:color="auto" w:fill="F2F2F2"/>
            <w:vAlign w:val="center"/>
            <w:hideMark/>
          </w:tcPr>
          <w:p w:rsidR="002A6758" w:rsidRPr="00BA183C" w:rsidP="00CC5190" w14:paraId="2607B677" w14:textId="77777777">
            <w:pPr>
              <w:jc w:val="right"/>
            </w:pPr>
            <w:r w:rsidRPr="00BA183C">
              <w:t>91,78</w:t>
            </w:r>
          </w:p>
        </w:tc>
      </w:tr>
      <w:tr w14:paraId="5A4835A3"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2A6758" w:rsidRPr="00BA183C" w:rsidP="00CC5190" w14:paraId="58CF11E7" w14:textId="77777777">
            <w:r w:rsidRPr="00BA183C">
              <w:t>European Fund for economic, social and territorial cohesion, agriculture and rural, fisheries and maritime, prosperity and security</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1AEEAB81" w14:textId="77777777">
            <w:pPr>
              <w:jc w:val="right"/>
            </w:pPr>
            <w:r w:rsidRPr="00BA183C">
              <w:t>771,29</w:t>
            </w:r>
          </w:p>
        </w:tc>
        <w:tc>
          <w:tcPr>
            <w:tcW w:w="2549" w:type="dxa"/>
            <w:tcBorders>
              <w:top w:val="nil"/>
              <w:left w:val="nil"/>
              <w:bottom w:val="nil"/>
              <w:right w:val="single" w:sz="4" w:space="0" w:color="auto"/>
            </w:tcBorders>
            <w:noWrap/>
            <w:vAlign w:val="bottom"/>
            <w:hideMark/>
          </w:tcPr>
          <w:p w:rsidR="002A6758" w:rsidRPr="00BA183C" w:rsidP="00CC5190" w14:paraId="51362C82" w14:textId="77777777">
            <w:pPr>
              <w:jc w:val="right"/>
            </w:pPr>
            <w:r w:rsidRPr="00BA183C">
              <w:t>867,19</w:t>
            </w:r>
          </w:p>
        </w:tc>
        <w:tc>
          <w:tcPr>
            <w:tcW w:w="1803" w:type="dxa"/>
            <w:tcBorders>
              <w:top w:val="nil"/>
              <w:left w:val="nil"/>
              <w:bottom w:val="nil"/>
              <w:right w:val="single" w:sz="4" w:space="0" w:color="auto"/>
            </w:tcBorders>
            <w:noWrap/>
            <w:vAlign w:val="bottom"/>
            <w:hideMark/>
          </w:tcPr>
          <w:p w:rsidR="002A6758" w:rsidRPr="00BA183C" w:rsidP="00CC5190" w14:paraId="26565D5B" w14:textId="77777777">
            <w:pPr>
              <w:jc w:val="right"/>
            </w:pPr>
            <w:r w:rsidRPr="00BA183C">
              <w:t>95,90</w:t>
            </w:r>
          </w:p>
        </w:tc>
      </w:tr>
      <w:tr w14:paraId="0F3EDC3D"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1F3E964B" w14:textId="77777777">
            <w:pPr>
              <w:rPr>
                <w:i/>
                <w:iCs/>
              </w:rPr>
            </w:pPr>
            <w:r w:rsidRPr="00BA183C">
              <w:rPr>
                <w:i/>
                <w:iCs/>
              </w:rPr>
              <w:t>CAP</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3F187A30" w14:textId="77777777">
            <w:pPr>
              <w:jc w:val="right"/>
              <w:rPr>
                <w:i/>
                <w:iCs/>
              </w:rPr>
            </w:pPr>
            <w:r w:rsidRPr="00BA183C">
              <w:rPr>
                <w:i/>
                <w:iCs/>
              </w:rPr>
              <w:t>261,01</w:t>
            </w:r>
          </w:p>
        </w:tc>
        <w:tc>
          <w:tcPr>
            <w:tcW w:w="2549" w:type="dxa"/>
            <w:tcBorders>
              <w:top w:val="nil"/>
              <w:left w:val="nil"/>
              <w:bottom w:val="nil"/>
              <w:right w:val="single" w:sz="4" w:space="0" w:color="auto"/>
            </w:tcBorders>
            <w:noWrap/>
            <w:vAlign w:val="bottom"/>
            <w:hideMark/>
          </w:tcPr>
          <w:p w:rsidR="002A6758" w:rsidRPr="00BA183C" w:rsidP="00CC5190" w14:paraId="29144D18" w14:textId="77777777">
            <w:pPr>
              <w:jc w:val="right"/>
              <w:rPr>
                <w:i/>
                <w:iCs/>
              </w:rPr>
            </w:pPr>
            <w:r w:rsidRPr="00BA183C">
              <w:rPr>
                <w:i/>
                <w:iCs/>
              </w:rPr>
              <w:t>385,12</w:t>
            </w:r>
          </w:p>
        </w:tc>
        <w:tc>
          <w:tcPr>
            <w:tcW w:w="1803" w:type="dxa"/>
            <w:tcBorders>
              <w:top w:val="nil"/>
              <w:left w:val="nil"/>
              <w:bottom w:val="nil"/>
              <w:right w:val="single" w:sz="4" w:space="0" w:color="auto"/>
            </w:tcBorders>
            <w:noWrap/>
            <w:vAlign w:val="bottom"/>
            <w:hideMark/>
          </w:tcPr>
          <w:p w:rsidR="002A6758" w:rsidRPr="00BA183C" w:rsidP="00CC5190" w14:paraId="0ADE5A67" w14:textId="77777777">
            <w:pPr>
              <w:jc w:val="right"/>
              <w:rPr>
                <w:i/>
                <w:iCs/>
              </w:rPr>
            </w:pPr>
            <w:r w:rsidRPr="00BA183C">
              <w:rPr>
                <w:i/>
                <w:iCs/>
              </w:rPr>
              <w:t>124,11</w:t>
            </w:r>
          </w:p>
        </w:tc>
      </w:tr>
      <w:tr w14:paraId="6E26C205"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7993DA30" w14:textId="77777777">
            <w:pPr>
              <w:rPr>
                <w:i/>
                <w:iCs/>
              </w:rPr>
            </w:pPr>
            <w:r w:rsidRPr="00BA183C">
              <w:rPr>
                <w:i/>
                <w:iCs/>
              </w:rPr>
              <w:t xml:space="preserve">of which </w:t>
            </w:r>
          </w:p>
        </w:tc>
        <w:tc>
          <w:tcPr>
            <w:tcW w:w="6039" w:type="dxa"/>
            <w:gridSpan w:val="2"/>
            <w:noWrap/>
            <w:vAlign w:val="bottom"/>
            <w:hideMark/>
          </w:tcPr>
          <w:p w:rsidR="002A6758" w:rsidRPr="00BA183C" w:rsidP="00CC5190" w14:paraId="38264EF6" w14:textId="77777777">
            <w:pPr>
              <w:rPr>
                <w:i/>
                <w:iCs/>
              </w:rPr>
            </w:pPr>
            <w:r w:rsidRPr="00BA183C">
              <w:rPr>
                <w:i/>
                <w:iCs/>
              </w:rPr>
              <w:t>Income support</w:t>
            </w:r>
          </w:p>
        </w:tc>
        <w:tc>
          <w:tcPr>
            <w:tcW w:w="1887" w:type="dxa"/>
            <w:tcBorders>
              <w:top w:val="nil"/>
              <w:left w:val="single" w:sz="4" w:space="0" w:color="auto"/>
              <w:bottom w:val="nil"/>
              <w:right w:val="single" w:sz="4" w:space="0" w:color="auto"/>
            </w:tcBorders>
            <w:noWrap/>
            <w:vAlign w:val="center"/>
            <w:hideMark/>
          </w:tcPr>
          <w:p w:rsidR="002A6758" w:rsidRPr="00BA183C" w:rsidP="00CC5190" w14:paraId="30B00005" w14:textId="77777777">
            <w:pPr>
              <w:jc w:val="right"/>
              <w:rPr>
                <w:i/>
                <w:iCs/>
              </w:rPr>
            </w:pPr>
            <w:r w:rsidRPr="00BA183C">
              <w:rPr>
                <w:i/>
                <w:iCs/>
              </w:rPr>
              <w:t>261,01</w:t>
            </w:r>
          </w:p>
        </w:tc>
        <w:tc>
          <w:tcPr>
            <w:tcW w:w="2549" w:type="dxa"/>
            <w:tcBorders>
              <w:top w:val="nil"/>
              <w:left w:val="nil"/>
              <w:bottom w:val="nil"/>
              <w:right w:val="single" w:sz="4" w:space="0" w:color="auto"/>
            </w:tcBorders>
            <w:noWrap/>
            <w:vAlign w:val="center"/>
            <w:hideMark/>
          </w:tcPr>
          <w:p w:rsidR="002A6758" w:rsidRPr="00BA183C" w:rsidP="00CC5190" w14:paraId="6AFD92AF" w14:textId="77777777">
            <w:pPr>
              <w:jc w:val="right"/>
              <w:rPr>
                <w:i/>
                <w:iCs/>
              </w:rPr>
            </w:pPr>
            <w:r w:rsidRPr="00BA183C">
              <w:rPr>
                <w:i/>
                <w:iCs/>
              </w:rPr>
              <w:t>284,65</w:t>
            </w:r>
          </w:p>
        </w:tc>
        <w:tc>
          <w:tcPr>
            <w:tcW w:w="1803" w:type="dxa"/>
            <w:tcBorders>
              <w:top w:val="nil"/>
              <w:left w:val="nil"/>
              <w:bottom w:val="nil"/>
              <w:right w:val="single" w:sz="4" w:space="0" w:color="auto"/>
            </w:tcBorders>
            <w:noWrap/>
            <w:vAlign w:val="bottom"/>
            <w:hideMark/>
          </w:tcPr>
          <w:p w:rsidR="002A6758" w:rsidRPr="00BA183C" w:rsidP="00CC5190" w14:paraId="1CF13FBC" w14:textId="77777777">
            <w:pPr>
              <w:jc w:val="right"/>
              <w:rPr>
                <w:i/>
                <w:iCs/>
              </w:rPr>
            </w:pPr>
            <w:r w:rsidRPr="00BA183C">
              <w:rPr>
                <w:i/>
                <w:iCs/>
              </w:rPr>
              <w:t>23,64</w:t>
            </w:r>
          </w:p>
        </w:tc>
      </w:tr>
      <w:tr w14:paraId="15EE4BE9"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5FEE38E5" w14:textId="77777777">
            <w:pPr>
              <w:rPr>
                <w:i/>
                <w:iCs/>
              </w:rPr>
            </w:pPr>
            <w:r w:rsidRPr="00BA183C">
              <w:rPr>
                <w:i/>
                <w:iCs/>
              </w:rPr>
              <w:t> </w:t>
            </w:r>
          </w:p>
        </w:tc>
        <w:tc>
          <w:tcPr>
            <w:tcW w:w="6039" w:type="dxa"/>
            <w:gridSpan w:val="2"/>
            <w:noWrap/>
            <w:vAlign w:val="bottom"/>
            <w:hideMark/>
          </w:tcPr>
          <w:p w:rsidR="002A6758" w:rsidRPr="00BA183C" w:rsidP="00CC5190" w14:paraId="5109856D" w14:textId="77777777">
            <w:pPr>
              <w:rPr>
                <w:i/>
                <w:iCs/>
              </w:rPr>
            </w:pPr>
            <w:r w:rsidRPr="00BA183C">
              <w:rPr>
                <w:i/>
                <w:iCs/>
              </w:rPr>
              <w:t>Rural areas</w:t>
            </w:r>
          </w:p>
        </w:tc>
        <w:tc>
          <w:tcPr>
            <w:tcW w:w="1887" w:type="dxa"/>
            <w:tcBorders>
              <w:top w:val="nil"/>
              <w:left w:val="single" w:sz="4" w:space="0" w:color="auto"/>
              <w:bottom w:val="nil"/>
              <w:right w:val="single" w:sz="4" w:space="0" w:color="auto"/>
            </w:tcBorders>
            <w:noWrap/>
            <w:vAlign w:val="center"/>
            <w:hideMark/>
          </w:tcPr>
          <w:p w:rsidR="002A6758" w:rsidRPr="00BA183C" w:rsidP="00CC5190" w14:paraId="75509770" w14:textId="77777777">
            <w:pPr>
              <w:jc w:val="right"/>
              <w:rPr>
                <w:i/>
                <w:iCs/>
              </w:rPr>
            </w:pPr>
            <w:r w:rsidRPr="00BA183C">
              <w:rPr>
                <w:i/>
                <w:iCs/>
              </w:rPr>
              <w:t>0,00</w:t>
            </w:r>
          </w:p>
        </w:tc>
        <w:tc>
          <w:tcPr>
            <w:tcW w:w="2549" w:type="dxa"/>
            <w:tcBorders>
              <w:top w:val="nil"/>
              <w:left w:val="nil"/>
              <w:bottom w:val="nil"/>
              <w:right w:val="single" w:sz="4" w:space="0" w:color="auto"/>
            </w:tcBorders>
            <w:noWrap/>
            <w:vAlign w:val="center"/>
            <w:hideMark/>
          </w:tcPr>
          <w:p w:rsidR="002A6758" w:rsidRPr="00BA183C" w:rsidP="00CC5190" w14:paraId="2FCE92A8" w14:textId="77777777">
            <w:pPr>
              <w:jc w:val="right"/>
              <w:rPr>
                <w:i/>
                <w:iCs/>
              </w:rPr>
            </w:pPr>
            <w:r w:rsidRPr="00BA183C">
              <w:rPr>
                <w:i/>
                <w:iCs/>
              </w:rPr>
              <w:t>94,88</w:t>
            </w:r>
          </w:p>
        </w:tc>
        <w:tc>
          <w:tcPr>
            <w:tcW w:w="1803" w:type="dxa"/>
            <w:tcBorders>
              <w:top w:val="nil"/>
              <w:left w:val="nil"/>
              <w:bottom w:val="nil"/>
              <w:right w:val="single" w:sz="4" w:space="0" w:color="auto"/>
            </w:tcBorders>
            <w:noWrap/>
            <w:vAlign w:val="bottom"/>
            <w:hideMark/>
          </w:tcPr>
          <w:p w:rsidR="002A6758" w:rsidRPr="00BA183C" w:rsidP="00CC5190" w14:paraId="22DD1152" w14:textId="77777777">
            <w:pPr>
              <w:jc w:val="right"/>
              <w:rPr>
                <w:i/>
                <w:iCs/>
              </w:rPr>
            </w:pPr>
            <w:r w:rsidRPr="00BA183C">
              <w:rPr>
                <w:i/>
                <w:iCs/>
              </w:rPr>
              <w:t>94,88</w:t>
            </w:r>
          </w:p>
        </w:tc>
      </w:tr>
      <w:tr w14:paraId="5DBE0EA4"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71E2EA4E" w14:textId="77777777">
            <w:pPr>
              <w:rPr>
                <w:i/>
                <w:iCs/>
              </w:rPr>
            </w:pPr>
            <w:r w:rsidRPr="00BA183C">
              <w:rPr>
                <w:i/>
                <w:iCs/>
              </w:rPr>
              <w:t> </w:t>
            </w:r>
          </w:p>
        </w:tc>
        <w:tc>
          <w:tcPr>
            <w:tcW w:w="6039" w:type="dxa"/>
            <w:gridSpan w:val="2"/>
            <w:noWrap/>
            <w:vAlign w:val="bottom"/>
            <w:hideMark/>
          </w:tcPr>
          <w:p w:rsidR="002A6758" w:rsidRPr="00BA183C" w:rsidP="00CC5190" w14:paraId="2943A92D" w14:textId="77777777">
            <w:pPr>
              <w:rPr>
                <w:i/>
                <w:iCs/>
              </w:rPr>
            </w:pPr>
            <w:r w:rsidRPr="00BA183C">
              <w:rPr>
                <w:i/>
                <w:iCs/>
              </w:rPr>
              <w:t>Unity safety net*</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23BDDA1F" w14:textId="77777777">
            <w:pPr>
              <w:jc w:val="right"/>
              <w:rPr>
                <w:i/>
                <w:iCs/>
              </w:rPr>
            </w:pPr>
            <w:r w:rsidRPr="00BA183C">
              <w:rPr>
                <w:i/>
                <w:iCs/>
              </w:rPr>
              <w:t>5,60</w:t>
            </w:r>
          </w:p>
        </w:tc>
        <w:tc>
          <w:tcPr>
            <w:tcW w:w="2549" w:type="dxa"/>
            <w:tcBorders>
              <w:top w:val="nil"/>
              <w:left w:val="nil"/>
              <w:bottom w:val="nil"/>
              <w:right w:val="single" w:sz="4" w:space="0" w:color="auto"/>
            </w:tcBorders>
            <w:noWrap/>
            <w:vAlign w:val="bottom"/>
            <w:hideMark/>
          </w:tcPr>
          <w:p w:rsidR="002A6758" w:rsidRPr="00BA183C" w:rsidP="00CC5190" w14:paraId="4565A8A2" w14:textId="77777777">
            <w:pPr>
              <w:jc w:val="right"/>
              <w:rPr>
                <w:i/>
                <w:iCs/>
              </w:rPr>
            </w:pPr>
            <w:r w:rsidRPr="00BA183C">
              <w:rPr>
                <w:i/>
                <w:iCs/>
              </w:rPr>
              <w:t>5,60</w:t>
            </w:r>
          </w:p>
        </w:tc>
        <w:tc>
          <w:tcPr>
            <w:tcW w:w="1803" w:type="dxa"/>
            <w:tcBorders>
              <w:top w:val="nil"/>
              <w:left w:val="nil"/>
              <w:bottom w:val="nil"/>
              <w:right w:val="single" w:sz="4" w:space="0" w:color="auto"/>
            </w:tcBorders>
            <w:noWrap/>
            <w:vAlign w:val="bottom"/>
            <w:hideMark/>
          </w:tcPr>
          <w:p w:rsidR="002A6758" w:rsidRPr="00BA183C" w:rsidP="00CC5190" w14:paraId="680332BB" w14:textId="77777777">
            <w:pPr>
              <w:jc w:val="right"/>
              <w:rPr>
                <w:i/>
                <w:iCs/>
              </w:rPr>
            </w:pPr>
            <w:r w:rsidRPr="00BA183C">
              <w:rPr>
                <w:i/>
                <w:iCs/>
              </w:rPr>
              <w:t>0,00</w:t>
            </w:r>
          </w:p>
        </w:tc>
      </w:tr>
      <w:tr w14:paraId="0203663B"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5F449A32" w14:textId="77777777">
            <w:pPr>
              <w:rPr>
                <w:i/>
                <w:iCs/>
              </w:rPr>
            </w:pPr>
            <w:r w:rsidRPr="00BA183C">
              <w:rPr>
                <w:i/>
                <w:iCs/>
              </w:rPr>
              <w:t>POSEI (to be put under CAP)</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65DC4A3A" w14:textId="77777777">
            <w:pPr>
              <w:jc w:val="right"/>
              <w:rPr>
                <w:i/>
                <w:iCs/>
              </w:rPr>
            </w:pPr>
            <w:r w:rsidRPr="00BA183C">
              <w:rPr>
                <w:i/>
                <w:iCs/>
              </w:rPr>
              <w:t>0,00</w:t>
            </w:r>
          </w:p>
        </w:tc>
        <w:tc>
          <w:tcPr>
            <w:tcW w:w="2549" w:type="dxa"/>
            <w:tcBorders>
              <w:top w:val="nil"/>
              <w:left w:val="nil"/>
              <w:bottom w:val="nil"/>
              <w:right w:val="single" w:sz="4" w:space="0" w:color="auto"/>
            </w:tcBorders>
            <w:noWrap/>
            <w:vAlign w:val="bottom"/>
            <w:hideMark/>
          </w:tcPr>
          <w:p w:rsidR="002A6758" w:rsidRPr="00BA183C" w:rsidP="00CC5190" w14:paraId="4F1879A6" w14:textId="77777777">
            <w:pPr>
              <w:jc w:val="right"/>
              <w:rPr>
                <w:i/>
                <w:iCs/>
              </w:rPr>
            </w:pPr>
            <w:r w:rsidRPr="00BA183C">
              <w:rPr>
                <w:i/>
                <w:iCs/>
              </w:rPr>
              <w:t>6,50</w:t>
            </w:r>
          </w:p>
        </w:tc>
        <w:tc>
          <w:tcPr>
            <w:tcW w:w="1803" w:type="dxa"/>
            <w:tcBorders>
              <w:top w:val="nil"/>
              <w:left w:val="nil"/>
              <w:bottom w:val="nil"/>
              <w:right w:val="single" w:sz="4" w:space="0" w:color="auto"/>
            </w:tcBorders>
            <w:noWrap/>
            <w:vAlign w:val="bottom"/>
            <w:hideMark/>
          </w:tcPr>
          <w:p w:rsidR="002A6758" w:rsidRPr="00BA183C" w:rsidP="00CC5190" w14:paraId="78FFA254" w14:textId="77777777">
            <w:pPr>
              <w:jc w:val="right"/>
              <w:rPr>
                <w:i/>
                <w:iCs/>
              </w:rPr>
            </w:pPr>
            <w:r w:rsidRPr="00BA183C">
              <w:rPr>
                <w:i/>
                <w:iCs/>
              </w:rPr>
              <w:t>6,50</w:t>
            </w:r>
          </w:p>
        </w:tc>
      </w:tr>
      <w:tr w14:paraId="4387AC40"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5775A6B2" w14:textId="77777777">
            <w:pPr>
              <w:rPr>
                <w:i/>
                <w:iCs/>
              </w:rPr>
            </w:pPr>
            <w:r w:rsidRPr="00BA183C">
              <w:rPr>
                <w:i/>
                <w:iCs/>
              </w:rPr>
              <w:t>Fisheries</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5788DC86" w14:textId="77777777">
            <w:pPr>
              <w:jc w:val="right"/>
              <w:rPr>
                <w:i/>
                <w:iCs/>
              </w:rPr>
            </w:pPr>
            <w:r w:rsidRPr="00BA183C">
              <w:rPr>
                <w:i/>
                <w:iCs/>
              </w:rPr>
              <w:t>1,77</w:t>
            </w:r>
          </w:p>
        </w:tc>
        <w:tc>
          <w:tcPr>
            <w:tcW w:w="2549" w:type="dxa"/>
            <w:tcBorders>
              <w:top w:val="nil"/>
              <w:left w:val="nil"/>
              <w:bottom w:val="nil"/>
              <w:right w:val="single" w:sz="4" w:space="0" w:color="auto"/>
            </w:tcBorders>
            <w:noWrap/>
            <w:vAlign w:val="bottom"/>
            <w:hideMark/>
          </w:tcPr>
          <w:p w:rsidR="002A6758" w:rsidRPr="00BA183C" w:rsidP="00CC5190" w14:paraId="3880D3B3" w14:textId="77777777">
            <w:pPr>
              <w:jc w:val="right"/>
              <w:rPr>
                <w:i/>
                <w:iCs/>
              </w:rPr>
            </w:pPr>
            <w:r w:rsidRPr="00BA183C">
              <w:rPr>
                <w:i/>
                <w:iCs/>
              </w:rPr>
              <w:t>6,50</w:t>
            </w:r>
          </w:p>
        </w:tc>
        <w:tc>
          <w:tcPr>
            <w:tcW w:w="1803" w:type="dxa"/>
            <w:tcBorders>
              <w:top w:val="nil"/>
              <w:left w:val="nil"/>
              <w:bottom w:val="nil"/>
              <w:right w:val="single" w:sz="4" w:space="0" w:color="auto"/>
            </w:tcBorders>
            <w:noWrap/>
            <w:vAlign w:val="bottom"/>
            <w:hideMark/>
          </w:tcPr>
          <w:p w:rsidR="002A6758" w:rsidRPr="00BA183C" w:rsidP="00CC5190" w14:paraId="41465DC2" w14:textId="77777777">
            <w:pPr>
              <w:jc w:val="right"/>
              <w:rPr>
                <w:i/>
                <w:iCs/>
              </w:rPr>
            </w:pPr>
            <w:r w:rsidRPr="00BA183C">
              <w:rPr>
                <w:i/>
                <w:iCs/>
              </w:rPr>
              <w:t>4,73</w:t>
            </w:r>
          </w:p>
        </w:tc>
      </w:tr>
      <w:tr w14:paraId="20DEAD51"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2A6758" w:rsidRPr="00BA183C" w:rsidP="00CC5190" w14:paraId="46E7E5BF" w14:textId="77777777">
            <w:pPr>
              <w:rPr>
                <w:i/>
                <w:iCs/>
              </w:rPr>
            </w:pPr>
            <w:r w:rsidRPr="00BA183C">
              <w:rPr>
                <w:i/>
                <w:iCs/>
              </w:rPr>
              <w:t>European Fund for Regional Development, including for European Territorial Cooperation (Interreg) and the Cohesion Fund</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4965A9B3" w14:textId="77777777">
            <w:pPr>
              <w:jc w:val="right"/>
              <w:rPr>
                <w:i/>
                <w:iCs/>
              </w:rPr>
            </w:pPr>
            <w:r w:rsidRPr="00BA183C">
              <w:rPr>
                <w:i/>
                <w:iCs/>
              </w:rPr>
              <w:t>203,72</w:t>
            </w:r>
          </w:p>
        </w:tc>
        <w:tc>
          <w:tcPr>
            <w:tcW w:w="2549" w:type="dxa"/>
            <w:tcBorders>
              <w:top w:val="nil"/>
              <w:left w:val="nil"/>
              <w:bottom w:val="nil"/>
              <w:right w:val="single" w:sz="4" w:space="0" w:color="auto"/>
            </w:tcBorders>
            <w:noWrap/>
            <w:vAlign w:val="bottom"/>
            <w:hideMark/>
          </w:tcPr>
          <w:p w:rsidR="002A6758" w:rsidRPr="00BA183C" w:rsidP="00CC5190" w14:paraId="5C2C25A5" w14:textId="77777777">
            <w:pPr>
              <w:jc w:val="right"/>
              <w:rPr>
                <w:i/>
                <w:iCs/>
              </w:rPr>
            </w:pPr>
            <w:r w:rsidRPr="00BA183C">
              <w:rPr>
                <w:i/>
                <w:iCs/>
              </w:rPr>
              <w:t>274,34</w:t>
            </w:r>
          </w:p>
        </w:tc>
        <w:tc>
          <w:tcPr>
            <w:tcW w:w="1803" w:type="dxa"/>
            <w:tcBorders>
              <w:top w:val="nil"/>
              <w:left w:val="nil"/>
              <w:bottom w:val="nil"/>
              <w:right w:val="single" w:sz="4" w:space="0" w:color="auto"/>
            </w:tcBorders>
            <w:noWrap/>
            <w:vAlign w:val="bottom"/>
            <w:hideMark/>
          </w:tcPr>
          <w:p w:rsidR="002A6758" w:rsidRPr="00BA183C" w:rsidP="00CC5190" w14:paraId="24AD212E" w14:textId="77777777">
            <w:pPr>
              <w:jc w:val="right"/>
              <w:rPr>
                <w:i/>
                <w:iCs/>
              </w:rPr>
            </w:pPr>
            <w:r w:rsidRPr="00BA183C">
              <w:rPr>
                <w:i/>
                <w:iCs/>
              </w:rPr>
              <w:t>70,62</w:t>
            </w:r>
          </w:p>
        </w:tc>
      </w:tr>
      <w:tr w14:paraId="295D1F74"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19ABBA78" w14:textId="77777777">
            <w:pPr>
              <w:rPr>
                <w:i/>
                <w:iCs/>
              </w:rPr>
            </w:pPr>
            <w:r w:rsidRPr="00BA183C">
              <w:rPr>
                <w:i/>
                <w:iCs/>
              </w:rPr>
              <w:t>of which</w:t>
            </w:r>
          </w:p>
        </w:tc>
        <w:tc>
          <w:tcPr>
            <w:tcW w:w="6039" w:type="dxa"/>
            <w:gridSpan w:val="2"/>
            <w:noWrap/>
            <w:vAlign w:val="bottom"/>
            <w:hideMark/>
          </w:tcPr>
          <w:p w:rsidR="002A6758" w:rsidRPr="00BA183C" w:rsidP="00CC5190" w14:paraId="6C1D505A" w14:textId="77777777">
            <w:pPr>
              <w:rPr>
                <w:i/>
                <w:iCs/>
              </w:rPr>
            </w:pPr>
            <w:r w:rsidRPr="00BA183C">
              <w:rPr>
                <w:i/>
                <w:iCs/>
              </w:rPr>
              <w:t>ERDF</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3BA086D4" w14:textId="77777777">
            <w:pPr>
              <w:jc w:val="right"/>
              <w:rPr>
                <w:i/>
                <w:iCs/>
              </w:rPr>
            </w:pPr>
            <w:r w:rsidRPr="00BA183C">
              <w:rPr>
                <w:i/>
                <w:iCs/>
              </w:rPr>
              <w:t>163,71</w:t>
            </w:r>
          </w:p>
        </w:tc>
        <w:tc>
          <w:tcPr>
            <w:tcW w:w="2549" w:type="dxa"/>
            <w:tcBorders>
              <w:top w:val="nil"/>
              <w:left w:val="nil"/>
              <w:bottom w:val="nil"/>
              <w:right w:val="single" w:sz="4" w:space="0" w:color="auto"/>
            </w:tcBorders>
            <w:noWrap/>
            <w:vAlign w:val="bottom"/>
            <w:hideMark/>
          </w:tcPr>
          <w:p w:rsidR="002A6758" w:rsidRPr="00BA183C" w:rsidP="00CC5190" w14:paraId="18614FDB" w14:textId="77777777">
            <w:pPr>
              <w:jc w:val="right"/>
              <w:rPr>
                <w:i/>
                <w:iCs/>
              </w:rPr>
            </w:pPr>
            <w:r w:rsidRPr="00BA183C">
              <w:rPr>
                <w:i/>
                <w:iCs/>
              </w:rPr>
              <w:t>222,00</w:t>
            </w:r>
          </w:p>
        </w:tc>
        <w:tc>
          <w:tcPr>
            <w:tcW w:w="1803" w:type="dxa"/>
            <w:tcBorders>
              <w:top w:val="nil"/>
              <w:left w:val="nil"/>
              <w:bottom w:val="nil"/>
              <w:right w:val="single" w:sz="4" w:space="0" w:color="auto"/>
            </w:tcBorders>
            <w:noWrap/>
            <w:vAlign w:val="bottom"/>
            <w:hideMark/>
          </w:tcPr>
          <w:p w:rsidR="002A6758" w:rsidRPr="00BA183C" w:rsidP="00CC5190" w14:paraId="68413A0E" w14:textId="77777777">
            <w:pPr>
              <w:jc w:val="right"/>
              <w:rPr>
                <w:i/>
                <w:iCs/>
              </w:rPr>
            </w:pPr>
            <w:r w:rsidRPr="00BA183C">
              <w:rPr>
                <w:i/>
                <w:iCs/>
              </w:rPr>
              <w:t>58,29</w:t>
            </w:r>
          </w:p>
        </w:tc>
      </w:tr>
      <w:tr w14:paraId="6B081A45"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748C5BFC" w14:textId="77777777">
            <w:pPr>
              <w:rPr>
                <w:i/>
                <w:iCs/>
              </w:rPr>
            </w:pPr>
            <w:r w:rsidRPr="00BA183C">
              <w:rPr>
                <w:i/>
                <w:iCs/>
              </w:rPr>
              <w:t> </w:t>
            </w:r>
          </w:p>
        </w:tc>
        <w:tc>
          <w:tcPr>
            <w:tcW w:w="6039" w:type="dxa"/>
            <w:gridSpan w:val="2"/>
            <w:noWrap/>
            <w:vAlign w:val="bottom"/>
            <w:hideMark/>
          </w:tcPr>
          <w:p w:rsidR="002A6758" w:rsidRPr="00BA183C" w:rsidP="00CC5190" w14:paraId="47B1D140" w14:textId="77777777">
            <w:pPr>
              <w:rPr>
                <w:i/>
                <w:iCs/>
              </w:rPr>
            </w:pPr>
            <w:r w:rsidRPr="00BA183C">
              <w:rPr>
                <w:i/>
                <w:iCs/>
              </w:rPr>
              <w:t>CF</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0BB56416" w14:textId="77777777">
            <w:pPr>
              <w:jc w:val="right"/>
              <w:rPr>
                <w:i/>
                <w:iCs/>
              </w:rPr>
            </w:pPr>
            <w:r w:rsidRPr="00BA183C">
              <w:rPr>
                <w:i/>
                <w:iCs/>
              </w:rPr>
              <w:t>30,97</w:t>
            </w:r>
          </w:p>
        </w:tc>
        <w:tc>
          <w:tcPr>
            <w:tcW w:w="2549" w:type="dxa"/>
            <w:tcBorders>
              <w:top w:val="nil"/>
              <w:left w:val="nil"/>
              <w:bottom w:val="nil"/>
              <w:right w:val="single" w:sz="4" w:space="0" w:color="auto"/>
            </w:tcBorders>
            <w:noWrap/>
            <w:vAlign w:val="bottom"/>
            <w:hideMark/>
          </w:tcPr>
          <w:p w:rsidR="002A6758" w:rsidRPr="00BA183C" w:rsidP="00CC5190" w14:paraId="48CD5FAE" w14:textId="77777777">
            <w:pPr>
              <w:jc w:val="right"/>
              <w:rPr>
                <w:i/>
                <w:iCs/>
              </w:rPr>
            </w:pPr>
            <w:r w:rsidRPr="00BA183C">
              <w:rPr>
                <w:i/>
                <w:iCs/>
              </w:rPr>
              <w:t>42,00</w:t>
            </w:r>
          </w:p>
        </w:tc>
        <w:tc>
          <w:tcPr>
            <w:tcW w:w="1803" w:type="dxa"/>
            <w:tcBorders>
              <w:top w:val="nil"/>
              <w:left w:val="nil"/>
              <w:bottom w:val="nil"/>
              <w:right w:val="single" w:sz="4" w:space="0" w:color="auto"/>
            </w:tcBorders>
            <w:noWrap/>
            <w:vAlign w:val="bottom"/>
            <w:hideMark/>
          </w:tcPr>
          <w:p w:rsidR="002A6758" w:rsidRPr="00BA183C" w:rsidP="00CC5190" w14:paraId="09DC7F30" w14:textId="77777777">
            <w:pPr>
              <w:jc w:val="right"/>
              <w:rPr>
                <w:i/>
                <w:iCs/>
              </w:rPr>
            </w:pPr>
            <w:r w:rsidRPr="00BA183C">
              <w:rPr>
                <w:i/>
                <w:iCs/>
              </w:rPr>
              <w:t>11,03</w:t>
            </w:r>
          </w:p>
        </w:tc>
      </w:tr>
      <w:tr w14:paraId="0C18AB50" w14:textId="77777777" w:rsidTr="00CC5190">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2A6758" w:rsidRPr="00BA183C" w:rsidP="00CC5190" w14:paraId="30E4ADFF" w14:textId="77777777">
            <w:pPr>
              <w:rPr>
                <w:i/>
                <w:iCs/>
              </w:rPr>
            </w:pPr>
            <w:r w:rsidRPr="00BA183C">
              <w:rPr>
                <w:i/>
                <w:iCs/>
              </w:rPr>
              <w:t> </w:t>
            </w:r>
          </w:p>
        </w:tc>
        <w:tc>
          <w:tcPr>
            <w:tcW w:w="6039" w:type="dxa"/>
            <w:gridSpan w:val="2"/>
            <w:noWrap/>
            <w:vAlign w:val="bottom"/>
            <w:hideMark/>
          </w:tcPr>
          <w:p w:rsidR="002A6758" w:rsidRPr="00BA183C" w:rsidP="00CC5190" w14:paraId="4FF3DCE3" w14:textId="77777777">
            <w:pPr>
              <w:rPr>
                <w:i/>
                <w:iCs/>
              </w:rPr>
            </w:pPr>
            <w:r w:rsidRPr="00BA183C">
              <w:rPr>
                <w:i/>
                <w:iCs/>
              </w:rPr>
              <w:t>Interreg</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596DD4B8" w14:textId="77777777">
            <w:pPr>
              <w:jc w:val="right"/>
              <w:rPr>
                <w:i/>
                <w:iCs/>
              </w:rPr>
            </w:pPr>
            <w:r w:rsidRPr="00BA183C">
              <w:rPr>
                <w:i/>
                <w:iCs/>
              </w:rPr>
              <w:t>9,04</w:t>
            </w:r>
          </w:p>
        </w:tc>
        <w:tc>
          <w:tcPr>
            <w:tcW w:w="2549" w:type="dxa"/>
            <w:tcBorders>
              <w:top w:val="nil"/>
              <w:left w:val="nil"/>
              <w:bottom w:val="nil"/>
              <w:right w:val="single" w:sz="4" w:space="0" w:color="auto"/>
            </w:tcBorders>
            <w:noWrap/>
            <w:vAlign w:val="bottom"/>
            <w:hideMark/>
          </w:tcPr>
          <w:p w:rsidR="002A6758" w:rsidRPr="00BA183C" w:rsidP="00CC5190" w14:paraId="65867208" w14:textId="77777777">
            <w:pPr>
              <w:jc w:val="right"/>
              <w:rPr>
                <w:i/>
                <w:iCs/>
              </w:rPr>
            </w:pPr>
            <w:r w:rsidRPr="00BA183C">
              <w:rPr>
                <w:i/>
                <w:iCs/>
              </w:rPr>
              <w:t>10,34</w:t>
            </w:r>
          </w:p>
        </w:tc>
        <w:tc>
          <w:tcPr>
            <w:tcW w:w="1803" w:type="dxa"/>
            <w:tcBorders>
              <w:top w:val="nil"/>
              <w:left w:val="nil"/>
              <w:bottom w:val="nil"/>
              <w:right w:val="single" w:sz="4" w:space="0" w:color="auto"/>
            </w:tcBorders>
            <w:noWrap/>
            <w:vAlign w:val="bottom"/>
            <w:hideMark/>
          </w:tcPr>
          <w:p w:rsidR="002A6758" w:rsidRPr="00BA183C" w:rsidP="00CC5190" w14:paraId="71D178EA" w14:textId="77777777">
            <w:pPr>
              <w:jc w:val="right"/>
              <w:rPr>
                <w:i/>
                <w:iCs/>
              </w:rPr>
            </w:pPr>
            <w:r w:rsidRPr="00BA183C">
              <w:rPr>
                <w:i/>
                <w:iCs/>
              </w:rPr>
              <w:t>1,30</w:t>
            </w:r>
          </w:p>
        </w:tc>
      </w:tr>
      <w:tr w14:paraId="56F86CBF"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2970CABF" w14:textId="77777777">
            <w:pPr>
              <w:rPr>
                <w:i/>
                <w:iCs/>
              </w:rPr>
            </w:pPr>
            <w:r w:rsidRPr="00BA183C">
              <w:rPr>
                <w:i/>
                <w:iCs/>
              </w:rPr>
              <w:t>European Social Fund</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671EBB14" w14:textId="77777777">
            <w:pPr>
              <w:jc w:val="right"/>
              <w:rPr>
                <w:i/>
                <w:iCs/>
              </w:rPr>
            </w:pPr>
            <w:r w:rsidRPr="00BA183C">
              <w:rPr>
                <w:i/>
                <w:iCs/>
              </w:rPr>
              <w:t>0,00</w:t>
            </w:r>
          </w:p>
        </w:tc>
        <w:tc>
          <w:tcPr>
            <w:tcW w:w="2549" w:type="dxa"/>
            <w:tcBorders>
              <w:top w:val="nil"/>
              <w:left w:val="nil"/>
              <w:bottom w:val="nil"/>
              <w:right w:val="single" w:sz="4" w:space="0" w:color="auto"/>
            </w:tcBorders>
            <w:noWrap/>
            <w:vAlign w:val="bottom"/>
            <w:hideMark/>
          </w:tcPr>
          <w:p w:rsidR="002A6758" w:rsidRPr="00BA183C" w:rsidP="00CC5190" w14:paraId="20FBE93A" w14:textId="77777777">
            <w:pPr>
              <w:jc w:val="right"/>
              <w:rPr>
                <w:i/>
                <w:iCs/>
              </w:rPr>
            </w:pPr>
            <w:r w:rsidRPr="00BA183C">
              <w:rPr>
                <w:i/>
                <w:iCs/>
              </w:rPr>
              <w:t>110,73</w:t>
            </w:r>
          </w:p>
        </w:tc>
        <w:tc>
          <w:tcPr>
            <w:tcW w:w="1803" w:type="dxa"/>
            <w:tcBorders>
              <w:top w:val="nil"/>
              <w:left w:val="nil"/>
              <w:bottom w:val="nil"/>
              <w:right w:val="single" w:sz="4" w:space="0" w:color="auto"/>
            </w:tcBorders>
            <w:noWrap/>
            <w:vAlign w:val="bottom"/>
            <w:hideMark/>
          </w:tcPr>
          <w:p w:rsidR="002A6758" w:rsidRPr="00BA183C" w:rsidP="00CC5190" w14:paraId="7B2F0C51" w14:textId="77777777">
            <w:pPr>
              <w:jc w:val="right"/>
              <w:rPr>
                <w:i/>
                <w:iCs/>
              </w:rPr>
            </w:pPr>
            <w:r w:rsidRPr="00BA183C">
              <w:rPr>
                <w:i/>
                <w:iCs/>
              </w:rPr>
              <w:t>110,73</w:t>
            </w:r>
          </w:p>
        </w:tc>
      </w:tr>
      <w:tr w14:paraId="41895400"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1370B5D4" w14:textId="77777777">
            <w:pPr>
              <w:rPr>
                <w:i/>
                <w:iCs/>
              </w:rPr>
            </w:pPr>
            <w:r w:rsidRPr="00BA183C">
              <w:rPr>
                <w:i/>
                <w:iCs/>
              </w:rPr>
              <w:t>Migration - Asylum, migration and integration**</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65FC42B5" w14:textId="77777777">
            <w:pPr>
              <w:jc w:val="right"/>
              <w:rPr>
                <w:i/>
                <w:iCs/>
              </w:rPr>
            </w:pPr>
            <w:r w:rsidRPr="00BA183C">
              <w:rPr>
                <w:i/>
                <w:iCs/>
              </w:rPr>
              <w:t>10,70</w:t>
            </w:r>
          </w:p>
        </w:tc>
        <w:tc>
          <w:tcPr>
            <w:tcW w:w="2549" w:type="dxa"/>
            <w:tcBorders>
              <w:top w:val="nil"/>
              <w:left w:val="nil"/>
              <w:bottom w:val="nil"/>
              <w:right w:val="single" w:sz="4" w:space="0" w:color="auto"/>
            </w:tcBorders>
            <w:noWrap/>
            <w:vAlign w:val="bottom"/>
            <w:hideMark/>
          </w:tcPr>
          <w:p w:rsidR="002A6758" w:rsidRPr="00BA183C" w:rsidP="00CC5190" w14:paraId="1997F88A" w14:textId="77777777">
            <w:pPr>
              <w:jc w:val="right"/>
              <w:rPr>
                <w:i/>
                <w:iCs/>
              </w:rPr>
            </w:pPr>
            <w:r w:rsidRPr="00BA183C">
              <w:rPr>
                <w:i/>
                <w:iCs/>
              </w:rPr>
              <w:t>11,90</w:t>
            </w:r>
          </w:p>
        </w:tc>
        <w:tc>
          <w:tcPr>
            <w:tcW w:w="1803" w:type="dxa"/>
            <w:tcBorders>
              <w:top w:val="nil"/>
              <w:left w:val="nil"/>
              <w:bottom w:val="nil"/>
              <w:right w:val="single" w:sz="4" w:space="0" w:color="auto"/>
            </w:tcBorders>
            <w:noWrap/>
            <w:vAlign w:val="bottom"/>
            <w:hideMark/>
          </w:tcPr>
          <w:p w:rsidR="002A6758" w:rsidRPr="00BA183C" w:rsidP="00CC5190" w14:paraId="7626975A" w14:textId="77777777">
            <w:pPr>
              <w:jc w:val="right"/>
              <w:rPr>
                <w:i/>
                <w:iCs/>
              </w:rPr>
            </w:pPr>
            <w:r w:rsidRPr="00BA183C">
              <w:rPr>
                <w:i/>
                <w:iCs/>
              </w:rPr>
              <w:t>1,20</w:t>
            </w:r>
          </w:p>
        </w:tc>
      </w:tr>
      <w:tr w14:paraId="5C3E7D2B"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4C686B07" w14:textId="77777777">
            <w:pPr>
              <w:rPr>
                <w:i/>
                <w:iCs/>
              </w:rPr>
            </w:pPr>
            <w:r w:rsidRPr="00BA183C">
              <w:rPr>
                <w:i/>
                <w:iCs/>
              </w:rPr>
              <w:t>Migration - Border management and common policy on visas**</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5CDEBC04" w14:textId="77777777">
            <w:pPr>
              <w:jc w:val="right"/>
              <w:rPr>
                <w:i/>
                <w:iCs/>
              </w:rPr>
            </w:pPr>
            <w:r w:rsidRPr="00BA183C">
              <w:rPr>
                <w:i/>
                <w:iCs/>
              </w:rPr>
              <w:t>13,76</w:t>
            </w:r>
          </w:p>
        </w:tc>
        <w:tc>
          <w:tcPr>
            <w:tcW w:w="2549" w:type="dxa"/>
            <w:tcBorders>
              <w:top w:val="nil"/>
              <w:left w:val="nil"/>
              <w:bottom w:val="nil"/>
              <w:right w:val="single" w:sz="4" w:space="0" w:color="auto"/>
            </w:tcBorders>
            <w:noWrap/>
            <w:vAlign w:val="bottom"/>
            <w:hideMark/>
          </w:tcPr>
          <w:p w:rsidR="002A6758" w:rsidRPr="00BA183C" w:rsidP="00CC5190" w14:paraId="67DFC270" w14:textId="77777777">
            <w:pPr>
              <w:jc w:val="right"/>
              <w:rPr>
                <w:i/>
                <w:iCs/>
              </w:rPr>
            </w:pPr>
            <w:r w:rsidRPr="00BA183C">
              <w:rPr>
                <w:i/>
                <w:iCs/>
              </w:rPr>
              <w:t>15,30</w:t>
            </w:r>
          </w:p>
        </w:tc>
        <w:tc>
          <w:tcPr>
            <w:tcW w:w="1803" w:type="dxa"/>
            <w:tcBorders>
              <w:top w:val="nil"/>
              <w:left w:val="nil"/>
              <w:bottom w:val="nil"/>
              <w:right w:val="single" w:sz="4" w:space="0" w:color="auto"/>
            </w:tcBorders>
            <w:noWrap/>
            <w:vAlign w:val="bottom"/>
            <w:hideMark/>
          </w:tcPr>
          <w:p w:rsidR="002A6758" w:rsidRPr="00BA183C" w:rsidP="00CC5190" w14:paraId="0E332C7D" w14:textId="77777777">
            <w:pPr>
              <w:jc w:val="right"/>
              <w:rPr>
                <w:i/>
                <w:iCs/>
              </w:rPr>
            </w:pPr>
            <w:r w:rsidRPr="00BA183C">
              <w:rPr>
                <w:i/>
                <w:iCs/>
              </w:rPr>
              <w:t>1,54</w:t>
            </w:r>
          </w:p>
        </w:tc>
      </w:tr>
      <w:tr w14:paraId="64656254"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6454B894" w14:textId="77777777">
            <w:pPr>
              <w:rPr>
                <w:i/>
                <w:iCs/>
              </w:rPr>
            </w:pPr>
            <w:r w:rsidRPr="00BA183C">
              <w:rPr>
                <w:i/>
                <w:iCs/>
              </w:rPr>
              <w:t>Migration - Internal security**</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2139FD6E" w14:textId="77777777">
            <w:pPr>
              <w:jc w:val="right"/>
              <w:rPr>
                <w:i/>
                <w:iCs/>
              </w:rPr>
            </w:pPr>
            <w:r w:rsidRPr="00BA183C">
              <w:rPr>
                <w:i/>
                <w:iCs/>
              </w:rPr>
              <w:t>6,12</w:t>
            </w:r>
          </w:p>
        </w:tc>
        <w:tc>
          <w:tcPr>
            <w:tcW w:w="2549" w:type="dxa"/>
            <w:tcBorders>
              <w:top w:val="nil"/>
              <w:left w:val="nil"/>
              <w:bottom w:val="nil"/>
              <w:right w:val="single" w:sz="4" w:space="0" w:color="auto"/>
            </w:tcBorders>
            <w:noWrap/>
            <w:vAlign w:val="bottom"/>
            <w:hideMark/>
          </w:tcPr>
          <w:p w:rsidR="002A6758" w:rsidRPr="00BA183C" w:rsidP="00CC5190" w14:paraId="48BC1B82" w14:textId="77777777">
            <w:pPr>
              <w:jc w:val="right"/>
              <w:rPr>
                <w:i/>
                <w:iCs/>
              </w:rPr>
            </w:pPr>
            <w:r w:rsidRPr="00BA183C">
              <w:rPr>
                <w:i/>
                <w:iCs/>
              </w:rPr>
              <w:t>6,80</w:t>
            </w:r>
          </w:p>
        </w:tc>
        <w:tc>
          <w:tcPr>
            <w:tcW w:w="1803" w:type="dxa"/>
            <w:tcBorders>
              <w:top w:val="nil"/>
              <w:left w:val="nil"/>
              <w:bottom w:val="nil"/>
              <w:right w:val="single" w:sz="4" w:space="0" w:color="auto"/>
            </w:tcBorders>
            <w:noWrap/>
            <w:vAlign w:val="bottom"/>
            <w:hideMark/>
          </w:tcPr>
          <w:p w:rsidR="002A6758" w:rsidRPr="00BA183C" w:rsidP="00CC5190" w14:paraId="73782D0E" w14:textId="77777777">
            <w:pPr>
              <w:jc w:val="right"/>
              <w:rPr>
                <w:i/>
                <w:iCs/>
              </w:rPr>
            </w:pPr>
            <w:r w:rsidRPr="00BA183C">
              <w:rPr>
                <w:i/>
                <w:iCs/>
              </w:rPr>
              <w:t>0,68</w:t>
            </w:r>
          </w:p>
        </w:tc>
      </w:tr>
      <w:tr w14:paraId="17AD1F2E"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207A0E41" w14:textId="77777777">
            <w:pPr>
              <w:rPr>
                <w:i/>
                <w:iCs/>
              </w:rPr>
            </w:pPr>
            <w:r w:rsidRPr="00BA183C">
              <w:rPr>
                <w:i/>
                <w:iCs/>
              </w:rPr>
              <w:t>EU Facility***</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05819002" w14:textId="77777777">
            <w:pPr>
              <w:jc w:val="right"/>
              <w:rPr>
                <w:i/>
                <w:iCs/>
              </w:rPr>
            </w:pPr>
            <w:r w:rsidRPr="00BA183C">
              <w:rPr>
                <w:i/>
                <w:iCs/>
              </w:rPr>
              <w:t>58,40</w:t>
            </w:r>
          </w:p>
        </w:tc>
        <w:tc>
          <w:tcPr>
            <w:tcW w:w="2549" w:type="dxa"/>
            <w:tcBorders>
              <w:top w:val="nil"/>
              <w:left w:val="nil"/>
              <w:bottom w:val="nil"/>
              <w:right w:val="single" w:sz="4" w:space="0" w:color="auto"/>
            </w:tcBorders>
            <w:noWrap/>
            <w:vAlign w:val="bottom"/>
            <w:hideMark/>
          </w:tcPr>
          <w:p w:rsidR="002A6758" w:rsidRPr="00BA183C" w:rsidP="00CC5190" w14:paraId="567E5FA3" w14:textId="77777777">
            <w:pPr>
              <w:jc w:val="right"/>
              <w:rPr>
                <w:i/>
                <w:iCs/>
              </w:rPr>
            </w:pPr>
            <w:r w:rsidRPr="00BA183C">
              <w:rPr>
                <w:i/>
                <w:iCs/>
              </w:rPr>
              <w:t>50,00</w:t>
            </w:r>
          </w:p>
        </w:tc>
        <w:tc>
          <w:tcPr>
            <w:tcW w:w="1803" w:type="dxa"/>
            <w:tcBorders>
              <w:top w:val="nil"/>
              <w:left w:val="nil"/>
              <w:bottom w:val="nil"/>
              <w:right w:val="single" w:sz="4" w:space="0" w:color="auto"/>
            </w:tcBorders>
            <w:noWrap/>
            <w:vAlign w:val="bottom"/>
            <w:hideMark/>
          </w:tcPr>
          <w:p w:rsidR="002A6758" w:rsidRPr="00BA183C" w:rsidP="00CC5190" w14:paraId="4927D1EC" w14:textId="77777777">
            <w:pPr>
              <w:jc w:val="right"/>
              <w:rPr>
                <w:i/>
                <w:iCs/>
              </w:rPr>
            </w:pPr>
            <w:r w:rsidRPr="00BA183C">
              <w:rPr>
                <w:i/>
                <w:iCs/>
              </w:rPr>
              <w:t>-8,40</w:t>
            </w:r>
          </w:p>
        </w:tc>
      </w:tr>
      <w:tr w14:paraId="41A9F3D5" w14:textId="77777777" w:rsidTr="00CC5190">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2A6758" w:rsidRPr="00BA183C" w:rsidP="00CC5190" w14:paraId="6791F662" w14:textId="77777777">
            <w:pPr>
              <w:rPr>
                <w:i/>
                <w:iCs/>
              </w:rPr>
            </w:pPr>
            <w:r w:rsidRPr="00BA183C">
              <w:rPr>
                <w:i/>
                <w:iCs/>
              </w:rPr>
              <w:t>Non-ringfenced in NRPP</w:t>
            </w:r>
          </w:p>
        </w:tc>
        <w:tc>
          <w:tcPr>
            <w:tcW w:w="1887" w:type="dxa"/>
            <w:tcBorders>
              <w:top w:val="nil"/>
              <w:left w:val="single" w:sz="4" w:space="0" w:color="auto"/>
              <w:bottom w:val="nil"/>
              <w:right w:val="single" w:sz="4" w:space="0" w:color="auto"/>
            </w:tcBorders>
            <w:noWrap/>
            <w:vAlign w:val="bottom"/>
            <w:hideMark/>
          </w:tcPr>
          <w:p w:rsidR="002A6758" w:rsidRPr="00BA183C" w:rsidP="00CC5190" w14:paraId="65A60329" w14:textId="77777777">
            <w:pPr>
              <w:jc w:val="right"/>
              <w:rPr>
                <w:i/>
                <w:iCs/>
              </w:rPr>
            </w:pPr>
            <w:r w:rsidRPr="00BA183C">
              <w:rPr>
                <w:i/>
                <w:iCs/>
              </w:rPr>
              <w:t>210,20</w:t>
            </w:r>
          </w:p>
        </w:tc>
        <w:tc>
          <w:tcPr>
            <w:tcW w:w="2549" w:type="dxa"/>
            <w:tcBorders>
              <w:top w:val="nil"/>
              <w:left w:val="nil"/>
              <w:bottom w:val="nil"/>
              <w:right w:val="single" w:sz="4" w:space="0" w:color="auto"/>
            </w:tcBorders>
            <w:noWrap/>
            <w:vAlign w:val="bottom"/>
            <w:hideMark/>
          </w:tcPr>
          <w:p w:rsidR="002A6758" w:rsidRPr="00BA183C" w:rsidP="00CC5190" w14:paraId="2CD43BE0" w14:textId="77777777">
            <w:pPr>
              <w:jc w:val="right"/>
              <w:rPr>
                <w:i/>
                <w:iCs/>
              </w:rPr>
            </w:pPr>
            <w:r w:rsidRPr="00BA183C">
              <w:rPr>
                <w:i/>
                <w:iCs/>
              </w:rPr>
              <w:t>0,00</w:t>
            </w:r>
          </w:p>
        </w:tc>
        <w:tc>
          <w:tcPr>
            <w:tcW w:w="1803" w:type="dxa"/>
            <w:tcBorders>
              <w:top w:val="nil"/>
              <w:left w:val="nil"/>
              <w:bottom w:val="nil"/>
              <w:right w:val="single" w:sz="4" w:space="0" w:color="auto"/>
            </w:tcBorders>
            <w:noWrap/>
            <w:vAlign w:val="bottom"/>
            <w:hideMark/>
          </w:tcPr>
          <w:p w:rsidR="002A6758" w:rsidRPr="00BA183C" w:rsidP="00CC5190" w14:paraId="6509BD24" w14:textId="77777777">
            <w:pPr>
              <w:jc w:val="right"/>
              <w:rPr>
                <w:i/>
                <w:iCs/>
              </w:rPr>
            </w:pPr>
            <w:r w:rsidRPr="00BA183C">
              <w:rPr>
                <w:i/>
                <w:iCs/>
              </w:rPr>
              <w:t>-210,20</w:t>
            </w:r>
          </w:p>
        </w:tc>
      </w:tr>
      <w:tr w14:paraId="3238AB8F"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A6758" w:rsidRPr="00BA183C" w:rsidP="00CC5190" w14:paraId="2FFBFF7B" w14:textId="77777777">
            <w:r w:rsidRPr="00BA183C">
              <w:t>Support to the Turkish-Cypriot Community</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2A6758" w:rsidRPr="00BA183C" w:rsidP="00CC5190" w14:paraId="7184E800" w14:textId="77777777">
            <w:pPr>
              <w:jc w:val="right"/>
            </w:pPr>
            <w:r w:rsidRPr="00BA183C">
              <w:t>0,39</w:t>
            </w:r>
          </w:p>
        </w:tc>
        <w:tc>
          <w:tcPr>
            <w:tcW w:w="2549" w:type="dxa"/>
            <w:tcBorders>
              <w:top w:val="single" w:sz="4" w:space="0" w:color="auto"/>
              <w:left w:val="nil"/>
              <w:bottom w:val="single" w:sz="4" w:space="0" w:color="auto"/>
              <w:right w:val="single" w:sz="4" w:space="0" w:color="auto"/>
            </w:tcBorders>
            <w:noWrap/>
            <w:vAlign w:val="bottom"/>
            <w:hideMark/>
          </w:tcPr>
          <w:p w:rsidR="002A6758" w:rsidRPr="00BA183C" w:rsidP="00CC5190" w14:paraId="12C52B6F" w14:textId="77777777">
            <w:pPr>
              <w:jc w:val="right"/>
            </w:pPr>
            <w:r w:rsidRPr="00BA183C">
              <w:t>0,43</w:t>
            </w:r>
          </w:p>
        </w:tc>
        <w:tc>
          <w:tcPr>
            <w:tcW w:w="1803" w:type="dxa"/>
            <w:tcBorders>
              <w:top w:val="single" w:sz="4" w:space="0" w:color="auto"/>
              <w:left w:val="nil"/>
              <w:bottom w:val="single" w:sz="4" w:space="0" w:color="auto"/>
              <w:right w:val="single" w:sz="4" w:space="0" w:color="auto"/>
            </w:tcBorders>
            <w:noWrap/>
            <w:vAlign w:val="bottom"/>
            <w:hideMark/>
          </w:tcPr>
          <w:p w:rsidR="002A6758" w:rsidRPr="00BA183C" w:rsidP="00CC5190" w14:paraId="311FF64D" w14:textId="77777777">
            <w:pPr>
              <w:jc w:val="right"/>
            </w:pPr>
            <w:r w:rsidRPr="00BA183C">
              <w:t>0,04</w:t>
            </w:r>
          </w:p>
        </w:tc>
      </w:tr>
      <w:tr w14:paraId="16F8835B"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A6758" w:rsidRPr="00BA183C" w:rsidP="00CC5190" w14:paraId="431A60A5" w14:textId="77777777">
            <w:r w:rsidRPr="00BA183C">
              <w:t>Decentralised agencies</w:t>
            </w:r>
          </w:p>
        </w:tc>
        <w:tc>
          <w:tcPr>
            <w:tcW w:w="1887" w:type="dxa"/>
            <w:tcBorders>
              <w:top w:val="nil"/>
              <w:left w:val="single" w:sz="4" w:space="0" w:color="auto"/>
              <w:bottom w:val="single" w:sz="4" w:space="0" w:color="auto"/>
              <w:right w:val="single" w:sz="4" w:space="0" w:color="auto"/>
            </w:tcBorders>
            <w:noWrap/>
            <w:vAlign w:val="bottom"/>
            <w:hideMark/>
          </w:tcPr>
          <w:p w:rsidR="002A6758" w:rsidRPr="00BA183C" w:rsidP="00CC5190" w14:paraId="65FA6FA8" w14:textId="77777777">
            <w:pPr>
              <w:jc w:val="right"/>
            </w:pPr>
            <w:r w:rsidRPr="00BA183C">
              <w:t>20,24</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539A7871" w14:textId="77777777">
            <w:pPr>
              <w:jc w:val="right"/>
            </w:pPr>
            <w:r w:rsidRPr="00BA183C">
              <w:t>20,24</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680B5CEB" w14:textId="77777777">
            <w:pPr>
              <w:jc w:val="right"/>
            </w:pPr>
            <w:r w:rsidRPr="00BA183C">
              <w:t>0,00</w:t>
            </w:r>
          </w:p>
        </w:tc>
      </w:tr>
      <w:tr w14:paraId="1ED0F654" w14:textId="77777777" w:rsidTr="00CC5190">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2A6758" w:rsidRPr="00BA183C" w:rsidP="00CC5190" w14:paraId="56D407AF" w14:textId="77777777">
            <w:r w:rsidRPr="00BA183C">
              <w:t>Margins</w:t>
            </w:r>
          </w:p>
        </w:tc>
        <w:tc>
          <w:tcPr>
            <w:tcW w:w="1887" w:type="dxa"/>
            <w:tcBorders>
              <w:top w:val="nil"/>
              <w:left w:val="single" w:sz="4" w:space="0" w:color="auto"/>
              <w:bottom w:val="single" w:sz="4" w:space="0" w:color="auto"/>
              <w:right w:val="single" w:sz="4" w:space="0" w:color="auto"/>
            </w:tcBorders>
            <w:noWrap/>
            <w:vAlign w:val="bottom"/>
            <w:hideMark/>
          </w:tcPr>
          <w:p w:rsidR="002A6758" w:rsidRPr="00BA183C" w:rsidP="00CC5190" w14:paraId="1F37A54F" w14:textId="77777777">
            <w:pPr>
              <w:jc w:val="right"/>
            </w:pPr>
            <w:r w:rsidRPr="00BA183C">
              <w:t>5,16</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34CD8E48" w14:textId="77777777">
            <w:pPr>
              <w:jc w:val="right"/>
            </w:pPr>
            <w:r w:rsidRPr="00BA183C">
              <w:t>1,00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4CD83E0A" w14:textId="77777777">
            <w:pPr>
              <w:jc w:val="right"/>
            </w:pPr>
            <w:r w:rsidRPr="00BA183C">
              <w:t>-4,16</w:t>
            </w:r>
          </w:p>
        </w:tc>
      </w:tr>
      <w:tr w14:paraId="36FB8088" w14:textId="77777777" w:rsidTr="00CC5190">
        <w:tblPrEx>
          <w:tblW w:w="0" w:type="auto"/>
          <w:tblInd w:w="-5" w:type="dxa"/>
          <w:tblLook w:val="04A0"/>
        </w:tblPrEx>
        <w:trPr>
          <w:trHeight w:val="285"/>
        </w:trPr>
        <w:tc>
          <w:tcPr>
            <w:tcW w:w="14281" w:type="dxa"/>
            <w:gridSpan w:val="7"/>
            <w:noWrap/>
            <w:vAlign w:val="bottom"/>
            <w:hideMark/>
          </w:tcPr>
          <w:p w:rsidR="002A6758" w:rsidRPr="00BA183C" w:rsidP="00CC5190" w14:paraId="5186AF2F" w14:textId="77777777">
            <w:r w:rsidRPr="00BA183C">
              <w:t>* The amount of EUR 5,6 billion corresponding to the Unity Safety Net is accounted for under the CAP</w:t>
            </w:r>
          </w:p>
        </w:tc>
      </w:tr>
      <w:tr w14:paraId="6135DEE0" w14:textId="77777777" w:rsidTr="00CC5190">
        <w:tblPrEx>
          <w:tblW w:w="0" w:type="auto"/>
          <w:tblInd w:w="-5" w:type="dxa"/>
          <w:tblLook w:val="04A0"/>
        </w:tblPrEx>
        <w:trPr>
          <w:trHeight w:val="285"/>
        </w:trPr>
        <w:tc>
          <w:tcPr>
            <w:tcW w:w="7780" w:type="dxa"/>
            <w:gridSpan w:val="3"/>
            <w:noWrap/>
            <w:vAlign w:val="bottom"/>
            <w:hideMark/>
          </w:tcPr>
          <w:p w:rsidR="002A6758" w:rsidRPr="00BA183C" w:rsidP="00CC5190" w14:paraId="697EAECE" w14:textId="77777777">
            <w:r w:rsidRPr="00BA183C">
              <w:t>** Total for the HOME Affairs funds: EUR 34,0 billion</w:t>
            </w:r>
          </w:p>
        </w:tc>
        <w:tc>
          <w:tcPr>
            <w:tcW w:w="2149" w:type="dxa"/>
            <w:gridSpan w:val="2"/>
            <w:noWrap/>
            <w:vAlign w:val="bottom"/>
            <w:hideMark/>
          </w:tcPr>
          <w:p w:rsidR="002A6758" w:rsidRPr="00BA183C" w:rsidP="00CC5190" w14:paraId="3C050707" w14:textId="77777777"/>
        </w:tc>
        <w:tc>
          <w:tcPr>
            <w:tcW w:w="2549" w:type="dxa"/>
            <w:noWrap/>
            <w:vAlign w:val="bottom"/>
            <w:hideMark/>
          </w:tcPr>
          <w:p w:rsidR="002A6758" w:rsidRPr="00BA183C" w:rsidP="00CC5190" w14:paraId="27EB6A7E" w14:textId="77777777"/>
        </w:tc>
        <w:tc>
          <w:tcPr>
            <w:tcW w:w="1803" w:type="dxa"/>
            <w:noWrap/>
            <w:vAlign w:val="bottom"/>
            <w:hideMark/>
          </w:tcPr>
          <w:p w:rsidR="002A6758" w:rsidRPr="00BA183C" w:rsidP="00CC5190" w14:paraId="0D611A2D" w14:textId="77777777"/>
        </w:tc>
      </w:tr>
      <w:tr w14:paraId="38772DA8" w14:textId="77777777" w:rsidTr="00CC5190">
        <w:tblPrEx>
          <w:tblW w:w="0" w:type="auto"/>
          <w:tblInd w:w="-5" w:type="dxa"/>
          <w:tblLook w:val="04A0"/>
        </w:tblPrEx>
        <w:trPr>
          <w:trHeight w:val="285"/>
        </w:trPr>
        <w:tc>
          <w:tcPr>
            <w:tcW w:w="7780" w:type="dxa"/>
            <w:gridSpan w:val="3"/>
            <w:noWrap/>
            <w:vAlign w:val="bottom"/>
            <w:hideMark/>
          </w:tcPr>
          <w:p w:rsidR="002A6758" w:rsidRPr="00BA183C" w:rsidP="00CC5190" w14:paraId="6AB42FDB" w14:textId="77777777">
            <w:r w:rsidRPr="00BA183C">
              <w:t>*** without accounting for the Unity Safety Net</w:t>
            </w:r>
          </w:p>
          <w:p w:rsidR="002A6758" w:rsidRPr="00BA183C" w:rsidP="00CC5190" w14:paraId="1D9CE7C3" w14:textId="77777777">
            <w:pPr>
              <w:rPr>
                <w:sz w:val="2"/>
                <w:szCs w:val="2"/>
              </w:rPr>
            </w:pPr>
          </w:p>
        </w:tc>
        <w:tc>
          <w:tcPr>
            <w:tcW w:w="2149" w:type="dxa"/>
            <w:gridSpan w:val="2"/>
            <w:noWrap/>
            <w:vAlign w:val="bottom"/>
            <w:hideMark/>
          </w:tcPr>
          <w:p w:rsidR="002A6758" w:rsidRPr="00BA183C" w:rsidP="00CC5190" w14:paraId="2773D957" w14:textId="77777777"/>
        </w:tc>
        <w:tc>
          <w:tcPr>
            <w:tcW w:w="2549" w:type="dxa"/>
            <w:noWrap/>
            <w:vAlign w:val="bottom"/>
            <w:hideMark/>
          </w:tcPr>
          <w:p w:rsidR="002A6758" w:rsidRPr="00BA183C" w:rsidP="00CC5190" w14:paraId="2265AC9C" w14:textId="77777777"/>
        </w:tc>
        <w:tc>
          <w:tcPr>
            <w:tcW w:w="1803" w:type="dxa"/>
            <w:noWrap/>
            <w:vAlign w:val="bottom"/>
            <w:hideMark/>
          </w:tcPr>
          <w:p w:rsidR="002A6758" w:rsidRPr="00BA183C" w:rsidP="00CC5190" w14:paraId="319B9385" w14:textId="77777777"/>
        </w:tc>
      </w:tr>
      <w:tr w14:paraId="4B623C59"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2A6758" w:rsidRPr="0012486E" w:rsidP="00CC5190" w14:paraId="4F1F65CA" w14:textId="77777777">
            <w:pPr>
              <w:rPr>
                <w:b/>
                <w:bCs/>
                <w:lang w:val="fr-BE"/>
              </w:rPr>
            </w:pPr>
            <w:r w:rsidRPr="0012486E">
              <w:rPr>
                <w:b/>
                <w:bCs/>
                <w:lang w:val="fr-BE"/>
              </w:rPr>
              <w:t>EUR billion - Commitment appropriations (2025 constant prices)</w:t>
            </w:r>
          </w:p>
          <w:p w:rsidR="002A6758" w:rsidRPr="0012486E" w:rsidP="00CC5190" w14:paraId="0290D579" w14:textId="77777777">
            <w:pPr>
              <w:rPr>
                <w:b/>
                <w:bCs/>
                <w:lang w:val="fr-BE"/>
              </w:rPr>
            </w:pPr>
            <w:r w:rsidRPr="0012486E">
              <w:rPr>
                <w:b/>
                <w:bCs/>
                <w:lang w:val="fr-BE"/>
              </w:rPr>
              <w:t> </w:t>
            </w:r>
          </w:p>
        </w:tc>
        <w:tc>
          <w:tcPr>
            <w:tcW w:w="2149" w:type="dxa"/>
            <w:gridSpan w:val="2"/>
            <w:tcBorders>
              <w:top w:val="single" w:sz="4" w:space="0" w:color="auto"/>
              <w:left w:val="nil"/>
              <w:bottom w:val="single" w:sz="4" w:space="0" w:color="auto"/>
              <w:right w:val="single" w:sz="4" w:space="0" w:color="auto"/>
            </w:tcBorders>
            <w:vAlign w:val="center"/>
            <w:hideMark/>
          </w:tcPr>
          <w:p w:rsidR="002A6758" w:rsidRPr="00BA183C" w:rsidP="00CC5190" w14:paraId="095A2354" w14:textId="77777777">
            <w:pPr>
              <w:jc w:val="center"/>
              <w:rPr>
                <w:b/>
                <w:bCs/>
              </w:rPr>
            </w:pPr>
            <w:r w:rsidRPr="00BA183C">
              <w:rPr>
                <w:b/>
                <w:bCs/>
              </w:rPr>
              <w:t>MFF proposal</w:t>
            </w:r>
          </w:p>
        </w:tc>
        <w:tc>
          <w:tcPr>
            <w:tcW w:w="2549" w:type="dxa"/>
            <w:tcBorders>
              <w:top w:val="single" w:sz="4" w:space="0" w:color="auto"/>
              <w:left w:val="nil"/>
              <w:bottom w:val="single" w:sz="4" w:space="0" w:color="auto"/>
              <w:right w:val="single" w:sz="4" w:space="0" w:color="auto"/>
            </w:tcBorders>
            <w:vAlign w:val="center"/>
            <w:hideMark/>
          </w:tcPr>
          <w:p w:rsidR="002A6758" w:rsidRPr="00BA183C" w:rsidP="00CC5190" w14:paraId="620A12FA" w14:textId="77777777">
            <w:pPr>
              <w:jc w:val="center"/>
              <w:rPr>
                <w:b/>
                <w:bCs/>
              </w:rPr>
            </w:pPr>
            <w:r w:rsidRPr="00BA183C">
              <w:rPr>
                <w:b/>
                <w:bCs/>
              </w:rPr>
              <w:t>EP position (1,27% GNI, excluding NGEU repayment)</w:t>
            </w:r>
          </w:p>
        </w:tc>
        <w:tc>
          <w:tcPr>
            <w:tcW w:w="1803" w:type="dxa"/>
            <w:tcBorders>
              <w:top w:val="single" w:sz="4" w:space="0" w:color="auto"/>
              <w:left w:val="nil"/>
              <w:bottom w:val="single" w:sz="4" w:space="0" w:color="auto"/>
              <w:right w:val="single" w:sz="4" w:space="0" w:color="auto"/>
            </w:tcBorders>
            <w:vAlign w:val="center"/>
            <w:hideMark/>
          </w:tcPr>
          <w:p w:rsidR="002A6758" w:rsidRPr="00BA183C" w:rsidP="00CC5190" w14:paraId="3786D9E7" w14:textId="77777777">
            <w:pPr>
              <w:jc w:val="center"/>
              <w:rPr>
                <w:b/>
                <w:bCs/>
              </w:rPr>
            </w:pPr>
            <w:r w:rsidRPr="00BA183C">
              <w:rPr>
                <w:b/>
                <w:bCs/>
              </w:rPr>
              <w:t>Nominal change</w:t>
            </w:r>
          </w:p>
        </w:tc>
      </w:tr>
      <w:tr w14:paraId="561C4018"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12B1FC79" w14:textId="77777777">
            <w:pPr>
              <w:rPr>
                <w:b/>
                <w:bCs/>
              </w:rPr>
            </w:pPr>
            <w:r w:rsidRPr="00BA183C">
              <w:rPr>
                <w:b/>
                <w:bCs/>
              </w:rPr>
              <w:t>Heading 2: Competitiveness, Prosperity, and Security</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512F7523" w14:textId="77777777">
            <w:pPr>
              <w:jc w:val="right"/>
              <w:rPr>
                <w:b/>
                <w:bCs/>
              </w:rPr>
            </w:pPr>
            <w:r w:rsidRPr="00BA183C">
              <w:rPr>
                <w:b/>
                <w:bCs/>
              </w:rPr>
              <w:t>522,21</w:t>
            </w:r>
          </w:p>
        </w:tc>
        <w:tc>
          <w:tcPr>
            <w:tcW w:w="2549" w:type="dxa"/>
            <w:tcBorders>
              <w:top w:val="nil"/>
              <w:left w:val="nil"/>
              <w:bottom w:val="single" w:sz="4" w:space="0" w:color="auto"/>
              <w:right w:val="single" w:sz="4" w:space="0" w:color="auto"/>
            </w:tcBorders>
            <w:shd w:val="clear" w:color="auto" w:fill="F2F2F2"/>
            <w:vAlign w:val="center"/>
            <w:hideMark/>
          </w:tcPr>
          <w:p w:rsidR="002A6758" w:rsidRPr="00BA183C" w:rsidP="00CC5190" w14:paraId="24ADAEFC" w14:textId="77777777">
            <w:pPr>
              <w:jc w:val="right"/>
              <w:rPr>
                <w:b/>
                <w:bCs/>
              </w:rPr>
            </w:pPr>
            <w:r w:rsidRPr="00BA183C">
              <w:rPr>
                <w:b/>
                <w:bCs/>
              </w:rPr>
              <w:t>584,29</w:t>
            </w:r>
          </w:p>
        </w:tc>
        <w:tc>
          <w:tcPr>
            <w:tcW w:w="1803" w:type="dxa"/>
            <w:tcBorders>
              <w:top w:val="nil"/>
              <w:left w:val="nil"/>
              <w:bottom w:val="single" w:sz="4" w:space="0" w:color="auto"/>
              <w:right w:val="single" w:sz="4" w:space="0" w:color="auto"/>
            </w:tcBorders>
            <w:shd w:val="clear" w:color="auto" w:fill="F2F2F2"/>
            <w:vAlign w:val="center"/>
            <w:hideMark/>
          </w:tcPr>
          <w:p w:rsidR="002A6758" w:rsidRPr="00BA183C" w:rsidP="00CC5190" w14:paraId="361EC946" w14:textId="77777777">
            <w:pPr>
              <w:jc w:val="right"/>
              <w:rPr>
                <w:b/>
                <w:bCs/>
              </w:rPr>
            </w:pPr>
            <w:r w:rsidRPr="00BA183C">
              <w:rPr>
                <w:b/>
                <w:bCs/>
              </w:rPr>
              <w:t>62,08</w:t>
            </w:r>
          </w:p>
        </w:tc>
      </w:tr>
      <w:tr w14:paraId="4F13C810"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2A6758" w:rsidRPr="00BA183C" w:rsidP="00CC5190" w14:paraId="14D3C55E" w14:textId="77777777">
            <w:r w:rsidRPr="00BA183C">
              <w:t>European Competitiveness Fund</w:t>
            </w:r>
          </w:p>
        </w:tc>
        <w:tc>
          <w:tcPr>
            <w:tcW w:w="2149" w:type="dxa"/>
            <w:gridSpan w:val="2"/>
            <w:tcBorders>
              <w:top w:val="nil"/>
              <w:left w:val="single" w:sz="4" w:space="0" w:color="auto"/>
              <w:bottom w:val="nil"/>
              <w:right w:val="single" w:sz="4" w:space="0" w:color="auto"/>
            </w:tcBorders>
            <w:noWrap/>
            <w:vAlign w:val="bottom"/>
            <w:hideMark/>
          </w:tcPr>
          <w:p w:rsidR="002A6758" w:rsidRPr="00BA183C" w:rsidP="00CC5190" w14:paraId="1B47692A" w14:textId="77777777">
            <w:pPr>
              <w:jc w:val="right"/>
            </w:pPr>
            <w:r w:rsidRPr="00BA183C">
              <w:t>207,40</w:t>
            </w:r>
          </w:p>
        </w:tc>
        <w:tc>
          <w:tcPr>
            <w:tcW w:w="2549" w:type="dxa"/>
            <w:tcBorders>
              <w:top w:val="nil"/>
              <w:left w:val="nil"/>
              <w:bottom w:val="nil"/>
              <w:right w:val="single" w:sz="4" w:space="0" w:color="auto"/>
            </w:tcBorders>
            <w:noWrap/>
            <w:vAlign w:val="bottom"/>
            <w:hideMark/>
          </w:tcPr>
          <w:p w:rsidR="002A6758" w:rsidRPr="00BA183C" w:rsidP="00CC5190" w14:paraId="1D9A24B6" w14:textId="77777777">
            <w:pPr>
              <w:jc w:val="right"/>
            </w:pPr>
            <w:r w:rsidRPr="00BA183C">
              <w:t>234,00</w:t>
            </w:r>
          </w:p>
        </w:tc>
        <w:tc>
          <w:tcPr>
            <w:tcW w:w="1803" w:type="dxa"/>
            <w:tcBorders>
              <w:top w:val="nil"/>
              <w:left w:val="nil"/>
              <w:bottom w:val="nil"/>
              <w:right w:val="single" w:sz="4" w:space="0" w:color="auto"/>
            </w:tcBorders>
            <w:noWrap/>
            <w:vAlign w:val="bottom"/>
            <w:hideMark/>
          </w:tcPr>
          <w:p w:rsidR="002A6758" w:rsidRPr="00BA183C" w:rsidP="00CC5190" w14:paraId="3D7F134A" w14:textId="77777777">
            <w:pPr>
              <w:jc w:val="right"/>
            </w:pPr>
            <w:r w:rsidRPr="00BA183C">
              <w:t>26,60</w:t>
            </w:r>
          </w:p>
        </w:tc>
      </w:tr>
      <w:tr w14:paraId="0735891C" w14:textId="77777777" w:rsidTr="00CC5190">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2A6758" w:rsidRPr="00BA183C" w:rsidP="00CC5190" w14:paraId="44EEE0E8" w14:textId="77777777">
            <w:pPr>
              <w:rPr>
                <w:i/>
                <w:iCs/>
              </w:rPr>
            </w:pPr>
            <w:r w:rsidRPr="00BA183C">
              <w:rPr>
                <w:i/>
                <w:iCs/>
              </w:rPr>
              <w:t>of which</w:t>
            </w:r>
          </w:p>
        </w:tc>
        <w:tc>
          <w:tcPr>
            <w:tcW w:w="6421" w:type="dxa"/>
            <w:gridSpan w:val="2"/>
            <w:tcBorders>
              <w:top w:val="nil"/>
              <w:left w:val="nil"/>
              <w:bottom w:val="nil"/>
              <w:right w:val="single" w:sz="4" w:space="0" w:color="auto"/>
            </w:tcBorders>
            <w:noWrap/>
            <w:vAlign w:val="bottom"/>
            <w:hideMark/>
          </w:tcPr>
          <w:p w:rsidR="002A6758" w:rsidRPr="00BA183C" w:rsidP="00CC5190" w14:paraId="1B370EFB" w14:textId="77777777">
            <w:pPr>
              <w:rPr>
                <w:i/>
                <w:iCs/>
              </w:rPr>
            </w:pPr>
            <w:r w:rsidRPr="00BA183C">
              <w:rPr>
                <w:i/>
                <w:iCs/>
              </w:rPr>
              <w:t>LIFE actions</w:t>
            </w:r>
          </w:p>
        </w:tc>
        <w:tc>
          <w:tcPr>
            <w:tcW w:w="2149" w:type="dxa"/>
            <w:gridSpan w:val="2"/>
            <w:tcBorders>
              <w:top w:val="nil"/>
              <w:left w:val="single" w:sz="4" w:space="0" w:color="auto"/>
              <w:bottom w:val="nil"/>
              <w:right w:val="single" w:sz="4" w:space="0" w:color="auto"/>
            </w:tcBorders>
            <w:noWrap/>
            <w:vAlign w:val="bottom"/>
            <w:hideMark/>
          </w:tcPr>
          <w:p w:rsidR="002A6758" w:rsidRPr="00BA183C" w:rsidP="00CC5190" w14:paraId="2A467FD6" w14:textId="77777777">
            <w:pPr>
              <w:jc w:val="right"/>
              <w:rPr>
                <w:i/>
                <w:iCs/>
              </w:rPr>
            </w:pPr>
            <w:r w:rsidRPr="00BA183C">
              <w:rPr>
                <w:i/>
                <w:iCs/>
              </w:rPr>
              <w:t>0,00</w:t>
            </w:r>
          </w:p>
        </w:tc>
        <w:tc>
          <w:tcPr>
            <w:tcW w:w="2549" w:type="dxa"/>
            <w:tcBorders>
              <w:top w:val="nil"/>
              <w:left w:val="nil"/>
              <w:bottom w:val="nil"/>
              <w:right w:val="single" w:sz="4" w:space="0" w:color="auto"/>
            </w:tcBorders>
            <w:noWrap/>
            <w:vAlign w:val="bottom"/>
            <w:hideMark/>
          </w:tcPr>
          <w:p w:rsidR="002A6758" w:rsidRPr="00BA183C" w:rsidP="00CC5190" w14:paraId="6DA3079C" w14:textId="77777777">
            <w:pPr>
              <w:jc w:val="right"/>
              <w:rPr>
                <w:i/>
                <w:iCs/>
              </w:rPr>
            </w:pPr>
            <w:r w:rsidRPr="00BA183C">
              <w:rPr>
                <w:i/>
                <w:iCs/>
              </w:rPr>
              <w:t>3,00</w:t>
            </w:r>
          </w:p>
        </w:tc>
        <w:tc>
          <w:tcPr>
            <w:tcW w:w="1803" w:type="dxa"/>
            <w:tcBorders>
              <w:top w:val="nil"/>
              <w:left w:val="nil"/>
              <w:bottom w:val="nil"/>
              <w:right w:val="single" w:sz="4" w:space="0" w:color="auto"/>
            </w:tcBorders>
            <w:noWrap/>
            <w:vAlign w:val="bottom"/>
            <w:hideMark/>
          </w:tcPr>
          <w:p w:rsidR="002A6758" w:rsidRPr="00BA183C" w:rsidP="00CC5190" w14:paraId="2267E7D5" w14:textId="77777777">
            <w:pPr>
              <w:jc w:val="right"/>
              <w:rPr>
                <w:i/>
                <w:iCs/>
              </w:rPr>
            </w:pPr>
            <w:r w:rsidRPr="00BA183C">
              <w:rPr>
                <w:i/>
                <w:iCs/>
              </w:rPr>
              <w:t>3,00</w:t>
            </w:r>
          </w:p>
        </w:tc>
      </w:tr>
      <w:tr w14:paraId="3406ED17" w14:textId="77777777" w:rsidTr="00CC5190">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2A6758" w:rsidRPr="00BA183C" w:rsidP="00CC5190" w14:paraId="2BD9A986" w14:textId="77777777">
            <w:pPr>
              <w:rPr>
                <w:i/>
                <w:iCs/>
              </w:rPr>
            </w:pPr>
            <w:r w:rsidRPr="00BA183C">
              <w:rPr>
                <w:i/>
                <w:iCs/>
              </w:rPr>
              <w:t> </w:t>
            </w:r>
          </w:p>
        </w:tc>
        <w:tc>
          <w:tcPr>
            <w:tcW w:w="6421" w:type="dxa"/>
            <w:gridSpan w:val="2"/>
            <w:tcBorders>
              <w:top w:val="nil"/>
              <w:left w:val="nil"/>
              <w:bottom w:val="nil"/>
              <w:right w:val="single" w:sz="4" w:space="0" w:color="auto"/>
            </w:tcBorders>
            <w:noWrap/>
            <w:vAlign w:val="bottom"/>
            <w:hideMark/>
          </w:tcPr>
          <w:p w:rsidR="002A6758" w:rsidRPr="00BA183C" w:rsidP="00CC5190" w14:paraId="584955EA" w14:textId="77777777">
            <w:pPr>
              <w:rPr>
                <w:i/>
                <w:iCs/>
              </w:rPr>
            </w:pPr>
            <w:r w:rsidRPr="00BA183C">
              <w:rPr>
                <w:i/>
                <w:iCs/>
              </w:rPr>
              <w:t>EU4Health actions</w:t>
            </w:r>
          </w:p>
        </w:tc>
        <w:tc>
          <w:tcPr>
            <w:tcW w:w="2149" w:type="dxa"/>
            <w:gridSpan w:val="2"/>
            <w:tcBorders>
              <w:top w:val="nil"/>
              <w:left w:val="single" w:sz="4" w:space="0" w:color="auto"/>
              <w:bottom w:val="nil"/>
              <w:right w:val="single" w:sz="4" w:space="0" w:color="auto"/>
            </w:tcBorders>
            <w:noWrap/>
            <w:vAlign w:val="bottom"/>
            <w:hideMark/>
          </w:tcPr>
          <w:p w:rsidR="002A6758" w:rsidRPr="00BA183C" w:rsidP="00CC5190" w14:paraId="1071E2DA" w14:textId="77777777">
            <w:pPr>
              <w:jc w:val="right"/>
              <w:rPr>
                <w:i/>
                <w:iCs/>
              </w:rPr>
            </w:pPr>
            <w:r w:rsidRPr="00BA183C">
              <w:rPr>
                <w:i/>
                <w:iCs/>
              </w:rPr>
              <w:t>0,00</w:t>
            </w:r>
          </w:p>
        </w:tc>
        <w:tc>
          <w:tcPr>
            <w:tcW w:w="2549" w:type="dxa"/>
            <w:tcBorders>
              <w:top w:val="nil"/>
              <w:left w:val="nil"/>
              <w:bottom w:val="nil"/>
              <w:right w:val="single" w:sz="4" w:space="0" w:color="auto"/>
            </w:tcBorders>
            <w:noWrap/>
            <w:vAlign w:val="bottom"/>
            <w:hideMark/>
          </w:tcPr>
          <w:p w:rsidR="002A6758" w:rsidRPr="00BA183C" w:rsidP="00CC5190" w14:paraId="7C188DCC" w14:textId="77777777">
            <w:pPr>
              <w:jc w:val="right"/>
              <w:rPr>
                <w:i/>
                <w:iCs/>
              </w:rPr>
            </w:pPr>
            <w:r w:rsidRPr="00BA183C">
              <w:rPr>
                <w:i/>
                <w:iCs/>
              </w:rPr>
              <w:t>8,90</w:t>
            </w:r>
          </w:p>
        </w:tc>
        <w:tc>
          <w:tcPr>
            <w:tcW w:w="1803" w:type="dxa"/>
            <w:tcBorders>
              <w:top w:val="nil"/>
              <w:left w:val="nil"/>
              <w:bottom w:val="nil"/>
              <w:right w:val="single" w:sz="4" w:space="0" w:color="auto"/>
            </w:tcBorders>
            <w:noWrap/>
            <w:vAlign w:val="bottom"/>
            <w:hideMark/>
          </w:tcPr>
          <w:p w:rsidR="002A6758" w:rsidRPr="00BA183C" w:rsidP="00CC5190" w14:paraId="5504CBAF" w14:textId="77777777">
            <w:pPr>
              <w:jc w:val="right"/>
              <w:rPr>
                <w:i/>
                <w:iCs/>
              </w:rPr>
            </w:pPr>
            <w:r w:rsidRPr="00BA183C">
              <w:rPr>
                <w:i/>
                <w:iCs/>
              </w:rPr>
              <w:t>8,90</w:t>
            </w:r>
          </w:p>
        </w:tc>
      </w:tr>
      <w:tr w14:paraId="2673A3D5"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08C25025" w14:textId="77777777">
            <w:r w:rsidRPr="00BA183C">
              <w:t>Horizon Europe</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2A6758" w:rsidRPr="00BA183C" w:rsidP="00CC5190" w14:paraId="2189452E" w14:textId="77777777">
            <w:pPr>
              <w:jc w:val="right"/>
            </w:pPr>
            <w:r w:rsidRPr="00BA183C">
              <w:t>154,88</w:t>
            </w:r>
          </w:p>
        </w:tc>
        <w:tc>
          <w:tcPr>
            <w:tcW w:w="2549" w:type="dxa"/>
            <w:tcBorders>
              <w:top w:val="single" w:sz="4" w:space="0" w:color="auto"/>
              <w:left w:val="nil"/>
              <w:bottom w:val="single" w:sz="4" w:space="0" w:color="auto"/>
              <w:right w:val="single" w:sz="4" w:space="0" w:color="auto"/>
            </w:tcBorders>
            <w:noWrap/>
            <w:vAlign w:val="bottom"/>
            <w:hideMark/>
          </w:tcPr>
          <w:p w:rsidR="002A6758" w:rsidRPr="00BA183C" w:rsidP="00CC5190" w14:paraId="2A2FAFDB" w14:textId="77777777">
            <w:pPr>
              <w:jc w:val="right"/>
            </w:pPr>
            <w:r w:rsidRPr="00BA183C">
              <w:t>177,01</w:t>
            </w:r>
          </w:p>
        </w:tc>
        <w:tc>
          <w:tcPr>
            <w:tcW w:w="1803" w:type="dxa"/>
            <w:tcBorders>
              <w:top w:val="single" w:sz="4" w:space="0" w:color="auto"/>
              <w:left w:val="nil"/>
              <w:bottom w:val="single" w:sz="4" w:space="0" w:color="auto"/>
              <w:right w:val="single" w:sz="4" w:space="0" w:color="auto"/>
            </w:tcBorders>
            <w:noWrap/>
            <w:vAlign w:val="bottom"/>
            <w:hideMark/>
          </w:tcPr>
          <w:p w:rsidR="002A6758" w:rsidRPr="00BA183C" w:rsidP="00CC5190" w14:paraId="027A3C9A" w14:textId="77777777">
            <w:pPr>
              <w:jc w:val="right"/>
            </w:pPr>
            <w:r w:rsidRPr="00BA183C">
              <w:t>22,13</w:t>
            </w:r>
          </w:p>
        </w:tc>
      </w:tr>
      <w:tr w14:paraId="5A062ABF"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D60EB96" w14:textId="77777777">
            <w:r w:rsidRPr="00BA183C">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4A3AB5BB" w14:textId="77777777">
            <w:pPr>
              <w:jc w:val="right"/>
            </w:pPr>
            <w:r w:rsidRPr="00BA183C">
              <w:t>8,71</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495A9169" w14:textId="77777777">
            <w:pPr>
              <w:jc w:val="right"/>
            </w:pPr>
            <w:r w:rsidRPr="00BA183C">
              <w:t>8,71</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3289581D" w14:textId="77777777">
            <w:pPr>
              <w:jc w:val="right"/>
            </w:pPr>
            <w:r w:rsidRPr="00BA183C">
              <w:t>0,00</w:t>
            </w:r>
          </w:p>
        </w:tc>
      </w:tr>
      <w:tr w14:paraId="536EFE69"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9A2D5E7" w14:textId="77777777">
            <w:r w:rsidRPr="00BA183C">
              <w:t>INSC-D (Instrument for Nuclear Safety Cooperation - Decommissioning)</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36F4C3B4" w14:textId="77777777">
            <w:pPr>
              <w:jc w:val="right"/>
            </w:pPr>
            <w:r w:rsidRPr="00BA183C">
              <w:t>0,85</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6704A07D" w14:textId="77777777">
            <w:pPr>
              <w:jc w:val="right"/>
            </w:pPr>
            <w:r w:rsidRPr="00BA183C">
              <w:t>0,85</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378DBBEB" w14:textId="77777777">
            <w:pPr>
              <w:jc w:val="right"/>
            </w:pPr>
            <w:r w:rsidRPr="00BA183C">
              <w:t>0,00</w:t>
            </w:r>
          </w:p>
        </w:tc>
      </w:tr>
      <w:tr w14:paraId="3064893E"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6422EC64" w14:textId="77777777">
            <w:r w:rsidRPr="00BA183C">
              <w:t>Ignalina Programme</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2AD3A7E6" w14:textId="77777777">
            <w:pPr>
              <w:jc w:val="right"/>
            </w:pPr>
            <w:r w:rsidRPr="00BA183C">
              <w:t>0,60</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14DCE7CB" w14:textId="77777777">
            <w:pPr>
              <w:jc w:val="right"/>
            </w:pPr>
            <w:r w:rsidRPr="00BA183C">
              <w:t>0,60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79B503ED" w14:textId="77777777">
            <w:pPr>
              <w:jc w:val="right"/>
            </w:pPr>
            <w:r w:rsidRPr="00BA183C">
              <w:t>0,00</w:t>
            </w:r>
          </w:p>
        </w:tc>
      </w:tr>
      <w:tr w14:paraId="0CDEF994"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1BF1E9F7" w14:textId="77777777">
            <w:r w:rsidRPr="00BA183C">
              <w:t>CEF (Transport, Energy, Military Mobility)</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2AA9656D" w14:textId="77777777">
            <w:pPr>
              <w:jc w:val="right"/>
            </w:pPr>
            <w:r w:rsidRPr="00BA183C">
              <w:t>72,25</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3FA4BF05" w14:textId="77777777">
            <w:pPr>
              <w:jc w:val="right"/>
            </w:pPr>
            <w:r w:rsidRPr="00BA183C">
              <w:t>81,00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2E40F40A" w14:textId="77777777">
            <w:pPr>
              <w:jc w:val="right"/>
            </w:pPr>
            <w:r w:rsidRPr="00BA183C">
              <w:t>8,75</w:t>
            </w:r>
          </w:p>
        </w:tc>
      </w:tr>
      <w:tr w14:paraId="5669E2E3"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6119635A" w14:textId="77777777">
            <w:r w:rsidRPr="00BA183C">
              <w:t>Single Market and Customs Programme</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26056391" w14:textId="77777777">
            <w:pPr>
              <w:jc w:val="right"/>
            </w:pPr>
            <w:r w:rsidRPr="00BA183C">
              <w:t>5,54</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37C96C6C" w14:textId="77777777">
            <w:pPr>
              <w:jc w:val="right"/>
            </w:pPr>
            <w:r w:rsidRPr="00BA183C">
              <w:t>6,10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45512E4C" w14:textId="77777777">
            <w:pPr>
              <w:jc w:val="right"/>
            </w:pPr>
            <w:r w:rsidRPr="00BA183C">
              <w:t>0,56</w:t>
            </w:r>
          </w:p>
        </w:tc>
      </w:tr>
      <w:tr w14:paraId="571D084B"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7321108" w14:textId="77777777">
            <w:r w:rsidRPr="00BA183C">
              <w:t>Pericles (protection of the Euro)</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16C42F55" w14:textId="77777777">
            <w:pPr>
              <w:jc w:val="right"/>
            </w:pPr>
            <w:r w:rsidRPr="00BA183C">
              <w:t>0,01</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7F589808" w14:textId="77777777">
            <w:pPr>
              <w:jc w:val="right"/>
            </w:pPr>
            <w:r w:rsidRPr="00BA183C">
              <w:t>0,01</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04CD680A" w14:textId="77777777">
            <w:pPr>
              <w:jc w:val="right"/>
            </w:pPr>
            <w:r w:rsidRPr="00BA183C">
              <w:t>0,00</w:t>
            </w:r>
          </w:p>
        </w:tc>
      </w:tr>
      <w:tr w14:paraId="5AEEFD75"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0FD41C16" w14:textId="77777777">
            <w:r w:rsidRPr="00BA183C">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57462E9D" w14:textId="77777777">
            <w:pPr>
              <w:jc w:val="right"/>
            </w:pPr>
            <w:r w:rsidRPr="00BA183C">
              <w:t>36,19</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3A7726D6" w14:textId="77777777">
            <w:pPr>
              <w:jc w:val="right"/>
            </w:pPr>
            <w:r w:rsidRPr="00BA183C">
              <w:t>42,00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0819A581" w14:textId="77777777">
            <w:pPr>
              <w:jc w:val="right"/>
            </w:pPr>
            <w:r w:rsidRPr="00BA183C">
              <w:t>5,81</w:t>
            </w:r>
          </w:p>
        </w:tc>
      </w:tr>
      <w:tr w14:paraId="29CF0E67"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1D7E692B" w14:textId="77777777">
            <w:r w:rsidRPr="00BA183C">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15954D2C" w14:textId="77777777">
            <w:pPr>
              <w:jc w:val="right"/>
            </w:pPr>
            <w:r w:rsidRPr="00BA183C">
              <w:t>7,61</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1BBE4D74" w14:textId="77777777">
            <w:pPr>
              <w:jc w:val="right"/>
            </w:pPr>
            <w:r w:rsidRPr="00BA183C">
              <w:t>9,50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6EAE2504" w14:textId="77777777">
            <w:pPr>
              <w:jc w:val="right"/>
            </w:pPr>
            <w:r w:rsidRPr="00BA183C">
              <w:t>1,89</w:t>
            </w:r>
          </w:p>
        </w:tc>
      </w:tr>
      <w:tr w14:paraId="2EA61B3A"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07685A51" w14:textId="77777777">
            <w:r w:rsidRPr="00BA183C">
              <w:t>UCPM+ (EU Civil Protection Mechanism and health preparedness)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495D812F" w14:textId="77777777">
            <w:pPr>
              <w:jc w:val="right"/>
            </w:pPr>
            <w:r w:rsidRPr="00BA183C">
              <w:t>9,46</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2331C4EA" w14:textId="77777777">
            <w:pPr>
              <w:jc w:val="right"/>
            </w:pPr>
            <w:r w:rsidRPr="00BA183C">
              <w:t>11,00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475BFA82" w14:textId="77777777">
            <w:pPr>
              <w:jc w:val="right"/>
            </w:pPr>
            <w:r w:rsidRPr="00BA183C">
              <w:t>1,54</w:t>
            </w:r>
          </w:p>
        </w:tc>
      </w:tr>
      <w:tr w14:paraId="414F5087"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56F5D48" w14:textId="77777777">
            <w:r w:rsidRPr="00BA183C">
              <w:t>Justice</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0C5A6B80" w14:textId="77777777">
            <w:pPr>
              <w:jc w:val="right"/>
            </w:pPr>
            <w:r w:rsidRPr="00BA183C">
              <w:t>0,71</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03DAC6E6" w14:textId="77777777">
            <w:pPr>
              <w:jc w:val="right"/>
            </w:pPr>
            <w:r w:rsidRPr="00BA183C">
              <w:t>0,79</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7B0D1E46" w14:textId="77777777">
            <w:pPr>
              <w:jc w:val="right"/>
            </w:pPr>
            <w:r w:rsidRPr="00BA183C">
              <w:t>0,08</w:t>
            </w:r>
          </w:p>
        </w:tc>
      </w:tr>
      <w:tr w14:paraId="5D4584D6"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1AD11081" w14:textId="77777777">
            <w:r w:rsidRPr="00BA183C">
              <w:t>Decentralised agencies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6172E6F3" w14:textId="77777777">
            <w:pPr>
              <w:jc w:val="right"/>
            </w:pPr>
            <w:r w:rsidRPr="00BA183C">
              <w:t>8,69</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1012DA10" w14:textId="77777777">
            <w:pPr>
              <w:jc w:val="right"/>
            </w:pPr>
            <w:r w:rsidRPr="00BA183C">
              <w:t>8,69</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3E444CDD" w14:textId="77777777">
            <w:pPr>
              <w:jc w:val="right"/>
            </w:pPr>
            <w:r w:rsidRPr="00BA183C">
              <w:t>0,00</w:t>
            </w:r>
          </w:p>
        </w:tc>
      </w:tr>
      <w:tr w14:paraId="6BD045CA"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4F05FBAE" w14:textId="77777777">
            <w:r w:rsidRPr="00BA183C">
              <w:t>Other actions, prerogatives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3395184E" w14:textId="77777777">
            <w:pPr>
              <w:jc w:val="right"/>
            </w:pPr>
            <w:r w:rsidRPr="00BA183C">
              <w:t>2,23</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79D236DC" w14:textId="77777777">
            <w:pPr>
              <w:jc w:val="right"/>
            </w:pPr>
            <w:r w:rsidRPr="00BA183C">
              <w:t>2,23</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108F7D8D" w14:textId="77777777">
            <w:pPr>
              <w:jc w:val="right"/>
            </w:pPr>
            <w:r w:rsidRPr="00BA183C">
              <w:t>0,00</w:t>
            </w:r>
          </w:p>
        </w:tc>
      </w:tr>
      <w:tr w14:paraId="0EDB6206"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0123FBC" w14:textId="77777777">
            <w:r w:rsidRPr="00BA183C">
              <w:t>Margins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4723D1C2" w14:textId="77777777">
            <w:pPr>
              <w:jc w:val="right"/>
            </w:pPr>
            <w:r w:rsidRPr="00BA183C">
              <w:t>7,09</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4432DDBD" w14:textId="77777777">
            <w:pPr>
              <w:jc w:val="right"/>
            </w:pPr>
            <w:r w:rsidRPr="00BA183C">
              <w:t>1,80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6E716277" w14:textId="77777777">
            <w:pPr>
              <w:jc w:val="right"/>
            </w:pPr>
            <w:r w:rsidRPr="00BA183C">
              <w:t>-5,29</w:t>
            </w:r>
          </w:p>
        </w:tc>
      </w:tr>
      <w:tr w14:paraId="1148DA84"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114C3E26" w14:textId="77777777">
            <w:pPr>
              <w:rPr>
                <w:b/>
                <w:bCs/>
              </w:rPr>
            </w:pPr>
            <w:r w:rsidRPr="00BA183C">
              <w:rPr>
                <w:b/>
                <w:bCs/>
              </w:rPr>
              <w:t>Heading 3: Global Europe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34F8F399" w14:textId="77777777">
            <w:pPr>
              <w:jc w:val="right"/>
              <w:rPr>
                <w:b/>
                <w:bCs/>
              </w:rPr>
            </w:pPr>
            <w:r w:rsidRPr="00BA183C">
              <w:rPr>
                <w:b/>
                <w:bCs/>
              </w:rPr>
              <w:t>190,02</w:t>
            </w:r>
          </w:p>
        </w:tc>
        <w:tc>
          <w:tcPr>
            <w:tcW w:w="2549" w:type="dxa"/>
            <w:tcBorders>
              <w:top w:val="nil"/>
              <w:left w:val="nil"/>
              <w:bottom w:val="single" w:sz="4" w:space="0" w:color="auto"/>
              <w:right w:val="single" w:sz="4" w:space="0" w:color="auto"/>
            </w:tcBorders>
            <w:shd w:val="clear" w:color="auto" w:fill="F2F2F2"/>
            <w:vAlign w:val="center"/>
            <w:hideMark/>
          </w:tcPr>
          <w:p w:rsidR="002A6758" w:rsidRPr="00BA183C" w:rsidP="00CC5190" w14:paraId="4DA60C79" w14:textId="77777777">
            <w:pPr>
              <w:jc w:val="right"/>
              <w:rPr>
                <w:b/>
                <w:bCs/>
              </w:rPr>
            </w:pPr>
            <w:r w:rsidRPr="00BA183C">
              <w:rPr>
                <w:b/>
                <w:bCs/>
              </w:rPr>
              <w:t>211,26</w:t>
            </w:r>
          </w:p>
        </w:tc>
        <w:tc>
          <w:tcPr>
            <w:tcW w:w="1803" w:type="dxa"/>
            <w:tcBorders>
              <w:top w:val="nil"/>
              <w:left w:val="nil"/>
              <w:bottom w:val="single" w:sz="4" w:space="0" w:color="auto"/>
              <w:right w:val="single" w:sz="4" w:space="0" w:color="auto"/>
            </w:tcBorders>
            <w:shd w:val="clear" w:color="auto" w:fill="F2F2F2"/>
            <w:vAlign w:val="center"/>
            <w:hideMark/>
          </w:tcPr>
          <w:p w:rsidR="002A6758" w:rsidRPr="00BA183C" w:rsidP="00CC5190" w14:paraId="76395A44" w14:textId="77777777">
            <w:pPr>
              <w:jc w:val="right"/>
              <w:rPr>
                <w:b/>
                <w:bCs/>
              </w:rPr>
            </w:pPr>
            <w:r w:rsidRPr="00BA183C">
              <w:rPr>
                <w:b/>
                <w:bCs/>
              </w:rPr>
              <w:t>21,24</w:t>
            </w:r>
          </w:p>
        </w:tc>
      </w:tr>
      <w:tr w14:paraId="600BF7A2"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2F3BE83" w14:textId="77777777">
            <w:r w:rsidRPr="00BA183C">
              <w:t>Global Europe</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4BE08925" w14:textId="77777777">
            <w:pPr>
              <w:jc w:val="right"/>
            </w:pPr>
            <w:r w:rsidRPr="00BA183C">
              <w:t>176,83</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7FFA3D4F" w14:textId="77777777">
            <w:pPr>
              <w:jc w:val="right"/>
            </w:pPr>
            <w:r w:rsidRPr="00BA183C">
              <w:t>198,63</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3E0EFCFB" w14:textId="77777777">
            <w:pPr>
              <w:jc w:val="right"/>
            </w:pPr>
            <w:r w:rsidRPr="00BA183C">
              <w:t>21,80</w:t>
            </w:r>
          </w:p>
        </w:tc>
      </w:tr>
      <w:tr w14:paraId="320F86C9"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4627E282" w14:textId="77777777">
            <w:r w:rsidRPr="00BA183C">
              <w:t>Common Foreign and Security Policy</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03297B35" w14:textId="77777777">
            <w:pPr>
              <w:jc w:val="right"/>
            </w:pPr>
            <w:r w:rsidRPr="00BA183C">
              <w:t>2,99</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69685BE5" w14:textId="77777777">
            <w:pPr>
              <w:jc w:val="right"/>
            </w:pPr>
            <w:r w:rsidRPr="00BA183C">
              <w:t>3,34</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639A5082" w14:textId="77777777">
            <w:pPr>
              <w:jc w:val="right"/>
            </w:pPr>
            <w:r w:rsidRPr="00BA183C">
              <w:t>0,35</w:t>
            </w:r>
          </w:p>
        </w:tc>
      </w:tr>
      <w:tr w14:paraId="4A249DA4"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18B294A7" w14:textId="77777777">
            <w:r w:rsidRPr="00BA183C">
              <w:t>Overseas countries and territories, including Greenland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15FD9706" w14:textId="77777777">
            <w:pPr>
              <w:jc w:val="right"/>
            </w:pPr>
            <w:r w:rsidRPr="00BA183C">
              <w:t>0,89</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3C97782D" w14:textId="77777777">
            <w:pPr>
              <w:jc w:val="right"/>
            </w:pPr>
            <w:r w:rsidRPr="00BA183C">
              <w:t>1,85</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19EA3CA1" w14:textId="77777777">
            <w:pPr>
              <w:jc w:val="right"/>
            </w:pPr>
            <w:r w:rsidRPr="00BA183C">
              <w:t>0,96</w:t>
            </w:r>
          </w:p>
        </w:tc>
      </w:tr>
      <w:tr w14:paraId="6FCA2A80"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79C07C69" w14:textId="77777777">
            <w:r w:rsidRPr="00BA183C">
              <w:t>Sustainable Fisheries Partnership Agreements (SFPAS) And Regional Fisheries Management Organisations (RFMOS)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6871AE32" w14:textId="77777777">
            <w:pPr>
              <w:jc w:val="right"/>
            </w:pPr>
            <w:r w:rsidRPr="00BA183C">
              <w:t>1,18</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6C349D49" w14:textId="77777777">
            <w:pPr>
              <w:jc w:val="right"/>
            </w:pPr>
            <w:r w:rsidRPr="00BA183C">
              <w:t>1,50</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3982F3A7" w14:textId="77777777">
            <w:pPr>
              <w:jc w:val="right"/>
            </w:pPr>
            <w:r w:rsidRPr="00BA183C">
              <w:t>0,32</w:t>
            </w:r>
          </w:p>
        </w:tc>
      </w:tr>
      <w:tr w14:paraId="03751506"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9CD72BA" w14:textId="77777777">
            <w:r w:rsidRPr="00BA183C">
              <w:t>Other actions, prerogatives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19B717B9" w14:textId="77777777">
            <w:pPr>
              <w:jc w:val="right"/>
            </w:pPr>
            <w:r w:rsidRPr="00BA183C">
              <w:t>1,01</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2015D8FE" w14:textId="77777777">
            <w:pPr>
              <w:jc w:val="right"/>
            </w:pPr>
            <w:r w:rsidRPr="00BA183C">
              <w:t>1,01</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01325860" w14:textId="77777777">
            <w:pPr>
              <w:jc w:val="right"/>
            </w:pPr>
            <w:r w:rsidRPr="00BA183C">
              <w:t>0,00</w:t>
            </w:r>
          </w:p>
        </w:tc>
      </w:tr>
      <w:tr w14:paraId="4280EC33"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2A6758" w:rsidRPr="00BA183C" w:rsidP="00CC5190" w14:paraId="3DB438DC" w14:textId="77777777">
            <w:r w:rsidRPr="00BA183C">
              <w:t>Margins</w:t>
            </w:r>
          </w:p>
        </w:tc>
        <w:tc>
          <w:tcPr>
            <w:tcW w:w="2149" w:type="dxa"/>
            <w:gridSpan w:val="2"/>
            <w:tcBorders>
              <w:top w:val="nil"/>
              <w:left w:val="single" w:sz="4" w:space="0" w:color="auto"/>
              <w:bottom w:val="single" w:sz="4" w:space="0" w:color="auto"/>
              <w:right w:val="single" w:sz="4" w:space="0" w:color="auto"/>
            </w:tcBorders>
            <w:noWrap/>
            <w:vAlign w:val="bottom"/>
            <w:hideMark/>
          </w:tcPr>
          <w:p w:rsidR="002A6758" w:rsidRPr="00BA183C" w:rsidP="00CC5190" w14:paraId="45F61F4E" w14:textId="77777777">
            <w:pPr>
              <w:jc w:val="right"/>
            </w:pPr>
            <w:r w:rsidRPr="00BA183C">
              <w:t>7,13</w:t>
            </w:r>
          </w:p>
        </w:tc>
        <w:tc>
          <w:tcPr>
            <w:tcW w:w="2549" w:type="dxa"/>
            <w:tcBorders>
              <w:top w:val="nil"/>
              <w:left w:val="nil"/>
              <w:bottom w:val="single" w:sz="4" w:space="0" w:color="auto"/>
              <w:right w:val="single" w:sz="4" w:space="0" w:color="auto"/>
            </w:tcBorders>
            <w:noWrap/>
            <w:vAlign w:val="bottom"/>
            <w:hideMark/>
          </w:tcPr>
          <w:p w:rsidR="002A6758" w:rsidRPr="00BA183C" w:rsidP="00CC5190" w14:paraId="0E1BC396" w14:textId="77777777">
            <w:pPr>
              <w:jc w:val="right"/>
            </w:pPr>
            <w:r w:rsidRPr="00BA183C">
              <w:t>4,94</w:t>
            </w:r>
          </w:p>
        </w:tc>
        <w:tc>
          <w:tcPr>
            <w:tcW w:w="1803" w:type="dxa"/>
            <w:tcBorders>
              <w:top w:val="nil"/>
              <w:left w:val="nil"/>
              <w:bottom w:val="single" w:sz="4" w:space="0" w:color="auto"/>
              <w:right w:val="single" w:sz="4" w:space="0" w:color="auto"/>
            </w:tcBorders>
            <w:noWrap/>
            <w:vAlign w:val="bottom"/>
            <w:hideMark/>
          </w:tcPr>
          <w:p w:rsidR="002A6758" w:rsidRPr="00BA183C" w:rsidP="00CC5190" w14:paraId="5A2B1992" w14:textId="77777777">
            <w:pPr>
              <w:jc w:val="right"/>
            </w:pPr>
            <w:r w:rsidRPr="00BA183C">
              <w:t>-2,19</w:t>
            </w:r>
          </w:p>
        </w:tc>
      </w:tr>
      <w:tr w14:paraId="5A382EAE" w14:textId="77777777" w:rsidTr="00CC5190">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2A6758" w:rsidRPr="00BA183C" w:rsidP="00CC5190" w14:paraId="66F24B86" w14:textId="77777777">
            <w:pPr>
              <w:rPr>
                <w:b/>
                <w:bCs/>
              </w:rPr>
            </w:pPr>
            <w:r w:rsidRPr="00BA183C">
              <w:rPr>
                <w:b/>
                <w:bCs/>
              </w:rPr>
              <w:t>Heading 4: Administration</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2A6758" w:rsidRPr="00BA183C" w:rsidP="00CC5190" w14:paraId="78483C34" w14:textId="77777777">
            <w:pPr>
              <w:jc w:val="right"/>
              <w:rPr>
                <w:b/>
                <w:bCs/>
              </w:rPr>
            </w:pPr>
            <w:r w:rsidRPr="00BA183C">
              <w:rPr>
                <w:b/>
                <w:bCs/>
              </w:rPr>
              <w:t>104,45</w:t>
            </w:r>
          </w:p>
        </w:tc>
        <w:tc>
          <w:tcPr>
            <w:tcW w:w="2549" w:type="dxa"/>
            <w:tcBorders>
              <w:top w:val="nil"/>
              <w:left w:val="nil"/>
              <w:bottom w:val="single" w:sz="4" w:space="0" w:color="auto"/>
              <w:right w:val="single" w:sz="4" w:space="0" w:color="auto"/>
            </w:tcBorders>
            <w:shd w:val="clear" w:color="auto" w:fill="F2F2F2"/>
            <w:vAlign w:val="center"/>
            <w:hideMark/>
          </w:tcPr>
          <w:p w:rsidR="002A6758" w:rsidRPr="00BA183C" w:rsidP="00CC5190" w14:paraId="063A7FA5" w14:textId="77777777">
            <w:pPr>
              <w:jc w:val="right"/>
              <w:rPr>
                <w:b/>
                <w:bCs/>
              </w:rPr>
            </w:pPr>
            <w:r w:rsidRPr="00BA183C">
              <w:rPr>
                <w:b/>
                <w:bCs/>
              </w:rPr>
              <w:t>104,45</w:t>
            </w:r>
          </w:p>
        </w:tc>
        <w:tc>
          <w:tcPr>
            <w:tcW w:w="1803" w:type="dxa"/>
            <w:tcBorders>
              <w:top w:val="nil"/>
              <w:left w:val="nil"/>
              <w:bottom w:val="single" w:sz="4" w:space="0" w:color="auto"/>
              <w:right w:val="single" w:sz="4" w:space="0" w:color="auto"/>
            </w:tcBorders>
            <w:shd w:val="clear" w:color="auto" w:fill="F2F2F2"/>
            <w:vAlign w:val="center"/>
            <w:hideMark/>
          </w:tcPr>
          <w:p w:rsidR="002A6758" w:rsidRPr="00BA183C" w:rsidP="00CC5190" w14:paraId="0D3F8E06" w14:textId="77777777">
            <w:pPr>
              <w:jc w:val="right"/>
              <w:rPr>
                <w:b/>
                <w:bCs/>
              </w:rPr>
            </w:pPr>
            <w:r w:rsidRPr="00BA183C">
              <w:rPr>
                <w:b/>
                <w:bCs/>
              </w:rPr>
              <w:t>0,00</w:t>
            </w:r>
          </w:p>
        </w:tc>
      </w:tr>
    </w:tbl>
    <w:p w:rsidR="00E365E1" w:rsidRPr="00BA183C" w:rsidP="00AC3760" w14:paraId="54A9B47E" w14:textId="6DC01133"/>
    <w:sectPr w:rsidSect="009B49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758" w:rsidRPr="00BA183C" w:rsidP="00756927" w14:paraId="299D7306" w14:textId="77777777">
    <w:pPr>
      <w:pStyle w:val="EPFooter"/>
    </w:pPr>
    <w:r w:rsidRPr="00BA183C">
      <w:t>PE</w:t>
    </w:r>
    <w:r w:rsidRPr="00BA183C">
      <w:rPr>
        <w:rStyle w:val="HideTWBExt"/>
      </w:rPr>
      <w:t>&lt;NoPE&gt;</w:t>
    </w:r>
    <w:r w:rsidRPr="00BA183C">
      <w:t>779.351</w:t>
    </w:r>
    <w:r w:rsidRPr="00BA183C">
      <w:rPr>
        <w:rStyle w:val="HideTWBExt"/>
      </w:rPr>
      <w:t>&lt;/NoPE&gt;&lt;Version&gt;</w:t>
    </w:r>
    <w:r w:rsidRPr="00BA183C">
      <w:t>v03-00</w:t>
    </w:r>
    <w:r w:rsidRPr="00BA183C">
      <w:rPr>
        <w:rStyle w:val="HideTWBExt"/>
      </w:rPr>
      <w:t>&lt;/Version&gt;</w:t>
    </w:r>
    <w:r w:rsidRPr="00BA183C">
      <w:tab/>
    </w:r>
    <w:r w:rsidRPr="00BA183C">
      <w:fldChar w:fldCharType="begin"/>
    </w:r>
    <w:r w:rsidRPr="00BA183C">
      <w:instrText xml:space="preserve"> PAGE  \* MERGEFORMAT </w:instrText>
    </w:r>
    <w:r w:rsidRPr="00BA183C">
      <w:fldChar w:fldCharType="separate"/>
    </w:r>
    <w:r w:rsidRPr="00BA183C">
      <w:rPr>
        <w:noProof/>
      </w:rPr>
      <w:t>2</w:t>
    </w:r>
    <w:r w:rsidRPr="00BA183C">
      <w:fldChar w:fldCharType="end"/>
    </w:r>
    <w:r w:rsidRPr="00BA183C">
      <w:t>/</w:t>
    </w:r>
    <w:r>
      <w:fldChar w:fldCharType="begin"/>
    </w:r>
    <w:r>
      <w:instrText xml:space="preserve"> NUMPAGES  \* MERGEFORMAT </w:instrText>
    </w:r>
    <w:r>
      <w:fldChar w:fldCharType="separate"/>
    </w:r>
    <w:r w:rsidRPr="00BA183C">
      <w:rPr>
        <w:noProof/>
      </w:rPr>
      <w:t>536</w:t>
    </w:r>
    <w:r w:rsidRPr="00BA183C">
      <w:rPr>
        <w:noProof/>
      </w:rPr>
      <w:fldChar w:fldCharType="end"/>
    </w:r>
    <w:r w:rsidRPr="00BA183C">
      <w:tab/>
    </w:r>
    <w:r w:rsidRPr="00BA183C">
      <w:rPr>
        <w:rStyle w:val="HideTWBExt"/>
      </w:rPr>
      <w:t>&lt;PathFdR&gt;</w:t>
    </w:r>
    <w:r w:rsidRPr="00BA183C">
      <w:t>RR\1342046EN.docx</w:t>
    </w:r>
    <w:r w:rsidRPr="00BA183C">
      <w:rPr>
        <w:rStyle w:val="HideTWBExt"/>
      </w:rPr>
      <w:t>&lt;/PathFdR&gt;</w:t>
    </w:r>
  </w:p>
  <w:p w:rsidR="002A6758" w:rsidRPr="00BA183C" w:rsidP="00756927" w14:paraId="18527B1C" w14:textId="77777777">
    <w:pPr>
      <w:pStyle w:val="EPFooter2"/>
    </w:pPr>
    <w:r w:rsidRPr="00BA183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6758" w:rsidRPr="00BA183C" w:rsidP="00756927" w14:paraId="012644EB" w14:textId="77777777">
    <w:pPr>
      <w:pStyle w:val="EPFooter"/>
    </w:pPr>
    <w:r w:rsidRPr="00BA183C">
      <w:rPr>
        <w:rStyle w:val="HideTWBExt"/>
      </w:rPr>
      <w:t>&lt;PathFdR&gt;</w:t>
    </w:r>
    <w:r w:rsidRPr="00BA183C">
      <w:t>RR\1342046EN.docx</w:t>
    </w:r>
    <w:r w:rsidRPr="00BA183C">
      <w:rPr>
        <w:rStyle w:val="HideTWBExt"/>
      </w:rPr>
      <w:t>&lt;/PathFdR&gt;</w:t>
    </w:r>
    <w:r w:rsidRPr="00BA183C">
      <w:tab/>
    </w:r>
    <w:r w:rsidRPr="00BA183C">
      <w:tab/>
      <w:t>PE</w:t>
    </w:r>
    <w:r w:rsidRPr="00BA183C">
      <w:rPr>
        <w:rStyle w:val="HideTWBExt"/>
      </w:rPr>
      <w:t>&lt;NoPE&gt;</w:t>
    </w:r>
    <w:r w:rsidRPr="00BA183C">
      <w:t>779.351</w:t>
    </w:r>
    <w:r w:rsidRPr="00BA183C">
      <w:rPr>
        <w:rStyle w:val="HideTWBExt"/>
      </w:rPr>
      <w:t>&lt;/NoPE&gt;&lt;Version&gt;</w:t>
    </w:r>
    <w:r w:rsidRPr="00BA183C">
      <w:t>v03-00</w:t>
    </w:r>
    <w:r w:rsidRPr="00BA183C">
      <w:rPr>
        <w:rStyle w:val="HideTWBExt"/>
      </w:rPr>
      <w:t>&lt;/Version&gt;</w:t>
    </w:r>
  </w:p>
  <w:p w:rsidR="002A6758" w:rsidRPr="00BA183C" w:rsidP="00756927" w14:paraId="342E969B" w14:textId="77777777">
    <w:pPr>
      <w:pStyle w:val="EPFooter2"/>
    </w:pPr>
    <w:r w:rsidRPr="00BA183C">
      <w:t>EN</w:t>
    </w:r>
    <w:r w:rsidRPr="00BA183C">
      <w:tab/>
    </w:r>
    <w:r w:rsidRPr="00BA183C">
      <w:rPr>
        <w:b w:val="0"/>
        <w:i/>
        <w:color w:val="C0C0C0"/>
        <w:sz w:val="22"/>
      </w:rPr>
      <w:t>United in diversity</w:t>
    </w:r>
    <w:r w:rsidRPr="00BA183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04268261"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2C8A2365"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168F9DA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3760" w:rsidRPr="00BA183C" w14:paraId="3BA33852" w14:textId="77777777">
      <w:r w:rsidRPr="00BA183C">
        <w:separator/>
      </w:r>
    </w:p>
  </w:footnote>
  <w:footnote w:type="continuationSeparator" w:id="1">
    <w:p w:rsidR="00AC3760" w:rsidRPr="00BA183C" w14:paraId="4A1CFF7B" w14:textId="77777777">
      <w:r w:rsidRPr="00BA183C">
        <w:continuationSeparator/>
      </w:r>
    </w:p>
  </w:footnote>
  <w:footnote w:id="2">
    <w:p w:rsidR="002A6758" w:rsidRPr="009B4916" w:rsidP="00BA183C" w14:paraId="7B19573E" w14:textId="1458A4B7">
      <w:pPr>
        <w:pStyle w:val="FootnoteText"/>
        <w:ind w:left="567" w:hanging="567"/>
        <w:rPr>
          <w:sz w:val="24"/>
          <w:lang w:val="fi-FI"/>
        </w:rPr>
      </w:pPr>
      <w:r w:rsidRPr="009B4916">
        <w:rPr>
          <w:rStyle w:val="FootnoteReference"/>
          <w:sz w:val="24"/>
          <w:lang w:val="en-GB"/>
        </w:rPr>
        <w:footnoteRef/>
      </w:r>
      <w:r w:rsidRPr="009B4916" w:rsidR="00BA183C">
        <w:rPr>
          <w:sz w:val="24"/>
          <w:lang w:val="fi-FI"/>
        </w:rPr>
        <w:t xml:space="preserve"> </w:t>
      </w:r>
      <w:r w:rsidRPr="009B4916" w:rsidR="00BA183C">
        <w:rPr>
          <w:sz w:val="24"/>
          <w:lang w:val="fi-FI"/>
        </w:rPr>
        <w:tab/>
      </w:r>
      <w:r w:rsidRPr="009B4916">
        <w:rPr>
          <w:sz w:val="24"/>
          <w:lang w:val="fi-FI"/>
        </w:rPr>
        <w:t xml:space="preserve">OJ C, C/2026/575, 24.2.2026, ELI: </w:t>
      </w:r>
      <w:hyperlink r:id="rId1" w:history="1">
        <w:r w:rsidRPr="009B4916">
          <w:rPr>
            <w:rStyle w:val="Hyperlink"/>
            <w:sz w:val="24"/>
            <w:lang w:val="fi-FI"/>
          </w:rPr>
          <w:t>http://data.europa.eu/eli/C/2026/575/oj</w:t>
        </w:r>
      </w:hyperlink>
      <w:r w:rsidRPr="009B4916">
        <w:rPr>
          <w:sz w:val="24"/>
          <w:lang w:val="fi-FI"/>
        </w:rPr>
        <w:t>.</w:t>
      </w:r>
    </w:p>
  </w:footnote>
  <w:footnote w:id="3">
    <w:p w:rsidR="002A6758" w:rsidRPr="009B4916" w:rsidP="00BA183C" w14:paraId="1634DF0F" w14:textId="35A69D2F">
      <w:pPr>
        <w:pStyle w:val="FootnoteText"/>
        <w:ind w:left="567" w:hanging="567"/>
        <w:rPr>
          <w:sz w:val="24"/>
          <w:lang w:val="fi-FI"/>
        </w:rPr>
      </w:pPr>
      <w:r w:rsidRPr="009B4916">
        <w:rPr>
          <w:rStyle w:val="FootnoteReference"/>
          <w:sz w:val="24"/>
          <w:lang w:val="en-GB"/>
        </w:rPr>
        <w:footnoteRef/>
      </w:r>
      <w:r w:rsidRPr="009B4916" w:rsidR="00BA183C">
        <w:rPr>
          <w:sz w:val="24"/>
          <w:lang w:val="fi-FI"/>
        </w:rPr>
        <w:t xml:space="preserve"> </w:t>
      </w:r>
      <w:r w:rsidRPr="009B4916" w:rsidR="00BA183C">
        <w:rPr>
          <w:sz w:val="24"/>
          <w:lang w:val="fi-FI"/>
        </w:rPr>
        <w:tab/>
      </w:r>
      <w:r w:rsidRPr="009B4916">
        <w:rPr>
          <w:sz w:val="24"/>
          <w:lang w:val="fi-FI"/>
        </w:rPr>
        <w:t xml:space="preserve">OJ C, C/2026/1474, 9.4.2026, ELI: </w:t>
      </w:r>
      <w:hyperlink r:id="rId2" w:history="1">
        <w:r w:rsidRPr="009B4916">
          <w:rPr>
            <w:rStyle w:val="Hyperlink"/>
            <w:sz w:val="24"/>
            <w:lang w:val="fi-FI"/>
          </w:rPr>
          <w:t>http://data.europa.eu/eli/C/2026/1474/oj</w:t>
        </w:r>
      </w:hyperlink>
      <w:r w:rsidRPr="009B4916">
        <w:rPr>
          <w:sz w:val="24"/>
          <w:lang w:val="fi-FI"/>
        </w:rPr>
        <w:t>.</w:t>
      </w:r>
    </w:p>
  </w:footnote>
  <w:footnote w:id="4">
    <w:p w:rsidR="002A6758" w:rsidRPr="009B4916" w:rsidP="00BA183C" w14:paraId="055E0DE8" w14:textId="27D6F462">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Pr>
          <w:sz w:val="24"/>
          <w:lang w:val="en-GB"/>
        </w:rPr>
        <w:t>Texts adopted, P10_TA(2026)0013.</w:t>
      </w:r>
    </w:p>
  </w:footnote>
  <w:footnote w:id="5">
    <w:p w:rsidR="002A6758" w:rsidRPr="003106D0" w:rsidP="00BA183C" w14:paraId="04482D64" w14:textId="0D86DA72">
      <w:pPr>
        <w:pStyle w:val="FootnoteText"/>
        <w:ind w:left="567" w:hanging="567"/>
        <w:rPr>
          <w:sz w:val="24"/>
          <w:lang w:val="en-GB"/>
        </w:rPr>
      </w:pPr>
      <w:r w:rsidRPr="009B4916">
        <w:rPr>
          <w:rStyle w:val="FootnoteReference"/>
          <w:sz w:val="24"/>
          <w:lang w:val="en-GB"/>
        </w:rPr>
        <w:footnoteRef/>
      </w:r>
      <w:r w:rsidRPr="003106D0" w:rsidR="00BA183C">
        <w:rPr>
          <w:sz w:val="24"/>
          <w:lang w:val="en-GB"/>
        </w:rPr>
        <w:t xml:space="preserve"> </w:t>
      </w:r>
      <w:r w:rsidRPr="003106D0" w:rsidR="00BA183C">
        <w:rPr>
          <w:sz w:val="24"/>
          <w:lang w:val="en-GB"/>
        </w:rPr>
        <w:tab/>
      </w:r>
      <w:r w:rsidRPr="003106D0">
        <w:rPr>
          <w:sz w:val="24"/>
          <w:lang w:val="en-GB"/>
        </w:rPr>
        <w:t xml:space="preserve">OJ L, 2024/2509, 26.9.2024, ELI: </w:t>
      </w:r>
      <w:hyperlink r:id="rId3" w:history="1">
        <w:r w:rsidRPr="003106D0">
          <w:rPr>
            <w:rStyle w:val="Hyperlink"/>
            <w:sz w:val="24"/>
            <w:lang w:val="en-GB"/>
          </w:rPr>
          <w:t>http://data.europa.eu/eli/reg/2024/2509/oj</w:t>
        </w:r>
      </w:hyperlink>
      <w:r w:rsidRPr="003106D0">
        <w:rPr>
          <w:sz w:val="24"/>
          <w:lang w:val="en-GB"/>
        </w:rPr>
        <w:t>.</w:t>
      </w:r>
    </w:p>
  </w:footnote>
  <w:footnote w:id="6">
    <w:p w:rsidR="002A6758" w:rsidRPr="009B4916" w:rsidP="00BA183C" w14:paraId="6001F9F7" w14:textId="73C1B70C">
      <w:pPr>
        <w:pStyle w:val="FootnoteText"/>
        <w:ind w:left="567" w:hanging="567"/>
        <w:rPr>
          <w:sz w:val="24"/>
          <w:lang w:val="pl-PL"/>
        </w:rPr>
      </w:pPr>
      <w:r w:rsidRPr="009B4916">
        <w:rPr>
          <w:rStyle w:val="FootnoteReference"/>
          <w:sz w:val="24"/>
          <w:lang w:val="en-GB"/>
        </w:rPr>
        <w:footnoteRef/>
      </w:r>
      <w:r w:rsidRPr="009B4916" w:rsidR="00BA183C">
        <w:rPr>
          <w:sz w:val="24"/>
          <w:lang w:val="pl-PL"/>
        </w:rPr>
        <w:t xml:space="preserve"> </w:t>
      </w:r>
      <w:r w:rsidRPr="009B4916" w:rsidR="00BA183C">
        <w:rPr>
          <w:sz w:val="24"/>
          <w:lang w:val="pl-PL"/>
        </w:rPr>
        <w:tab/>
      </w:r>
      <w:r w:rsidRPr="009B4916">
        <w:rPr>
          <w:sz w:val="24"/>
          <w:lang w:val="pl-PL"/>
        </w:rPr>
        <w:t>OJ L 433</w:t>
      </w:r>
      <w:r w:rsidR="00174053">
        <w:rPr>
          <w:sz w:val="24"/>
          <w:lang w:val="pl-PL"/>
        </w:rPr>
        <w:t xml:space="preserve"> </w:t>
      </w:r>
      <w:r w:rsidRPr="009B4916">
        <w:rPr>
          <w:sz w:val="24"/>
          <w:lang w:val="pl-PL"/>
        </w:rPr>
        <w:t>I, 22.12.2020, p. 1.</w:t>
      </w:r>
    </w:p>
  </w:footnote>
  <w:footnote w:id="7">
    <w:p w:rsidR="002A6758" w:rsidRPr="003106D0" w:rsidP="00BA183C" w14:paraId="46DF721D" w14:textId="0F11337F">
      <w:pPr>
        <w:pStyle w:val="FootnoteText"/>
        <w:ind w:left="567" w:hanging="567"/>
        <w:rPr>
          <w:sz w:val="24"/>
          <w:lang w:val="pl-PL"/>
        </w:rPr>
      </w:pPr>
      <w:bookmarkStart w:id="9" w:name="_Hlk227670992"/>
      <w:r w:rsidRPr="009B4916">
        <w:rPr>
          <w:rStyle w:val="FootnoteReference"/>
          <w:sz w:val="24"/>
          <w:lang w:val="en-GB"/>
        </w:rPr>
        <w:footnoteRef/>
      </w:r>
      <w:r w:rsidRPr="003106D0" w:rsidR="00BA183C">
        <w:rPr>
          <w:sz w:val="24"/>
          <w:lang w:val="pl-PL"/>
        </w:rPr>
        <w:t xml:space="preserve"> </w:t>
      </w:r>
      <w:r w:rsidRPr="003106D0" w:rsidR="00BA183C">
        <w:rPr>
          <w:sz w:val="24"/>
          <w:lang w:val="pl-PL"/>
        </w:rPr>
        <w:tab/>
      </w:r>
      <w:r w:rsidRPr="003106D0">
        <w:rPr>
          <w:sz w:val="24"/>
          <w:lang w:val="pl-PL"/>
        </w:rPr>
        <w:t xml:space="preserve">OJ C, C/2026/1383, </w:t>
      </w:r>
      <w:r w:rsidRPr="003106D0">
        <w:rPr>
          <w:sz w:val="24"/>
          <w:lang w:val="pl-PL"/>
        </w:rPr>
        <w:t>4.3.2026</w:t>
      </w:r>
      <w:r w:rsidRPr="003106D0">
        <w:rPr>
          <w:sz w:val="24"/>
          <w:lang w:val="pl-PL"/>
        </w:rPr>
        <w:t xml:space="preserve">, ELI: </w:t>
      </w:r>
      <w:hyperlink r:id="rId4" w:history="1">
        <w:r w:rsidRPr="003106D0">
          <w:rPr>
            <w:rStyle w:val="Hyperlink"/>
            <w:sz w:val="24"/>
            <w:lang w:val="pl-PL"/>
          </w:rPr>
          <w:t>http://data.europa.eu/eli/C/2026/1383/oj</w:t>
        </w:r>
      </w:hyperlink>
      <w:r w:rsidRPr="003106D0">
        <w:rPr>
          <w:sz w:val="24"/>
          <w:lang w:val="pl-PL"/>
        </w:rPr>
        <w:t>.</w:t>
      </w:r>
    </w:p>
    <w:bookmarkStart w:id="10" w:name="_Hlk227670998"/>
    <w:bookmarkEnd w:id="9"/>
  </w:footnote>
  <w:footnote w:id="8">
    <w:p w:rsidR="002A6758" w:rsidRPr="009B4916" w:rsidP="00BA183C" w14:paraId="0529A645" w14:textId="3B950244">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sidR="003653C4">
        <w:rPr>
          <w:sz w:val="24"/>
          <w:lang w:val="en-GB"/>
        </w:rPr>
        <w:t xml:space="preserve">Texts adopted, </w:t>
      </w:r>
      <w:r w:rsidRPr="009B4916">
        <w:rPr>
          <w:sz w:val="24"/>
          <w:lang w:val="en-GB"/>
        </w:rPr>
        <w:t>P10_TA(2025)0338.</w:t>
      </w:r>
    </w:p>
    <w:bookmarkEnd w:id="10"/>
  </w:footnote>
  <w:footnote w:id="9">
    <w:p w:rsidR="002A6758" w:rsidRPr="009B4916" w:rsidP="00BA183C" w14:paraId="29DC4F7A" w14:textId="05633580">
      <w:pPr>
        <w:ind w:left="567" w:hanging="567"/>
        <w:rPr>
          <w:rFonts w:eastAsiaTheme="minorHAnsi"/>
          <w:kern w:val="2"/>
          <w:lang w:eastAsia="en-US"/>
          <w14:ligatures w14:val="standardContextual"/>
        </w:rPr>
      </w:pPr>
      <w:r w:rsidRPr="009B4916">
        <w:rPr>
          <w:rStyle w:val="FootnoteReference"/>
        </w:rPr>
        <w:footnoteRef/>
      </w:r>
      <w:r w:rsidRPr="009B4916" w:rsidR="00BA183C">
        <w:rPr>
          <w:rFonts w:eastAsiaTheme="minorHAnsi"/>
          <w:kern w:val="2"/>
          <w:lang w:eastAsia="en-US"/>
          <w14:ligatures w14:val="standardContextual"/>
        </w:rPr>
        <w:t xml:space="preserve"> </w:t>
      </w:r>
      <w:r w:rsidRPr="009B4916" w:rsidR="00BA183C">
        <w:rPr>
          <w:rFonts w:eastAsiaTheme="minorHAnsi"/>
          <w:kern w:val="2"/>
          <w:lang w:eastAsia="en-US"/>
          <w14:ligatures w14:val="standardContextual"/>
        </w:rPr>
        <w:tab/>
      </w:r>
      <w:r w:rsidRPr="009B4916">
        <w:rPr>
          <w:rFonts w:eastAsiaTheme="minorHAnsi"/>
          <w:kern w:val="2"/>
          <w:lang w:eastAsia="en-US"/>
          <w14:ligatures w14:val="standardContextual"/>
        </w:rPr>
        <w:t xml:space="preserve">Council Regulation (EC) No 1257/96 of 20 June 1996 concerning humanitarian aid (OJ L 163, 2.7.1996, p. 1, ELI: </w:t>
      </w:r>
      <w:hyperlink r:id="rId5" w:history="1">
        <w:r w:rsidRPr="009B4916">
          <w:rPr>
            <w:rStyle w:val="Hyperlink"/>
            <w:rFonts w:eastAsiaTheme="minorHAnsi"/>
            <w:kern w:val="2"/>
            <w:lang w:eastAsia="en-US"/>
            <w14:ligatures w14:val="standardContextual"/>
          </w:rPr>
          <w:t>http://data.europa.eu/eli/reg/1996/1257/oj</w:t>
        </w:r>
      </w:hyperlink>
      <w:r w:rsidRPr="009B4916">
        <w:rPr>
          <w:rFonts w:eastAsiaTheme="minorHAnsi"/>
          <w:kern w:val="2"/>
          <w:lang w:eastAsia="en-US"/>
          <w14:ligatures w14:val="standardContextual"/>
        </w:rPr>
        <w:t>).</w:t>
      </w:r>
    </w:p>
  </w:footnote>
  <w:footnote w:id="10">
    <w:p w:rsidR="002A6758" w:rsidRPr="009B4916" w:rsidP="00BA183C" w14:paraId="03E1CDD2" w14:textId="34D0E6E4">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Pr>
          <w:sz w:val="24"/>
          <w:lang w:val="en-GB"/>
        </w:rPr>
        <w:t xml:space="preserve">Regulation (EU, Euratom) 2024/2509 of the European Parliament and of the Council of 23 September 2024 on the financial rules applicable to the general budget of the Union (OJ L, 2024/2509, 26.9.2024, ELI: </w:t>
      </w:r>
      <w:hyperlink r:id="rId3" w:history="1">
        <w:r w:rsidRPr="009B4916">
          <w:rPr>
            <w:rStyle w:val="Hyperlink"/>
            <w:sz w:val="24"/>
            <w:lang w:val="en-GB"/>
          </w:rPr>
          <w:t>http://data.europa.eu/eli/reg/2024/2509/oj</w:t>
        </w:r>
      </w:hyperlink>
      <w:r w:rsidRPr="009B4916">
        <w:rPr>
          <w:sz w:val="24"/>
          <w:lang w:val="en-GB"/>
        </w:rPr>
        <w:t>).</w:t>
      </w:r>
    </w:p>
  </w:footnote>
  <w:footnote w:id="11">
    <w:p w:rsidR="002A6758" w:rsidRPr="009B4916" w:rsidP="00BA183C" w14:paraId="08A1A43E" w14:textId="3F949397">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Pr>
          <w:sz w:val="24"/>
          <w:lang w:val="en-GB"/>
        </w:rPr>
        <w:t xml:space="preserve">Regulation (EU, Euratom) 2023/2841 of the European Parliament and of the Council of 13 December 2023 laying down measures for a high common level of cybersecurity at the institutions, bodies, offices and agencies of the Union (OJ L, 2023/2841, 18.12.2023, ELI: </w:t>
      </w:r>
      <w:hyperlink r:id="rId6" w:history="1">
        <w:r w:rsidRPr="009B4916">
          <w:rPr>
            <w:rStyle w:val="Hyperlink"/>
            <w:sz w:val="24"/>
            <w:lang w:val="en-GB"/>
          </w:rPr>
          <w:t>http://data.europa.eu/eli/reg/2023/2841/oj</w:t>
        </w:r>
      </w:hyperlink>
      <w:r w:rsidRPr="009B4916">
        <w:rPr>
          <w:sz w:val="24"/>
          <w:lang w:val="en-GB"/>
        </w:rPr>
        <w:t>).</w:t>
      </w:r>
    </w:p>
  </w:footnote>
  <w:footnote w:id="12">
    <w:p w:rsidR="002A6758" w:rsidRPr="009B4916" w:rsidP="00BA183C" w14:paraId="3C26A5C8" w14:textId="69984EE7">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Pr>
          <w:sz w:val="24"/>
          <w:lang w:val="en-GB"/>
        </w:rPr>
        <w:t>Regulation (EU, Euratom) 2020/2092 of the European Parliament and of the Council of 16 December 2020 on a general regime of conditionality for the protection of the Union budget (OJ L 433</w:t>
      </w:r>
      <w:r w:rsidR="00174053">
        <w:rPr>
          <w:sz w:val="24"/>
          <w:lang w:val="en-GB"/>
        </w:rPr>
        <w:t xml:space="preserve"> </w:t>
      </w:r>
      <w:r w:rsidRPr="009B4916">
        <w:rPr>
          <w:sz w:val="24"/>
          <w:lang w:val="en-GB"/>
        </w:rPr>
        <w:t xml:space="preserve">I, 22.12.2020, p. 1, </w:t>
      </w:r>
      <w:hyperlink r:id="rId7" w:tooltip="Gives access to this document through its ELI URI." w:history="1">
        <w:r w:rsidRPr="009B4916">
          <w:rPr>
            <w:rStyle w:val="Hyperlink"/>
            <w:sz w:val="24"/>
            <w:lang w:val="en-GB"/>
          </w:rPr>
          <w:t>http://data.europa.eu/eli/reg/2020/2092/oj</w:t>
        </w:r>
      </w:hyperlink>
      <w:r w:rsidRPr="009B4916">
        <w:rPr>
          <w:sz w:val="24"/>
          <w:lang w:val="en-GB"/>
        </w:rPr>
        <w:t xml:space="preserve">). </w:t>
      </w:r>
    </w:p>
  </w:footnote>
  <w:footnote w:id="13">
    <w:p w:rsidR="002A6758" w:rsidRPr="00BA183C" w:rsidP="00BA183C" w14:paraId="31B2B988" w14:textId="7E513A87">
      <w:pPr>
        <w:pStyle w:val="FootnoteText"/>
        <w:ind w:left="567" w:hanging="567"/>
        <w:rPr>
          <w:sz w:val="24"/>
          <w:lang w:val="en-GB"/>
        </w:rPr>
      </w:pPr>
      <w:r w:rsidRPr="009B4916">
        <w:rPr>
          <w:rStyle w:val="FootnoteReference"/>
          <w:sz w:val="24"/>
          <w:lang w:val="en-GB"/>
        </w:rPr>
        <w:footnoteRef/>
      </w:r>
      <w:r w:rsidRPr="009B4916" w:rsidR="00BA183C">
        <w:rPr>
          <w:sz w:val="24"/>
          <w:lang w:val="en-GB"/>
        </w:rPr>
        <w:t xml:space="preserve"> </w:t>
      </w:r>
      <w:r w:rsidRPr="009B4916" w:rsidR="00BA183C">
        <w:rPr>
          <w:sz w:val="24"/>
          <w:lang w:val="en-GB"/>
        </w:rPr>
        <w:tab/>
      </w:r>
      <w:r w:rsidRPr="009B4916">
        <w:rPr>
          <w:sz w:val="24"/>
          <w:lang w:val="en-GB"/>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25DD75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382B30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A183C" w14:paraId="2D05F9D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018695445">
    <w:abstractNumId w:val="9"/>
  </w:num>
  <w:num w:numId="2" w16cid:durableId="702637970">
    <w:abstractNumId w:val="9"/>
  </w:num>
  <w:num w:numId="3" w16cid:durableId="782188515">
    <w:abstractNumId w:val="7"/>
  </w:num>
  <w:num w:numId="4" w16cid:durableId="451051091">
    <w:abstractNumId w:val="7"/>
  </w:num>
  <w:num w:numId="5" w16cid:durableId="1233539895">
    <w:abstractNumId w:val="6"/>
  </w:num>
  <w:num w:numId="6" w16cid:durableId="1723751846">
    <w:abstractNumId w:val="6"/>
  </w:num>
  <w:num w:numId="7" w16cid:durableId="1025596314">
    <w:abstractNumId w:val="5"/>
  </w:num>
  <w:num w:numId="8" w16cid:durableId="553934571">
    <w:abstractNumId w:val="5"/>
  </w:num>
  <w:num w:numId="9" w16cid:durableId="788281116">
    <w:abstractNumId w:val="4"/>
  </w:num>
  <w:num w:numId="10" w16cid:durableId="391931372">
    <w:abstractNumId w:val="4"/>
  </w:num>
  <w:num w:numId="11" w16cid:durableId="1561482660">
    <w:abstractNumId w:val="8"/>
  </w:num>
  <w:num w:numId="12" w16cid:durableId="694965754">
    <w:abstractNumId w:val="8"/>
  </w:num>
  <w:num w:numId="13" w16cid:durableId="837961420">
    <w:abstractNumId w:val="3"/>
  </w:num>
  <w:num w:numId="14" w16cid:durableId="70782942">
    <w:abstractNumId w:val="3"/>
  </w:num>
  <w:num w:numId="15" w16cid:durableId="604583711">
    <w:abstractNumId w:val="2"/>
  </w:num>
  <w:num w:numId="16" w16cid:durableId="1661350648">
    <w:abstractNumId w:val="2"/>
  </w:num>
  <w:num w:numId="17" w16cid:durableId="1432820801">
    <w:abstractNumId w:val="1"/>
  </w:num>
  <w:num w:numId="18" w16cid:durableId="1714504633">
    <w:abstractNumId w:val="1"/>
  </w:num>
  <w:num w:numId="19" w16cid:durableId="1441726846">
    <w:abstractNumId w:val="0"/>
  </w:num>
  <w:num w:numId="20" w16cid:durableId="4334181">
    <w:abstractNumId w:val="0"/>
  </w:num>
  <w:num w:numId="21" w16cid:durableId="1561593910">
    <w:abstractNumId w:val="9"/>
  </w:num>
  <w:num w:numId="22" w16cid:durableId="1766918142">
    <w:abstractNumId w:val="7"/>
  </w:num>
  <w:num w:numId="23" w16cid:durableId="166016927">
    <w:abstractNumId w:val="6"/>
  </w:num>
  <w:num w:numId="24" w16cid:durableId="830147429">
    <w:abstractNumId w:val="5"/>
  </w:num>
  <w:num w:numId="25" w16cid:durableId="1742604877">
    <w:abstractNumId w:val="4"/>
  </w:num>
  <w:num w:numId="26" w16cid:durableId="137646826">
    <w:abstractNumId w:val="8"/>
  </w:num>
  <w:num w:numId="27" w16cid:durableId="1870411184">
    <w:abstractNumId w:val="3"/>
  </w:num>
  <w:num w:numId="28" w16cid:durableId="1367676628">
    <w:abstractNumId w:val="2"/>
  </w:num>
  <w:num w:numId="29" w16cid:durableId="1223638421">
    <w:abstractNumId w:val="1"/>
  </w:num>
  <w:num w:numId="30" w16cid:durableId="1765178502">
    <w:abstractNumId w:val="0"/>
  </w:num>
  <w:num w:numId="31" w16cid:durableId="43723496">
    <w:abstractNumId w:val="9"/>
  </w:num>
  <w:num w:numId="32" w16cid:durableId="729771894">
    <w:abstractNumId w:val="7"/>
  </w:num>
  <w:num w:numId="33" w16cid:durableId="2032803141">
    <w:abstractNumId w:val="6"/>
  </w:num>
  <w:num w:numId="34" w16cid:durableId="869031049">
    <w:abstractNumId w:val="5"/>
  </w:num>
  <w:num w:numId="35" w16cid:durableId="922177488">
    <w:abstractNumId w:val="4"/>
  </w:num>
  <w:num w:numId="36" w16cid:durableId="210962796">
    <w:abstractNumId w:val="8"/>
  </w:num>
  <w:num w:numId="37" w16cid:durableId="949162741">
    <w:abstractNumId w:val="3"/>
  </w:num>
  <w:num w:numId="38" w16cid:durableId="1981840171">
    <w:abstractNumId w:val="2"/>
  </w:num>
  <w:num w:numId="39" w16cid:durableId="1503089181">
    <w:abstractNumId w:val="1"/>
  </w:num>
  <w:num w:numId="40" w16cid:durableId="1750030620">
    <w:abstractNumId w:val="0"/>
  </w:num>
  <w:num w:numId="41" w16cid:durableId="182867569">
    <w:abstractNumId w:val="10"/>
  </w:num>
  <w:num w:numId="42" w16cid:durableId="2102214997">
    <w:abstractNumId w:val="10"/>
  </w:num>
  <w:num w:numId="43" w16cid:durableId="1129979135">
    <w:abstractNumId w:val="10"/>
  </w:num>
  <w:num w:numId="44" w16cid:durableId="1774743413">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60"/>
    <w:rsid w:val="00002272"/>
    <w:rsid w:val="00052D10"/>
    <w:rsid w:val="00064002"/>
    <w:rsid w:val="000677B9"/>
    <w:rsid w:val="000831BA"/>
    <w:rsid w:val="000A42CC"/>
    <w:rsid w:val="000E7DD9"/>
    <w:rsid w:val="0010095E"/>
    <w:rsid w:val="0012486E"/>
    <w:rsid w:val="00125B37"/>
    <w:rsid w:val="00174053"/>
    <w:rsid w:val="00187494"/>
    <w:rsid w:val="001F32AE"/>
    <w:rsid w:val="00201DF0"/>
    <w:rsid w:val="002420FB"/>
    <w:rsid w:val="002767FF"/>
    <w:rsid w:val="002A6758"/>
    <w:rsid w:val="002B18FE"/>
    <w:rsid w:val="002B5493"/>
    <w:rsid w:val="002E0445"/>
    <w:rsid w:val="003106D0"/>
    <w:rsid w:val="00343214"/>
    <w:rsid w:val="00361C00"/>
    <w:rsid w:val="003653C4"/>
    <w:rsid w:val="00395FA1"/>
    <w:rsid w:val="003E15D4"/>
    <w:rsid w:val="00411CCE"/>
    <w:rsid w:val="0041666E"/>
    <w:rsid w:val="00421060"/>
    <w:rsid w:val="00471C19"/>
    <w:rsid w:val="004867E3"/>
    <w:rsid w:val="00494A28"/>
    <w:rsid w:val="004C0004"/>
    <w:rsid w:val="004C145F"/>
    <w:rsid w:val="004C5D52"/>
    <w:rsid w:val="0050519A"/>
    <w:rsid w:val="005072A1"/>
    <w:rsid w:val="00514517"/>
    <w:rsid w:val="00525A9B"/>
    <w:rsid w:val="00545827"/>
    <w:rsid w:val="00560270"/>
    <w:rsid w:val="005C2568"/>
    <w:rsid w:val="005F1B17"/>
    <w:rsid w:val="006037C0"/>
    <w:rsid w:val="006631B6"/>
    <w:rsid w:val="00680577"/>
    <w:rsid w:val="006F74FA"/>
    <w:rsid w:val="00731ADD"/>
    <w:rsid w:val="00734777"/>
    <w:rsid w:val="00747932"/>
    <w:rsid w:val="00751A4A"/>
    <w:rsid w:val="00756632"/>
    <w:rsid w:val="00756927"/>
    <w:rsid w:val="00762C74"/>
    <w:rsid w:val="00786EC0"/>
    <w:rsid w:val="007D1690"/>
    <w:rsid w:val="007E22AD"/>
    <w:rsid w:val="00817416"/>
    <w:rsid w:val="00842779"/>
    <w:rsid w:val="00865F67"/>
    <w:rsid w:val="00874BE5"/>
    <w:rsid w:val="00881A7B"/>
    <w:rsid w:val="008840E5"/>
    <w:rsid w:val="00887B3E"/>
    <w:rsid w:val="008C2AC6"/>
    <w:rsid w:val="008E1130"/>
    <w:rsid w:val="00930C23"/>
    <w:rsid w:val="0093193B"/>
    <w:rsid w:val="009509D8"/>
    <w:rsid w:val="00950B64"/>
    <w:rsid w:val="00981893"/>
    <w:rsid w:val="009B4916"/>
    <w:rsid w:val="00A1687D"/>
    <w:rsid w:val="00A32501"/>
    <w:rsid w:val="00A43E52"/>
    <w:rsid w:val="00A4678D"/>
    <w:rsid w:val="00A778C7"/>
    <w:rsid w:val="00AB441E"/>
    <w:rsid w:val="00AB6293"/>
    <w:rsid w:val="00AC3760"/>
    <w:rsid w:val="00AE0928"/>
    <w:rsid w:val="00AF3B82"/>
    <w:rsid w:val="00B12E95"/>
    <w:rsid w:val="00B22876"/>
    <w:rsid w:val="00B558F0"/>
    <w:rsid w:val="00BA183C"/>
    <w:rsid w:val="00BD48FE"/>
    <w:rsid w:val="00BD7BD8"/>
    <w:rsid w:val="00BE6ADC"/>
    <w:rsid w:val="00C05BFE"/>
    <w:rsid w:val="00C23CD4"/>
    <w:rsid w:val="00C61C0C"/>
    <w:rsid w:val="00C9191D"/>
    <w:rsid w:val="00C941CB"/>
    <w:rsid w:val="00CC2357"/>
    <w:rsid w:val="00CC519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225"/>
    <w:rsid w:val="00F149E9"/>
    <w:rsid w:val="00F5134D"/>
    <w:rsid w:val="00F74202"/>
    <w:rsid w:val="00F87713"/>
    <w:rsid w:val="00FB4360"/>
    <w:rsid w:val="00FD0C70"/>
  </w:rsids>
  <w:docVars>
    <w:docVar w:name="dvdocse" w:val="A10-0105/2026"/>
    <w:docVar w:name="dvlangue" w:val="EN"/>
    <w:docVar w:name="dvnumam" w:val="568"/>
    <w:docVar w:name="dvpe" w:val="779.351"/>
    <w:docVar w:name="dvrapporteur" w:val="Rapporteur: "/>
    <w:docVar w:name="dvtitre" w:val="European Parliament resolution of xx Xxxx 2026 on the proposal for a Council regulation laying down the Multiannual Financial Framework for the years 2028 to 2034(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0F4388E"/>
  <w15:chartTrackingRefBased/>
  <w15:docId w15:val="{84232542-762C-4462-BCF2-A307F3B33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6758"/>
    <w:rPr>
      <w:b/>
      <w:kern w:val="28"/>
      <w:sz w:val="28"/>
      <w:lang w:val="fr-FR" w:eastAsia="fr-FR"/>
    </w:rPr>
  </w:style>
  <w:style w:type="character" w:customStyle="1" w:styleId="Heading2Char">
    <w:name w:val="Heading 2 Char"/>
    <w:basedOn w:val="DefaultParagraphFont"/>
    <w:link w:val="Heading2"/>
    <w:semiHidden/>
    <w:rsid w:val="002A6758"/>
    <w:rPr>
      <w:sz w:val="24"/>
      <w:lang w:val="fr-FR" w:eastAsia="fr-FR"/>
    </w:rPr>
  </w:style>
  <w:style w:type="character" w:customStyle="1" w:styleId="Heading3Char">
    <w:name w:val="Heading 3 Char"/>
    <w:basedOn w:val="DefaultParagraphFont"/>
    <w:link w:val="Heading3"/>
    <w:semiHidden/>
    <w:rsid w:val="002A6758"/>
    <w:rPr>
      <w:rFonts w:ascii="Arial" w:hAnsi="Arial"/>
      <w:sz w:val="24"/>
      <w:lang w:val="fr-FR" w:eastAsia="fr-FR"/>
    </w:rPr>
  </w:style>
  <w:style w:type="character" w:customStyle="1" w:styleId="Heading4Char">
    <w:name w:val="Heading 4 Char"/>
    <w:basedOn w:val="DefaultParagraphFont"/>
    <w:link w:val="Heading4"/>
    <w:semiHidden/>
    <w:rsid w:val="002A6758"/>
    <w:rPr>
      <w:sz w:val="24"/>
      <w:lang w:val="en-US" w:eastAsia="fr-FR"/>
    </w:rPr>
  </w:style>
  <w:style w:type="character" w:customStyle="1" w:styleId="Heading5Char">
    <w:name w:val="Heading 5 Char"/>
    <w:basedOn w:val="DefaultParagraphFont"/>
    <w:link w:val="Heading5"/>
    <w:semiHidden/>
    <w:rsid w:val="002A6758"/>
    <w:rPr>
      <w:sz w:val="24"/>
      <w:lang w:val="en-US" w:eastAsia="fr-FR"/>
    </w:rPr>
  </w:style>
  <w:style w:type="character" w:customStyle="1" w:styleId="Heading6Char">
    <w:name w:val="Heading 6 Char"/>
    <w:basedOn w:val="DefaultParagraphFont"/>
    <w:link w:val="Heading6"/>
    <w:semiHidden/>
    <w:rsid w:val="002A6758"/>
    <w:rPr>
      <w:i/>
      <w:sz w:val="22"/>
    </w:rPr>
  </w:style>
  <w:style w:type="character" w:customStyle="1" w:styleId="Heading7Char">
    <w:name w:val="Heading 7 Char"/>
    <w:basedOn w:val="DefaultParagraphFont"/>
    <w:link w:val="Heading7"/>
    <w:semiHidden/>
    <w:rsid w:val="002A6758"/>
    <w:rPr>
      <w:rFonts w:ascii="Arial" w:hAnsi="Arial"/>
      <w:sz w:val="24"/>
    </w:rPr>
  </w:style>
  <w:style w:type="character" w:customStyle="1" w:styleId="Heading8Char">
    <w:name w:val="Heading 8 Char"/>
    <w:basedOn w:val="DefaultParagraphFont"/>
    <w:link w:val="Heading8"/>
    <w:semiHidden/>
    <w:rsid w:val="002A6758"/>
    <w:rPr>
      <w:rFonts w:ascii="Arial" w:hAnsi="Arial"/>
      <w:i/>
      <w:sz w:val="24"/>
    </w:rPr>
  </w:style>
  <w:style w:type="character" w:customStyle="1" w:styleId="Heading9Char">
    <w:name w:val="Heading 9 Char"/>
    <w:basedOn w:val="DefaultParagraphFont"/>
    <w:link w:val="Heading9"/>
    <w:semiHidden/>
    <w:rsid w:val="002A6758"/>
    <w:rPr>
      <w:rFonts w:ascii="Arial" w:hAnsi="Arial"/>
      <w:b/>
      <w:i/>
      <w:sz w:val="18"/>
    </w:rPr>
  </w:style>
  <w:style w:type="paragraph" w:styleId="TOCHeading">
    <w:name w:val="TOC Heading"/>
    <w:basedOn w:val="Normal"/>
    <w:next w:val="Normal"/>
    <w:unhideWhenUsed/>
    <w:qFormat/>
    <w:rsid w:val="002A6758"/>
    <w:pPr>
      <w:widowControl/>
      <w:spacing w:after="240"/>
    </w:pPr>
  </w:style>
  <w:style w:type="paragraph" w:customStyle="1" w:styleId="Normal6a">
    <w:name w:val="Normal6a"/>
    <w:basedOn w:val="Normal"/>
    <w:rsid w:val="002A6758"/>
    <w:pPr>
      <w:widowControl/>
      <w:spacing w:after="120"/>
    </w:pPr>
  </w:style>
  <w:style w:type="paragraph" w:customStyle="1" w:styleId="EPFooter2">
    <w:name w:val="EPFooter2"/>
    <w:basedOn w:val="Normal"/>
    <w:next w:val="Normal"/>
    <w:rsid w:val="002A675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6758"/>
    <w:pPr>
      <w:widowControl/>
      <w:spacing w:before="480" w:after="240"/>
    </w:pPr>
  </w:style>
  <w:style w:type="paragraph" w:customStyle="1" w:styleId="TOCPage">
    <w:name w:val="TOC Page"/>
    <w:basedOn w:val="Normal"/>
    <w:next w:val="TOC1"/>
    <w:rsid w:val="002A6758"/>
    <w:pPr>
      <w:keepNext/>
      <w:widowControl/>
      <w:spacing w:after="240"/>
      <w:jc w:val="right"/>
    </w:pPr>
    <w:rPr>
      <w:rFonts w:ascii="Arial" w:hAnsi="Arial"/>
      <w:b/>
    </w:rPr>
  </w:style>
  <w:style w:type="paragraph" w:customStyle="1" w:styleId="PageHeading">
    <w:name w:val="PageHeading"/>
    <w:basedOn w:val="Normal"/>
    <w:link w:val="PageHeadingChar"/>
    <w:rsid w:val="002A6758"/>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2A6758"/>
    <w:pPr>
      <w:widowControl/>
      <w:spacing w:after="240"/>
      <w:ind w:left="567" w:hanging="567"/>
    </w:pPr>
  </w:style>
  <w:style w:type="paragraph" w:customStyle="1" w:styleId="NormalBold">
    <w:name w:val="NormalBold"/>
    <w:basedOn w:val="Normal"/>
    <w:link w:val="NormalBoldChar"/>
    <w:rsid w:val="002A6758"/>
    <w:pPr>
      <w:widowControl/>
    </w:pPr>
    <w:rPr>
      <w:b/>
    </w:rPr>
  </w:style>
  <w:style w:type="paragraph" w:customStyle="1" w:styleId="CoverNormal24a">
    <w:name w:val="CoverNormal24a"/>
    <w:basedOn w:val="Normal"/>
    <w:rsid w:val="002A6758"/>
    <w:pPr>
      <w:widowControl/>
      <w:spacing w:after="480"/>
      <w:ind w:left="1417"/>
    </w:pPr>
  </w:style>
  <w:style w:type="paragraph" w:customStyle="1" w:styleId="CoverNormal">
    <w:name w:val="CoverNormal"/>
    <w:basedOn w:val="Normal"/>
    <w:rsid w:val="002A6758"/>
    <w:pPr>
      <w:widowControl/>
      <w:ind w:left="1418"/>
    </w:pPr>
  </w:style>
  <w:style w:type="paragraph" w:customStyle="1" w:styleId="CoverReference">
    <w:name w:val="CoverReference"/>
    <w:basedOn w:val="Normal"/>
    <w:rsid w:val="002A6758"/>
    <w:pPr>
      <w:widowControl/>
      <w:spacing w:before="1080"/>
      <w:jc w:val="right"/>
    </w:pPr>
    <w:rPr>
      <w:rFonts w:ascii="Arial" w:hAnsi="Arial" w:cs="Arial"/>
      <w:b/>
    </w:rPr>
  </w:style>
  <w:style w:type="paragraph" w:customStyle="1" w:styleId="CoverDocType24a">
    <w:name w:val="CoverDocType24a"/>
    <w:basedOn w:val="Normal"/>
    <w:rsid w:val="002A6758"/>
    <w:pPr>
      <w:widowControl/>
      <w:spacing w:after="480"/>
      <w:ind w:left="1418"/>
    </w:pPr>
    <w:rPr>
      <w:rFonts w:ascii="Arial" w:hAnsi="Arial"/>
      <w:b/>
      <w:sz w:val="48"/>
    </w:rPr>
  </w:style>
  <w:style w:type="paragraph" w:customStyle="1" w:styleId="CoverDate">
    <w:name w:val="CoverDate"/>
    <w:basedOn w:val="Normal"/>
    <w:rsid w:val="002A6758"/>
    <w:pPr>
      <w:widowControl/>
      <w:spacing w:before="240" w:after="1200"/>
    </w:pPr>
  </w:style>
  <w:style w:type="paragraph" w:customStyle="1" w:styleId="NormalHangingLeft12a">
    <w:name w:val="NormalHangingLeft12a"/>
    <w:basedOn w:val="Normal"/>
    <w:rsid w:val="002A6758"/>
    <w:pPr>
      <w:widowControl/>
      <w:spacing w:after="240"/>
      <w:ind w:left="1134" w:hanging="567"/>
    </w:pPr>
  </w:style>
  <w:style w:type="paragraph" w:customStyle="1" w:styleId="AmOrLang">
    <w:name w:val="AmOrLang"/>
    <w:basedOn w:val="Normal"/>
    <w:rsid w:val="002A6758"/>
    <w:pPr>
      <w:widowControl/>
      <w:spacing w:before="240" w:after="240"/>
      <w:jc w:val="right"/>
    </w:pPr>
  </w:style>
  <w:style w:type="paragraph" w:customStyle="1" w:styleId="AmColumnHeading">
    <w:name w:val="AmColumnHeading"/>
    <w:basedOn w:val="Normal"/>
    <w:rsid w:val="002A6758"/>
    <w:pPr>
      <w:widowControl/>
      <w:spacing w:after="240"/>
      <w:jc w:val="center"/>
    </w:pPr>
    <w:rPr>
      <w:i/>
    </w:rPr>
  </w:style>
  <w:style w:type="paragraph" w:customStyle="1" w:styleId="AmNumberTabs">
    <w:name w:val="AmNumberTabs"/>
    <w:basedOn w:val="Normal"/>
    <w:link w:val="AmNumberTabsChar"/>
    <w:rsid w:val="002A6758"/>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A6758"/>
    <w:pPr>
      <w:widowControl/>
      <w:spacing w:before="240"/>
    </w:pPr>
    <w:rPr>
      <w:b/>
    </w:rPr>
  </w:style>
  <w:style w:type="paragraph" w:customStyle="1" w:styleId="EPBody">
    <w:name w:val="EPBody"/>
    <w:basedOn w:val="Normal"/>
    <w:rsid w:val="002A6758"/>
    <w:pPr>
      <w:widowControl/>
      <w:jc w:val="center"/>
    </w:pPr>
    <w:rPr>
      <w:rFonts w:ascii="Arial" w:hAnsi="Arial" w:cs="Arial"/>
      <w:i/>
      <w:sz w:val="22"/>
      <w:szCs w:val="22"/>
    </w:rPr>
  </w:style>
  <w:style w:type="paragraph" w:customStyle="1" w:styleId="EPFooter">
    <w:name w:val="EPFooter"/>
    <w:basedOn w:val="Normal"/>
    <w:rsid w:val="002A6758"/>
    <w:pPr>
      <w:widowControl/>
      <w:tabs>
        <w:tab w:val="center" w:pos="4535"/>
        <w:tab w:val="right" w:pos="9071"/>
      </w:tabs>
      <w:spacing w:before="240" w:after="240"/>
    </w:pPr>
    <w:rPr>
      <w:color w:val="010000"/>
      <w:sz w:val="22"/>
    </w:rPr>
  </w:style>
  <w:style w:type="paragraph" w:styleId="Header">
    <w:name w:val="header"/>
    <w:basedOn w:val="Normal"/>
    <w:link w:val="HeaderChar"/>
    <w:rsid w:val="002A6758"/>
    <w:pPr>
      <w:widowControl/>
      <w:tabs>
        <w:tab w:val="center" w:pos="4513"/>
        <w:tab w:val="right" w:pos="9026"/>
      </w:tabs>
    </w:pPr>
  </w:style>
  <w:style w:type="character" w:customStyle="1" w:styleId="HeaderChar">
    <w:name w:val="Header Char"/>
    <w:basedOn w:val="DefaultParagraphFont"/>
    <w:link w:val="Header"/>
    <w:rsid w:val="002A6758"/>
    <w:rPr>
      <w:sz w:val="24"/>
    </w:rPr>
  </w:style>
  <w:style w:type="paragraph" w:customStyle="1" w:styleId="Normal12a">
    <w:name w:val="Normal12a"/>
    <w:basedOn w:val="Normal"/>
    <w:rsid w:val="002A6758"/>
    <w:pPr>
      <w:widowControl/>
      <w:spacing w:after="240"/>
    </w:pPr>
  </w:style>
  <w:style w:type="paragraph" w:styleId="CommentText">
    <w:name w:val="annotation text"/>
    <w:basedOn w:val="Normal"/>
    <w:link w:val="CommentTextChar"/>
    <w:rsid w:val="002A6758"/>
    <w:pPr>
      <w:widowControl/>
    </w:pPr>
    <w:rPr>
      <w:sz w:val="20"/>
    </w:rPr>
  </w:style>
  <w:style w:type="character" w:customStyle="1" w:styleId="CommentTextChar">
    <w:name w:val="Comment Text Char"/>
    <w:basedOn w:val="DefaultParagraphFont"/>
    <w:link w:val="CommentText"/>
    <w:rsid w:val="002A6758"/>
  </w:style>
  <w:style w:type="character" w:styleId="CommentReference">
    <w:name w:val="annotation reference"/>
    <w:unhideWhenUsed/>
    <w:rsid w:val="002A6758"/>
    <w:rPr>
      <w:rFonts w:ascii="Times New Roman" w:hAnsi="Times New Roman" w:cs="Times New Roman" w:hint="default"/>
      <w:sz w:val="16"/>
      <w:szCs w:val="16"/>
    </w:rPr>
  </w:style>
  <w:style w:type="paragraph" w:customStyle="1" w:styleId="Point0number">
    <w:name w:val="Point 0 (number)"/>
    <w:basedOn w:val="Normal"/>
    <w:rsid w:val="002A6758"/>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2A6758"/>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2A6758"/>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2A6758"/>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2A6758"/>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2A6758"/>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2A6758"/>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2A6758"/>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2A6758"/>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2A6758"/>
    <w:rPr>
      <w:vertAlign w:val="superscript"/>
    </w:rPr>
  </w:style>
  <w:style w:type="character" w:customStyle="1" w:styleId="SupBoldItalic">
    <w:name w:val="SupBoldItalic"/>
    <w:uiPriority w:val="1"/>
    <w:qFormat/>
    <w:rsid w:val="002A6758"/>
    <w:rPr>
      <w:b/>
      <w:bCs w:val="0"/>
      <w:i/>
      <w:iCs w:val="0"/>
      <w:vertAlign w:val="superscript"/>
    </w:rPr>
  </w:style>
  <w:style w:type="paragraph" w:styleId="CommentSubject">
    <w:name w:val="annotation subject"/>
    <w:basedOn w:val="CommentText"/>
    <w:next w:val="CommentText"/>
    <w:link w:val="CommentSubjectChar"/>
    <w:unhideWhenUsed/>
    <w:rsid w:val="002A6758"/>
    <w:rPr>
      <w:b/>
      <w:bCs/>
    </w:rPr>
  </w:style>
  <w:style w:type="character" w:customStyle="1" w:styleId="CommentSubjectChar">
    <w:name w:val="Comment Subject Char"/>
    <w:basedOn w:val="CommentTextChar"/>
    <w:link w:val="CommentSubject"/>
    <w:rsid w:val="002A6758"/>
    <w:rPr>
      <w:b/>
      <w:bCs/>
    </w:rPr>
  </w:style>
  <w:style w:type="paragraph" w:customStyle="1" w:styleId="Text1">
    <w:name w:val="Text 1"/>
    <w:basedOn w:val="Normal"/>
    <w:rsid w:val="002A6758"/>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2A6758"/>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2A6758"/>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2A6758"/>
    <w:rPr>
      <w:rFonts w:ascii="Arial" w:hAnsi="Arial" w:eastAsiaTheme="majorEastAsia"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2A6758"/>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2A6758"/>
    <w:rPr>
      <w:rFonts w:ascii="Arial" w:hAnsi="Arial" w:eastAsiaTheme="majorEastAsia" w:cs="Arial"/>
      <w:kern w:val="2"/>
      <w:sz w:val="24"/>
      <w:szCs w:val="24"/>
      <w:lang w:eastAsia="en-US"/>
      <w14:ligatures w14:val="standardContextual"/>
    </w:rPr>
  </w:style>
  <w:style w:type="character" w:styleId="Strong">
    <w:name w:val="Strong"/>
    <w:basedOn w:val="DefaultParagraphFont"/>
    <w:uiPriority w:val="22"/>
    <w:qFormat/>
    <w:rsid w:val="002A6758"/>
    <w:rPr>
      <w:b/>
      <w:bCs/>
    </w:rPr>
  </w:style>
  <w:style w:type="character" w:styleId="Emphasis">
    <w:name w:val="Emphasis"/>
    <w:basedOn w:val="DefaultParagraphFont"/>
    <w:uiPriority w:val="20"/>
    <w:qFormat/>
    <w:rsid w:val="002A6758"/>
    <w:rPr>
      <w:rFonts w:asciiTheme="minorHAnsi" w:hAnsiTheme="minorHAnsi"/>
      <w:b/>
      <w:i/>
      <w:iCs/>
    </w:rPr>
  </w:style>
  <w:style w:type="paragraph" w:styleId="NoSpacing">
    <w:name w:val="No Spacing"/>
    <w:basedOn w:val="Normal"/>
    <w:uiPriority w:val="1"/>
    <w:qFormat/>
    <w:rsid w:val="002A6758"/>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2A6758"/>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2A6758"/>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2A6758"/>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2A6758"/>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2A6758"/>
    <w:rPr>
      <w:rFonts w:eastAsiaTheme="minorHAnsi"/>
      <w:b/>
      <w:i/>
      <w:kern w:val="2"/>
      <w:sz w:val="24"/>
      <w:szCs w:val="22"/>
      <w:lang w:eastAsia="en-US"/>
      <w14:ligatures w14:val="standardContextual"/>
    </w:rPr>
  </w:style>
  <w:style w:type="character" w:styleId="SubtleEmphasis">
    <w:name w:val="Subtle Emphasis"/>
    <w:uiPriority w:val="19"/>
    <w:qFormat/>
    <w:rsid w:val="002A6758"/>
    <w:rPr>
      <w:i/>
      <w:color w:val="5A5A5A" w:themeColor="text1" w:themeTint="A5"/>
    </w:rPr>
  </w:style>
  <w:style w:type="character" w:styleId="IntenseEmphasis">
    <w:name w:val="Intense Emphasis"/>
    <w:basedOn w:val="DefaultParagraphFont"/>
    <w:uiPriority w:val="21"/>
    <w:qFormat/>
    <w:rsid w:val="002A6758"/>
    <w:rPr>
      <w:b/>
      <w:i/>
      <w:sz w:val="24"/>
      <w:szCs w:val="24"/>
      <w:u w:val="single"/>
    </w:rPr>
  </w:style>
  <w:style w:type="character" w:styleId="SubtleReference">
    <w:name w:val="Subtle Reference"/>
    <w:basedOn w:val="DefaultParagraphFont"/>
    <w:uiPriority w:val="31"/>
    <w:qFormat/>
    <w:rsid w:val="002A6758"/>
    <w:rPr>
      <w:sz w:val="24"/>
      <w:szCs w:val="24"/>
      <w:u w:val="single"/>
    </w:rPr>
  </w:style>
  <w:style w:type="character" w:styleId="IntenseReference">
    <w:name w:val="Intense Reference"/>
    <w:basedOn w:val="DefaultParagraphFont"/>
    <w:uiPriority w:val="32"/>
    <w:qFormat/>
    <w:rsid w:val="002A6758"/>
    <w:rPr>
      <w:b/>
      <w:sz w:val="24"/>
      <w:u w:val="single"/>
    </w:rPr>
  </w:style>
  <w:style w:type="character" w:styleId="BookTitle">
    <w:name w:val="Book Title"/>
    <w:basedOn w:val="DefaultParagraphFont"/>
    <w:uiPriority w:val="33"/>
    <w:qFormat/>
    <w:rsid w:val="002A6758"/>
    <w:rPr>
      <w:rFonts w:asciiTheme="majorHAnsi" w:eastAsiaTheme="majorEastAsia" w:hAnsiTheme="majorHAnsi"/>
      <w:b/>
      <w:i/>
      <w:sz w:val="24"/>
      <w:szCs w:val="24"/>
    </w:rPr>
  </w:style>
  <w:style w:type="paragraph" w:customStyle="1" w:styleId="Default">
    <w:name w:val="Default"/>
    <w:rsid w:val="002A6758"/>
    <w:pPr>
      <w:autoSpaceDE w:val="0"/>
      <w:autoSpaceDN w:val="0"/>
      <w:adjustRightInd w:val="0"/>
    </w:pPr>
    <w:rPr>
      <w:rFonts w:eastAsiaTheme="minorHAnsi"/>
      <w:color w:val="000000"/>
      <w:sz w:val="24"/>
      <w:szCs w:val="24"/>
      <w:lang w:eastAsia="en-US"/>
    </w:rPr>
  </w:style>
  <w:style w:type="character" w:customStyle="1" w:styleId="NormalHanging12aChar">
    <w:name w:val="NormalHanging12a Char"/>
    <w:basedOn w:val="DefaultParagraphFont"/>
    <w:link w:val="NormalHanging12a"/>
    <w:rsid w:val="002A6758"/>
    <w:rPr>
      <w:sz w:val="24"/>
    </w:rPr>
  </w:style>
  <w:style w:type="paragraph" w:styleId="Revision">
    <w:name w:val="Revision"/>
    <w:hidden/>
    <w:uiPriority w:val="99"/>
    <w:semiHidden/>
    <w:rsid w:val="002A6758"/>
    <w:rPr>
      <w:rFonts w:eastAsiaTheme="minorHAnsi"/>
      <w:kern w:val="2"/>
      <w:sz w:val="24"/>
      <w:szCs w:val="24"/>
      <w:lang w:eastAsia="en-US"/>
      <w14:ligatures w14:val="standardContextual"/>
    </w:rPr>
  </w:style>
  <w:style w:type="paragraph" w:styleId="BalloonText">
    <w:name w:val="Balloon Text"/>
    <w:basedOn w:val="Normal"/>
    <w:link w:val="BalloonTextChar"/>
    <w:uiPriority w:val="99"/>
    <w:unhideWhenUsed/>
    <w:rsid w:val="002A6758"/>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2A6758"/>
    <w:rPr>
      <w:rFonts w:ascii="Segoe UI" w:hAnsi="Segoe UI" w:eastAsiaTheme="minorHAnsi" w:cs="Segoe UI"/>
      <w:kern w:val="2"/>
      <w:sz w:val="18"/>
      <w:szCs w:val="18"/>
      <w:lang w:eastAsia="en-US"/>
      <w14:ligatures w14:val="standardContextual"/>
    </w:rPr>
  </w:style>
  <w:style w:type="character" w:styleId="Hyperlink">
    <w:name w:val="Hyperlink"/>
    <w:basedOn w:val="DefaultParagraphFont"/>
    <w:rsid w:val="002A6758"/>
    <w:rPr>
      <w:color w:val="0563C1" w:themeColor="hyperlink"/>
      <w:u w:val="single"/>
    </w:rPr>
  </w:style>
  <w:style w:type="character" w:styleId="FollowedHyperlink">
    <w:name w:val="FollowedHyperlink"/>
    <w:basedOn w:val="DefaultParagraphFont"/>
    <w:rsid w:val="002A6758"/>
    <w:rPr>
      <w:color w:val="954F72" w:themeColor="followedHyperlink"/>
      <w:u w:val="single"/>
    </w:rPr>
  </w:style>
  <w:style w:type="paragraph" w:customStyle="1" w:styleId="Normal24a">
    <w:name w:val="Normal24a"/>
    <w:basedOn w:val="Normal"/>
    <w:rsid w:val="002A6758"/>
    <w:pPr>
      <w:spacing w:after="480"/>
    </w:pPr>
  </w:style>
  <w:style w:type="paragraph" w:customStyle="1" w:styleId="NormalBoldCenter">
    <w:name w:val="NormalBoldCenter"/>
    <w:basedOn w:val="Normal"/>
    <w:rsid w:val="002A6758"/>
    <w:pPr>
      <w:jc w:val="center"/>
    </w:pPr>
    <w:rPr>
      <w:b/>
    </w:rPr>
  </w:style>
  <w:style w:type="paragraph" w:customStyle="1" w:styleId="Footprint12b">
    <w:name w:val="Footprint12b"/>
    <w:basedOn w:val="Normal"/>
    <w:rsid w:val="002A6758"/>
    <w:pPr>
      <w:spacing w:before="240"/>
    </w:pPr>
    <w:rPr>
      <w:szCs w:val="24"/>
    </w:rPr>
  </w:style>
  <w:style w:type="paragraph" w:customStyle="1" w:styleId="NormalSingle">
    <w:name w:val="NormalSingle"/>
    <w:basedOn w:val="Normal"/>
    <w:qFormat/>
    <w:rsid w:val="002A6758"/>
    <w:rPr>
      <w:szCs w:val="24"/>
    </w:rPr>
  </w:style>
  <w:style w:type="character" w:styleId="UnresolvedMention">
    <w:name w:val="Unresolved Mention"/>
    <w:basedOn w:val="DefaultParagraphFont"/>
    <w:uiPriority w:val="99"/>
    <w:semiHidden/>
    <w:unhideWhenUsed/>
    <w:rsid w:val="002A6758"/>
    <w:rPr>
      <w:color w:val="605E5C"/>
      <w:shd w:val="clear" w:color="auto" w:fill="E1DFDD"/>
    </w:rPr>
  </w:style>
  <w:style w:type="paragraph" w:customStyle="1" w:styleId="PageHeadingNotTOC">
    <w:name w:val="PageHeadingNotTOC"/>
    <w:basedOn w:val="Normal"/>
    <w:rsid w:val="002A6758"/>
    <w:pPr>
      <w:keepNext/>
      <w:spacing w:after="480"/>
      <w:jc w:val="center"/>
    </w:pPr>
    <w:rPr>
      <w:rFonts w:ascii="Arial" w:hAnsi="Arial" w:cs="Arial"/>
      <w:b/>
    </w:rPr>
  </w:style>
  <w:style w:type="paragraph" w:customStyle="1" w:styleId="Subheading">
    <w:name w:val="Subheading"/>
    <w:basedOn w:val="Normal"/>
    <w:rsid w:val="002A6758"/>
    <w:pPr>
      <w:spacing w:before="480" w:after="240"/>
    </w:pPr>
    <w:rPr>
      <w:b/>
      <w:i/>
      <w:szCs w:val="24"/>
    </w:rPr>
  </w:style>
  <w:style w:type="paragraph" w:customStyle="1" w:styleId="AmJustText">
    <w:name w:val="AmJustText"/>
    <w:basedOn w:val="Normal"/>
    <w:rsid w:val="002A6758"/>
    <w:pPr>
      <w:spacing w:after="240"/>
    </w:pPr>
    <w:rPr>
      <w:i/>
    </w:rPr>
  </w:style>
  <w:style w:type="paragraph" w:customStyle="1" w:styleId="AmCrossRef">
    <w:name w:val="AmCrossRef"/>
    <w:basedOn w:val="Normal"/>
    <w:rsid w:val="002A6758"/>
    <w:pPr>
      <w:spacing w:before="240" w:after="240"/>
      <w:jc w:val="center"/>
    </w:pPr>
    <w:rPr>
      <w:i/>
    </w:rPr>
  </w:style>
  <w:style w:type="paragraph" w:customStyle="1" w:styleId="AmJustTitle">
    <w:name w:val="AmJustTitle"/>
    <w:basedOn w:val="Normal"/>
    <w:next w:val="AmJustText"/>
    <w:rsid w:val="002A6758"/>
    <w:pPr>
      <w:keepNext/>
      <w:spacing w:before="240" w:after="240"/>
      <w:jc w:val="center"/>
    </w:pPr>
    <w:rPr>
      <w:i/>
    </w:rPr>
  </w:style>
  <w:style w:type="paragraph" w:customStyle="1" w:styleId="Normal6">
    <w:name w:val="Normal6"/>
    <w:basedOn w:val="Normal"/>
    <w:link w:val="Normal6Char"/>
    <w:rsid w:val="002A6758"/>
    <w:pPr>
      <w:spacing w:after="120"/>
    </w:pPr>
    <w:rPr>
      <w:lang w:val="fr-FR"/>
    </w:rPr>
  </w:style>
  <w:style w:type="character" w:customStyle="1" w:styleId="NormalBoldChar">
    <w:name w:val="NormalBold Char"/>
    <w:link w:val="NormalBold"/>
    <w:rsid w:val="002A6758"/>
    <w:rPr>
      <w:b/>
      <w:sz w:val="24"/>
    </w:rPr>
  </w:style>
  <w:style w:type="character" w:customStyle="1" w:styleId="Normal6Char">
    <w:name w:val="Normal6 Char"/>
    <w:link w:val="Normal6"/>
    <w:rsid w:val="002A6758"/>
    <w:rPr>
      <w:sz w:val="24"/>
      <w:lang w:val="fr-FR"/>
    </w:rPr>
  </w:style>
  <w:style w:type="paragraph" w:customStyle="1" w:styleId="ColumnHeading">
    <w:name w:val="ColumnHeading"/>
    <w:basedOn w:val="Normal"/>
    <w:rsid w:val="002A6758"/>
    <w:pPr>
      <w:spacing w:after="240"/>
      <w:jc w:val="center"/>
    </w:pPr>
    <w:rPr>
      <w:i/>
      <w:lang w:val="fr-FR"/>
    </w:rPr>
  </w:style>
  <w:style w:type="paragraph" w:customStyle="1" w:styleId="AMNumberTabs0">
    <w:name w:val="AMNumberTabs"/>
    <w:basedOn w:val="Normal"/>
    <w:rsid w:val="002A67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2A6758"/>
    <w:pPr>
      <w:jc w:val="right"/>
    </w:pPr>
  </w:style>
  <w:style w:type="paragraph" w:customStyle="1" w:styleId="RollCallSymbols14pt">
    <w:name w:val="RollCallSymbols14pt"/>
    <w:basedOn w:val="Normal"/>
    <w:rsid w:val="002A675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6758"/>
    <w:pPr>
      <w:tabs>
        <w:tab w:val="center" w:pos="284"/>
        <w:tab w:val="left" w:pos="426"/>
      </w:tabs>
    </w:pPr>
    <w:rPr>
      <w:snapToGrid w:val="0"/>
      <w:lang w:eastAsia="en-US"/>
    </w:rPr>
  </w:style>
  <w:style w:type="paragraph" w:customStyle="1" w:styleId="RollCallVotes">
    <w:name w:val="RollCallVotes"/>
    <w:basedOn w:val="Normal"/>
    <w:rsid w:val="002A6758"/>
    <w:pPr>
      <w:spacing w:before="120" w:after="120"/>
      <w:jc w:val="center"/>
    </w:pPr>
    <w:rPr>
      <w:b/>
      <w:bCs/>
      <w:snapToGrid w:val="0"/>
      <w:sz w:val="16"/>
      <w:lang w:eastAsia="en-US"/>
    </w:rPr>
  </w:style>
  <w:style w:type="paragraph" w:customStyle="1" w:styleId="RollCallTable">
    <w:name w:val="RollCallTable"/>
    <w:basedOn w:val="Normal"/>
    <w:rsid w:val="002A6758"/>
    <w:pPr>
      <w:spacing w:before="120" w:after="120"/>
    </w:pPr>
    <w:rPr>
      <w:snapToGrid w:val="0"/>
      <w:sz w:val="16"/>
      <w:lang w:eastAsia="en-US"/>
    </w:rPr>
  </w:style>
  <w:style w:type="paragraph" w:customStyle="1" w:styleId="NormalBold12b12a">
    <w:name w:val="NormalBold12b12a"/>
    <w:basedOn w:val="Normal"/>
    <w:next w:val="NormalBold"/>
    <w:rsid w:val="002A6758"/>
    <w:pPr>
      <w:widowControl/>
      <w:spacing w:before="240" w:after="240"/>
    </w:pPr>
    <w:rPr>
      <w:b/>
      <w:szCs w:val="24"/>
      <w:lang w:eastAsia="en-US"/>
    </w:rPr>
  </w:style>
  <w:style w:type="paragraph" w:customStyle="1" w:styleId="AmDocTypeTab">
    <w:name w:val="AmDocTypeTab"/>
    <w:basedOn w:val="Normal"/>
    <w:rsid w:val="002A6758"/>
    <w:pPr>
      <w:tabs>
        <w:tab w:val="right" w:pos="9071"/>
      </w:tabs>
    </w:pPr>
    <w:rPr>
      <w:b/>
    </w:rPr>
  </w:style>
  <w:style w:type="paragraph" w:customStyle="1" w:styleId="AmDateTab">
    <w:name w:val="AmDateTab"/>
    <w:basedOn w:val="Normal"/>
    <w:rsid w:val="002A6758"/>
    <w:pPr>
      <w:tabs>
        <w:tab w:val="right" w:pos="9071"/>
      </w:tabs>
    </w:pPr>
  </w:style>
  <w:style w:type="character" w:customStyle="1" w:styleId="AmNumberTabsChar">
    <w:name w:val="AmNumberTabs Char"/>
    <w:basedOn w:val="DefaultParagraphFont"/>
    <w:link w:val="AmNumberTabs"/>
    <w:rsid w:val="002A6758"/>
    <w:rPr>
      <w:b/>
      <w:sz w:val="24"/>
    </w:rPr>
  </w:style>
  <w:style w:type="character" w:customStyle="1" w:styleId="NormalBold12bChar">
    <w:name w:val="NormalBold12b Char"/>
    <w:basedOn w:val="AmNumberTabsChar"/>
    <w:link w:val="NormalBold12b"/>
    <w:rsid w:val="002A6758"/>
    <w:rPr>
      <w:b/>
      <w:sz w:val="24"/>
    </w:rPr>
  </w:style>
  <w:style w:type="paragraph" w:customStyle="1" w:styleId="msonormal">
    <w:name w:val="msonormal"/>
    <w:basedOn w:val="Normal"/>
    <w:rsid w:val="002A6758"/>
    <w:pPr>
      <w:widowControl/>
      <w:spacing w:before="100" w:beforeAutospacing="1" w:after="100" w:afterAutospacing="1"/>
    </w:pPr>
    <w:rPr>
      <w:szCs w:val="24"/>
    </w:rPr>
  </w:style>
  <w:style w:type="paragraph" w:customStyle="1" w:styleId="LetterSalutation">
    <w:name w:val="LetterSalutation"/>
    <w:basedOn w:val="Normal"/>
    <w:rsid w:val="002A6758"/>
    <w:pPr>
      <w:spacing w:before="600" w:after="360"/>
    </w:pPr>
  </w:style>
  <w:style w:type="paragraph" w:styleId="Index1">
    <w:name w:val="index 1"/>
    <w:basedOn w:val="Normal"/>
    <w:next w:val="Normal"/>
    <w:autoRedefine/>
    <w:uiPriority w:val="99"/>
    <w:unhideWhenUsed/>
    <w:rsid w:val="002A6758"/>
    <w:pPr>
      <w:widowControl/>
      <w:ind w:left="220" w:hanging="220"/>
    </w:pPr>
    <w:rPr>
      <w:rFonts w:asciiTheme="minorHAnsi" w:eastAsiaTheme="minorEastAsia" w:hAnsiTheme="minorHAnsi" w:cstheme="minorBidi"/>
      <w:sz w:val="22"/>
      <w:szCs w:val="22"/>
      <w:lang w:val="lt-LT" w:eastAsia="ja-JP"/>
    </w:rPr>
  </w:style>
  <w:style w:type="paragraph" w:styleId="IndexHeading">
    <w:name w:val="index heading"/>
    <w:basedOn w:val="Normal"/>
    <w:next w:val="Index1"/>
    <w:unhideWhenUsed/>
    <w:rsid w:val="002A6758"/>
    <w:rPr>
      <w:rFonts w:ascii="Arial" w:hAnsi="Arial"/>
      <w:b/>
      <w:lang w:val="fr-FR"/>
    </w:rPr>
  </w:style>
  <w:style w:type="paragraph" w:customStyle="1" w:styleId="CoverDocType">
    <w:name w:val="CoverDocType"/>
    <w:basedOn w:val="Normal"/>
    <w:rsid w:val="002A6758"/>
    <w:pPr>
      <w:ind w:left="1418"/>
    </w:pPr>
    <w:rPr>
      <w:rFonts w:ascii="Arial" w:hAnsi="Arial"/>
      <w:b/>
      <w:sz w:val="48"/>
    </w:rPr>
  </w:style>
  <w:style w:type="paragraph" w:customStyle="1" w:styleId="CoverBold">
    <w:name w:val="CoverBold"/>
    <w:basedOn w:val="Normal"/>
    <w:rsid w:val="002A6758"/>
    <w:pPr>
      <w:ind w:left="1417"/>
    </w:pPr>
    <w:rPr>
      <w:b/>
    </w:rPr>
  </w:style>
  <w:style w:type="paragraph" w:customStyle="1" w:styleId="ZDateAM">
    <w:name w:val="ZDateAM"/>
    <w:basedOn w:val="Normal"/>
    <w:rsid w:val="002A6758"/>
    <w:pPr>
      <w:tabs>
        <w:tab w:val="right" w:pos="9356"/>
      </w:tabs>
      <w:spacing w:after="480"/>
    </w:pPr>
    <w:rPr>
      <w:noProof/>
    </w:rPr>
  </w:style>
  <w:style w:type="paragraph" w:styleId="NormalWeb">
    <w:name w:val="Normal (Web)"/>
    <w:basedOn w:val="Normal"/>
    <w:rsid w:val="002A6758"/>
    <w:rPr>
      <w:szCs w:val="24"/>
    </w:rPr>
  </w:style>
  <w:style w:type="character" w:customStyle="1" w:styleId="EPFooter2Motto">
    <w:name w:val="EPFooter2Motto"/>
    <w:rsid w:val="002A6758"/>
    <w:rPr>
      <w:rFonts w:ascii="Arial" w:hAnsi="Arial"/>
      <w:b/>
      <w:i/>
      <w:color w:val="C0C0C0"/>
      <w:sz w:val="22"/>
    </w:rPr>
  </w:style>
  <w:style w:type="paragraph" w:customStyle="1" w:styleId="EPFooterLandscape">
    <w:name w:val="EPFooterLandscape"/>
    <w:rsid w:val="002A6758"/>
    <w:pPr>
      <w:tabs>
        <w:tab w:val="center" w:pos="6800"/>
        <w:tab w:val="right" w:pos="15020"/>
      </w:tabs>
    </w:pPr>
    <w:rPr>
      <w:sz w:val="22"/>
      <w:lang w:eastAsia="en-US"/>
    </w:rPr>
  </w:style>
  <w:style w:type="paragraph" w:customStyle="1" w:styleId="Normal0">
    <w:name w:val="Normal0"/>
    <w:basedOn w:val="Normal"/>
    <w:rsid w:val="002A6758"/>
    <w:pPr>
      <w:widowControl/>
    </w:pPr>
    <w:rPr>
      <w:sz w:val="0"/>
      <w:szCs w:val="24"/>
      <w:lang w:eastAsia="en-US"/>
    </w:rPr>
  </w:style>
  <w:style w:type="paragraph" w:customStyle="1" w:styleId="EPFooter2Landscape">
    <w:name w:val="EPFooter2Landscape"/>
    <w:rsid w:val="002A6758"/>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2A6758"/>
    <w:rPr>
      <w:rFonts w:ascii="Arial" w:hAnsi="Arial"/>
      <w:b w:val="0"/>
      <w:i/>
      <w:color w:val="AEAAAA"/>
      <w:sz w:val="22"/>
      <w:shd w:val="pct50" w:color="auto" w:fill="auto"/>
    </w:rPr>
  </w:style>
  <w:style w:type="paragraph" w:customStyle="1" w:styleId="PMissingStyle">
    <w:name w:val="P_MissingStyle"/>
    <w:basedOn w:val="Normal"/>
    <w:rsid w:val="002A6758"/>
    <w:pPr>
      <w:widowControl/>
    </w:pPr>
    <w:rPr>
      <w:color w:val="FFFFFF"/>
      <w:szCs w:val="24"/>
      <w:shd w:val="clear" w:color="000000" w:fill="000000"/>
      <w:lang w:eastAsia="en-US"/>
    </w:rPr>
  </w:style>
  <w:style w:type="character" w:customStyle="1" w:styleId="CMissingStyle">
    <w:name w:val="C_MissingStyle"/>
    <w:rsid w:val="002A6758"/>
    <w:rPr>
      <w:color w:val="FFFFFF"/>
      <w:sz w:val="22"/>
      <w:shd w:val="clear" w:color="000000" w:fill="000000"/>
    </w:rPr>
  </w:style>
  <w:style w:type="paragraph" w:customStyle="1" w:styleId="LetterSubject">
    <w:name w:val="LetterSubject"/>
    <w:basedOn w:val="Normal"/>
    <w:rsid w:val="002A6758"/>
    <w:pPr>
      <w:spacing w:before="480"/>
      <w:ind w:left="1134" w:hanging="1134"/>
    </w:pPr>
  </w:style>
  <w:style w:type="paragraph" w:customStyle="1" w:styleId="LetterSignature66b">
    <w:name w:val="LetterSignature66b"/>
    <w:basedOn w:val="Normal"/>
    <w:next w:val="Normal"/>
    <w:rsid w:val="002A6758"/>
    <w:pPr>
      <w:spacing w:before="1320"/>
    </w:pPr>
  </w:style>
  <w:style w:type="paragraph" w:customStyle="1" w:styleId="Normal12">
    <w:name w:val="Normal12"/>
    <w:basedOn w:val="Normal"/>
    <w:link w:val="Normal12Char"/>
    <w:rsid w:val="002A6758"/>
    <w:pPr>
      <w:widowControl/>
      <w:spacing w:after="240"/>
    </w:pPr>
    <w:rPr>
      <w:rFonts w:ascii="Arial" w:hAnsi="Arial" w:cs="Arial"/>
    </w:rPr>
  </w:style>
  <w:style w:type="character" w:customStyle="1" w:styleId="PageHeadingChar">
    <w:name w:val="PageHeading Char"/>
    <w:basedOn w:val="DefaultParagraphFont"/>
    <w:link w:val="PageHeading"/>
    <w:rsid w:val="002A6758"/>
    <w:rPr>
      <w:rFonts w:ascii="Arial" w:hAnsi="Arial" w:cs="Arial"/>
      <w:b/>
      <w:sz w:val="24"/>
    </w:rPr>
  </w:style>
  <w:style w:type="character" w:customStyle="1" w:styleId="Normal12Char">
    <w:name w:val="Normal12 Char"/>
    <w:basedOn w:val="PageHeadingChar"/>
    <w:link w:val="Normal12"/>
    <w:rsid w:val="002A6758"/>
    <w:rPr>
      <w:rFonts w:ascii="Arial" w:hAnsi="Arial" w:cs="Arial"/>
      <w:b w:val="0"/>
      <w:sz w:val="24"/>
    </w:rPr>
  </w:style>
  <w:style w:type="paragraph" w:styleId="Footer">
    <w:name w:val="footer"/>
    <w:basedOn w:val="Normal"/>
    <w:link w:val="FooterChar"/>
    <w:rsid w:val="002A6758"/>
    <w:pPr>
      <w:widowControl/>
      <w:tabs>
        <w:tab w:val="center" w:pos="4513"/>
        <w:tab w:val="right" w:pos="9026"/>
      </w:tabs>
    </w:pPr>
  </w:style>
  <w:style w:type="character" w:customStyle="1" w:styleId="FooterChar">
    <w:name w:val="Footer Char"/>
    <w:basedOn w:val="DefaultParagraphFont"/>
    <w:link w:val="Footer"/>
    <w:rsid w:val="002A675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24298</Words>
  <Characters>139749</Characters>
  <Application>Microsoft Office Word</Application>
  <DocSecurity>0</DocSecurity>
  <Lines>1164</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2026-06-03T09:16:00Z</dcterms:created>
  <dcterms:modified xsi:type="dcterms:W3CDTF">2026-06-03T09:16:00Z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A10-0105/2026</vt:lpwstr>
  </property>
  <property fmtid="{D5CDD505-2E9C-101B-9397-08002B2CF9AE}" pid="4" name="&lt;Type&gt;">
    <vt:lpwstr>RR</vt:lpwstr>
  </property>
</Properties>
</file>