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72D71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2D97" w:rsidP="0010095E" w14:paraId="1BCA83B8" w14:textId="77777777">
            <w:pPr>
              <w:pStyle w:val="EPName"/>
            </w:pPr>
            <w:r w:rsidRPr="00FE2D97">
              <w:t>Parlament Europejski</w:t>
            </w:r>
          </w:p>
          <w:p w:rsidR="00751A4A" w:rsidRPr="00FE2D97" w:rsidP="005F1B17" w14:paraId="432BFA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2D97">
              <w:t>2024</w:t>
            </w:r>
            <w:r w:rsidRPr="00FE2D97" w:rsidR="00817416">
              <w:t>-202</w:t>
            </w:r>
            <w:r w:rsidRPr="00FE2D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E2D97" w:rsidP="0010095E" w14:paraId="092EE0CD" w14:textId="77777777">
            <w:pPr>
              <w:pStyle w:val="EPLogo"/>
            </w:pPr>
            <w:r w:rsidRPr="00FE2D9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2D97" w:rsidP="004C5D52" w14:paraId="5EB347AE" w14:textId="77777777">
      <w:pPr>
        <w:pStyle w:val="LineTop"/>
      </w:pPr>
    </w:p>
    <w:p w:rsidR="00680577" w:rsidRPr="00FE2D97" w:rsidP="00680577" w14:paraId="1ED1B761" w14:textId="77777777">
      <w:pPr>
        <w:pStyle w:val="EPBodyTA1"/>
      </w:pPr>
      <w:r w:rsidRPr="00FE2D97">
        <w:t>TEKSTY PRZYJĘTE</w:t>
      </w:r>
    </w:p>
    <w:p w:rsidR="00D058B8" w:rsidRPr="00FE2D97" w:rsidP="00D058B8" w14:paraId="6E74BD8E" w14:textId="77777777">
      <w:pPr>
        <w:pStyle w:val="LineBottom"/>
      </w:pPr>
    </w:p>
    <w:p w:rsidR="003D6B89" w:rsidRPr="00FE2D97" w:rsidP="003D6B89" w14:paraId="0F98EF11" w14:textId="487FE2D7">
      <w:pPr>
        <w:pStyle w:val="ATHeading1"/>
      </w:pPr>
      <w:bookmarkStart w:id="0" w:name="TANumber"/>
      <w:r w:rsidRPr="00FE2D97">
        <w:t>P10_TA(2026)0</w:t>
      </w:r>
      <w:bookmarkEnd w:id="0"/>
      <w:r w:rsidR="00604742">
        <w:t>111</w:t>
      </w:r>
    </w:p>
    <w:p w:rsidR="003D6B89" w:rsidRPr="00FE2D97" w:rsidP="003D6B89" w14:paraId="79182A07" w14:textId="77777777">
      <w:pPr>
        <w:pStyle w:val="ATHeading2"/>
      </w:pPr>
      <w:bookmarkStart w:id="1" w:name="title"/>
      <w:r w:rsidRPr="00FE2D97">
        <w:t>Wstępne sprawozdanie w sprawie wniosku dotyczącego wieloletnich ram finansowych na lata 2028–2034</w:t>
      </w:r>
      <w:bookmarkEnd w:id="1"/>
    </w:p>
    <w:p w:rsidR="003D6B89" w:rsidRPr="00FE2D97" w:rsidP="003D6B89" w14:paraId="2F1139FE" w14:textId="77777777">
      <w:pPr>
        <w:rPr>
          <w:i/>
          <w:vanish/>
        </w:rPr>
      </w:pPr>
      <w:r>
        <w:rPr>
          <w:i/>
        </w:rPr>
        <w:fldChar w:fldCharType="begin"/>
      </w:r>
      <w:r w:rsidRPr="00FE2D97">
        <w:rPr>
          <w:i/>
        </w:rPr>
        <w:instrText xml:space="preserve"> TC"(</w:instrText>
      </w:r>
      <w:bookmarkStart w:id="2" w:name="DocNumber"/>
      <w:r w:rsidRPr="00FE2D97">
        <w:rPr>
          <w:i/>
        </w:rPr>
        <w:instrText>A10-0105/2026</w:instrText>
      </w:r>
      <w:bookmarkEnd w:id="2"/>
      <w:r w:rsidRPr="00FE2D97">
        <w:rPr>
          <w:i/>
        </w:rPr>
        <w:instrText xml:space="preserve"> - Sprawozdawca: Siegfried Mureşan, Carla Tavares)"\l3 \n&gt; \* MERGEFORMAT </w:instrText>
      </w:r>
      <w:r>
        <w:rPr>
          <w:i/>
        </w:rPr>
        <w:fldChar w:fldCharType="end"/>
      </w:r>
    </w:p>
    <w:p w:rsidR="003D6B89" w:rsidRPr="00FE2D97" w:rsidP="003D6B89" w14:paraId="42EA8B08" w14:textId="77777777">
      <w:pPr>
        <w:rPr>
          <w:vanish/>
        </w:rPr>
      </w:pPr>
      <w:bookmarkStart w:id="3" w:name="Commission"/>
      <w:r w:rsidRPr="00FE2D97">
        <w:rPr>
          <w:vanish/>
        </w:rPr>
        <w:t>Komisja Budżetowa</w:t>
      </w:r>
      <w:bookmarkEnd w:id="3"/>
    </w:p>
    <w:p w:rsidR="003D6B89" w:rsidRPr="00FE2D97" w:rsidP="003D6B89" w14:paraId="3AE48FDE" w14:textId="77777777">
      <w:pPr>
        <w:rPr>
          <w:vanish/>
        </w:rPr>
      </w:pPr>
      <w:bookmarkStart w:id="4" w:name="PE"/>
      <w:r w:rsidRPr="00FE2D97">
        <w:rPr>
          <w:vanish/>
        </w:rPr>
        <w:t>PE779.351</w:t>
      </w:r>
      <w:bookmarkEnd w:id="4"/>
    </w:p>
    <w:p w:rsidR="003D6B89" w:rsidRPr="00FE2D97" w:rsidP="003D6B89" w14:paraId="6D7008F1" w14:textId="1E8F9FC4">
      <w:pPr>
        <w:pStyle w:val="ATHeading3"/>
      </w:pPr>
      <w:bookmarkStart w:id="5" w:name="Sujet"/>
      <w:r w:rsidRPr="00FE2D97">
        <w:t xml:space="preserve">Rezolucja Parlamentu Europejskiego z dnia </w:t>
      </w:r>
      <w:r w:rsidR="002553CF">
        <w:t>28 kwietnia</w:t>
      </w:r>
      <w:r w:rsidRPr="00FE2D97">
        <w:t xml:space="preserve"> 2026 r. w sprawie wniosku dotyczącego rozporządzenia Rady określającego wieloletnie ramy finansowe na lata 2028–2034</w:t>
      </w:r>
      <w:bookmarkEnd w:id="5"/>
      <w:r w:rsidRPr="00FE2D97">
        <w:t xml:space="preserve"> </w:t>
      </w:r>
      <w:bookmarkStart w:id="6" w:name="References"/>
      <w:r w:rsidRPr="00FE2D97">
        <w:t>(COM(2025)0571 – C10-0000/2025 – 2025/0571R(APP))</w:t>
      </w:r>
      <w:bookmarkEnd w:id="6"/>
    </w:p>
    <w:p w:rsidR="00251551" w:rsidRPr="00FE2D97" w:rsidP="00251551" w14:paraId="2ADB8224" w14:textId="77777777">
      <w:pPr>
        <w:pStyle w:val="EPComma"/>
      </w:pPr>
      <w:r w:rsidRPr="00FE2D97">
        <w:rPr>
          <w:i/>
        </w:rPr>
        <w:t>Parlament Europejski</w:t>
      </w:r>
      <w:r w:rsidRPr="00FE2D97">
        <w:t>,</w:t>
      </w:r>
    </w:p>
    <w:p w:rsidR="00251551" w:rsidRPr="00FE2D97" w:rsidP="00251551" w14:paraId="421C6FA0" w14:textId="77777777">
      <w:pPr>
        <w:pStyle w:val="NormalHanging12a"/>
      </w:pPr>
      <w:r w:rsidRPr="00FE2D97">
        <w:t>–</w:t>
      </w:r>
      <w:r w:rsidRPr="00FE2D97">
        <w:tab/>
        <w:t>uwzględniając art. 8, 285, 287, 311, 312, 323 i 349 Traktatu o funkcjonowaniu Unii Europejskiej (TFUE),</w:t>
      </w:r>
    </w:p>
    <w:p w:rsidR="00251551" w:rsidRPr="00FE2D97" w:rsidP="00251551" w14:paraId="57F33114" w14:textId="77777777">
      <w:pPr>
        <w:pStyle w:val="NormalHanging12a"/>
      </w:pPr>
      <w:r w:rsidRPr="00FE2D97">
        <w:t>–</w:t>
      </w:r>
      <w:r w:rsidRPr="00FE2D97">
        <w:tab/>
        <w:t>uwzględniając komunikat Komisji z 16 lipca 2025 r. pt. „Dynamiczny budżet UE na miarę priorytetów przyszłości – Wieloletnie ramy finansowe 2028–2034” (COM(2025)0570),</w:t>
      </w:r>
    </w:p>
    <w:p w:rsidR="00251551" w:rsidRPr="00FE2D97" w:rsidP="00251551" w14:paraId="27AEB1F2" w14:textId="77777777">
      <w:pPr>
        <w:pStyle w:val="NormalHanging12a"/>
      </w:pPr>
      <w:r w:rsidRPr="00FE2D97">
        <w:t>–</w:t>
      </w:r>
      <w:r w:rsidRPr="00FE2D97">
        <w:tab/>
        <w:t>uwzględniając wniosek Komisji z dnia 16 lipca 2025 r. dotyczący rozporządzenia Rady określającego wieloletnie ramy finansowe na lata 2028–2034 (COM(2025)0571),</w:t>
      </w:r>
    </w:p>
    <w:p w:rsidR="00251551" w:rsidRPr="00FE2D97" w:rsidP="00251551" w14:paraId="73ED570B" w14:textId="77777777">
      <w:pPr>
        <w:pStyle w:val="NormalHanging12a"/>
      </w:pPr>
      <w:r w:rsidRPr="00FE2D97">
        <w:t>–</w:t>
      </w:r>
      <w:r w:rsidRPr="00FE2D97">
        <w:tab/>
        <w:t xml:space="preserve">uwzględniając wniosek Komisji z dnia 16 lipca 2025 r. dotyczący decyzji Rady w sprawie systemu zasobów własnych Unii Europejskiej oraz uchylającej decyzję (UE, </w:t>
      </w:r>
      <w:r w:rsidRPr="00FE2D97">
        <w:t>Euratom</w:t>
      </w:r>
      <w:r w:rsidRPr="00FE2D97">
        <w:t xml:space="preserve">) 2020/2053 (COM(2025)0574), </w:t>
      </w:r>
    </w:p>
    <w:p w:rsidR="00251551" w:rsidRPr="00FE2D97" w:rsidP="00251551" w14:paraId="733141CC" w14:textId="05C34A3C">
      <w:pPr>
        <w:pStyle w:val="NormalHanging12a"/>
      </w:pPr>
      <w:r w:rsidRPr="00FE2D97">
        <w:t>–</w:t>
      </w:r>
      <w:r w:rsidRPr="00FE2D97">
        <w:tab/>
        <w:t>uwzględniając wniosek Komisji z dnia 16 lipca 2025 r. dotyczący Porozumienia międzyinstytucjonalnego między Parlamentem Europejskim, Radą Unii Europejskiej i Komisją Europejską w sprawie dyscypliny budżetowej, współpracy w kwestiach budżetowych i należytego zarządzania finansami (</w:t>
      </w:r>
      <w:r w:rsidRPr="00FE2D97">
        <w:t>COM(</w:t>
      </w:r>
      <w:r w:rsidRPr="00FE2D97">
        <w:t>2025)</w:t>
      </w:r>
      <w:r w:rsidR="00020BBB">
        <w:t>0</w:t>
      </w:r>
      <w:r w:rsidRPr="00FE2D97">
        <w:t>572),</w:t>
      </w:r>
    </w:p>
    <w:p w:rsidR="00251551" w:rsidRPr="00FE2D97" w:rsidP="00251551" w14:paraId="43B6123D" w14:textId="77777777">
      <w:pPr>
        <w:pStyle w:val="NormalHanging12a"/>
      </w:pPr>
      <w:r w:rsidRPr="00FE2D97">
        <w:t>–</w:t>
      </w:r>
      <w:r w:rsidRPr="00FE2D97">
        <w:tab/>
        <w:t>uwzględniając swoją rezolucję z dnia 7 maja 2025 r. w sprawie zmienionego budżetu długoterminowego dla Unii w zmieniającym się świecie</w:t>
      </w:r>
      <w:r>
        <w:rPr>
          <w:rStyle w:val="FootnoteReference"/>
        </w:rPr>
        <w:footnoteReference w:id="2"/>
      </w:r>
      <w:r w:rsidRPr="00FE2D97">
        <w:t>,</w:t>
      </w:r>
    </w:p>
    <w:p w:rsidR="00251551" w:rsidRPr="00FE2D97" w:rsidP="00251551" w14:paraId="3AE693FD" w14:textId="77777777">
      <w:pPr>
        <w:pStyle w:val="NormalHanging12a"/>
      </w:pPr>
      <w:r w:rsidRPr="00FE2D97">
        <w:t>–</w:t>
      </w:r>
      <w:r w:rsidRPr="00FE2D97">
        <w:tab/>
        <w:t>uwzględniając swoją rezolucję z dnia 10 września 2025 r. w sprawie znaczenia inwestycji w ramach polityki spójności w rozwiązaniu obecnego kryzysu mieszkaniowego</w:t>
      </w:r>
      <w:r>
        <w:rPr>
          <w:rStyle w:val="FootnoteReference"/>
        </w:rPr>
        <w:footnoteReference w:id="3"/>
      </w:r>
      <w:r w:rsidRPr="00FE2D97">
        <w:t>,</w:t>
      </w:r>
    </w:p>
    <w:p w:rsidR="00251551" w:rsidRPr="00FE2D97" w:rsidP="00251551" w14:paraId="3AC824FB" w14:textId="77777777">
      <w:pPr>
        <w:pStyle w:val="NormalHanging12a"/>
      </w:pPr>
      <w:r w:rsidRPr="00FE2D97">
        <w:t>–</w:t>
      </w:r>
      <w:r w:rsidRPr="00FE2D97">
        <w:tab/>
        <w:t>uwzględniając swoją rezolucję z dnia 21 stycznia 2026 r. w sprawie wdrażania wspólnej polityki zagranicznej i bezpieczeństwa – sprawozdanie roczne za 2025 r.</w:t>
      </w:r>
      <w:r>
        <w:rPr>
          <w:rStyle w:val="FootnoteReference"/>
        </w:rPr>
        <w:footnoteReference w:id="4"/>
      </w:r>
      <w:r w:rsidRPr="00FE2D97">
        <w:t>,</w:t>
      </w:r>
    </w:p>
    <w:p w:rsidR="00251551" w:rsidRPr="00FE2D97" w:rsidP="00251551" w14:paraId="2B3F8362" w14:textId="77777777">
      <w:pPr>
        <w:pStyle w:val="NormalHanging12a"/>
      </w:pPr>
      <w:r w:rsidRPr="00FE2D97">
        <w:t>–</w:t>
      </w:r>
      <w:r w:rsidRPr="00FE2D97">
        <w:tab/>
        <w:t>uwzględniając rozporządzenie Parlamentu Europejskiego i Rady (UE, </w:t>
      </w:r>
      <w:r w:rsidRPr="00FE2D97">
        <w:t>Euratom</w:t>
      </w:r>
      <w:r w:rsidRPr="00FE2D97">
        <w:t>) 2024/2509 z dnia 23 września 2024 r. w sprawie zasad finansowych mających zastosowanie do budżetu ogólnego Unii</w:t>
      </w:r>
      <w:r>
        <w:rPr>
          <w:rStyle w:val="FootnoteReference"/>
        </w:rPr>
        <w:footnoteReference w:id="5"/>
      </w:r>
      <w:r w:rsidRPr="00FE2D97">
        <w:t>,</w:t>
      </w:r>
    </w:p>
    <w:p w:rsidR="00251551" w:rsidRPr="00FE2D97" w:rsidP="00251551" w14:paraId="3EA0040B" w14:textId="77777777">
      <w:pPr>
        <w:pStyle w:val="NormalHanging12a"/>
      </w:pPr>
      <w:r w:rsidRPr="00FE2D97">
        <w:t>–</w:t>
      </w:r>
      <w:r w:rsidRPr="00FE2D97">
        <w:tab/>
        <w:t xml:space="preserve">uwzględniając rozporządzenie Parlamentu Europejskiego i Rady (UE, </w:t>
      </w:r>
      <w:r w:rsidRPr="00FE2D97">
        <w:t>Euratom</w:t>
      </w:r>
      <w:r w:rsidRPr="00FE2D97">
        <w:t>) 2020/2092 z dnia 16 grudnia 2020 r. w sprawie ogólnego systemu warunkowości służącego ochronie budżetu Unii (rozporządzenie dotyczące warunkowości w zakresie praworządności)</w:t>
      </w:r>
      <w:r>
        <w:rPr>
          <w:rStyle w:val="FootnoteReference"/>
        </w:rPr>
        <w:footnoteReference w:id="6"/>
      </w:r>
      <w:r w:rsidRPr="00FE2D97">
        <w:t>,</w:t>
      </w:r>
    </w:p>
    <w:p w:rsidR="00251551" w:rsidRPr="00FE2D97" w:rsidP="00251551" w14:paraId="1BC7F1BD" w14:textId="77777777">
      <w:pPr>
        <w:pStyle w:val="NormalHanging12a"/>
      </w:pPr>
      <w:r w:rsidRPr="00FE2D97">
        <w:t>–</w:t>
      </w:r>
      <w:r w:rsidRPr="00FE2D97">
        <w:tab/>
        <w:t xml:space="preserve">uwzględniając sprawozdanie Enrica </w:t>
      </w:r>
      <w:r w:rsidRPr="00FE2D97">
        <w:t>Letty</w:t>
      </w:r>
      <w:r w:rsidRPr="00FE2D97">
        <w:t xml:space="preserve"> z 10 kwietnia 2024 r. pt. „Much </w:t>
      </w:r>
      <w:r w:rsidRPr="00FE2D97">
        <w:t>more</w:t>
      </w:r>
      <w:r w:rsidRPr="00FE2D97">
        <w:t xml:space="preserve"> </w:t>
      </w:r>
      <w:r w:rsidRPr="00FE2D97">
        <w:t>than</w:t>
      </w:r>
      <w:r w:rsidRPr="00FE2D97">
        <w:t xml:space="preserve"> a market” [Znacznie więcej niż rynek] (raport </w:t>
      </w:r>
      <w:r w:rsidRPr="00FE2D97">
        <w:t>Letty</w:t>
      </w:r>
      <w:r w:rsidRPr="00FE2D97">
        <w:t>),</w:t>
      </w:r>
    </w:p>
    <w:p w:rsidR="00251551" w:rsidRPr="00FE2D97" w:rsidP="00251551" w14:paraId="6091AE09" w14:textId="77777777">
      <w:pPr>
        <w:pStyle w:val="NormalHanging12a"/>
      </w:pPr>
      <w:r w:rsidRPr="00FE2D97">
        <w:t>–</w:t>
      </w:r>
      <w:r w:rsidRPr="00FE2D97">
        <w:tab/>
        <w:t xml:space="preserve">uwzględniając sprawozdanie Maria </w:t>
      </w:r>
      <w:r w:rsidRPr="00FE2D97">
        <w:t>Draghiego</w:t>
      </w:r>
      <w:r w:rsidRPr="00FE2D97">
        <w:t xml:space="preserve"> z 9 września 2024 r. na temat przyszłości europejskiej konkurencyjności (sprawozdanie </w:t>
      </w:r>
      <w:r w:rsidRPr="00FE2D97">
        <w:t>Draghiego</w:t>
      </w:r>
      <w:r w:rsidRPr="00FE2D97">
        <w:t>),</w:t>
      </w:r>
    </w:p>
    <w:p w:rsidR="00251551" w:rsidRPr="00FE2D97" w:rsidP="00251551" w14:paraId="4FCE68F5" w14:textId="77777777">
      <w:pPr>
        <w:pStyle w:val="NormalHanging12a"/>
      </w:pPr>
      <w:r w:rsidRPr="00FE2D97">
        <w:t>–</w:t>
      </w:r>
      <w:r w:rsidRPr="00FE2D97">
        <w:tab/>
        <w:t xml:space="preserve">uwzględniając sprawozdanie </w:t>
      </w:r>
      <w:r w:rsidRPr="00FE2D97">
        <w:t>Sauliego</w:t>
      </w:r>
      <w:r w:rsidRPr="00FE2D97">
        <w:t xml:space="preserve"> </w:t>
      </w:r>
      <w:r w:rsidRPr="00FE2D97">
        <w:t>Niinistö</w:t>
      </w:r>
      <w:r w:rsidRPr="00FE2D97">
        <w:t xml:space="preserve"> z 30 października 2024 r. pt. „Razem bezpieczniej: wzmocnienie gotowości cywilnej i wojskowej oraz przygotowania w Europie” (sprawozdanie </w:t>
      </w:r>
      <w:r w:rsidRPr="00FE2D97">
        <w:t>Niinistö</w:t>
      </w:r>
      <w:r w:rsidRPr="00FE2D97">
        <w:t>),</w:t>
      </w:r>
    </w:p>
    <w:p w:rsidR="00251551" w:rsidRPr="00FE2D97" w:rsidP="00251551" w14:paraId="3C9D691A" w14:textId="77777777">
      <w:pPr>
        <w:pStyle w:val="NormalHanging12a"/>
      </w:pPr>
      <w:r w:rsidRPr="00FE2D97">
        <w:t>–</w:t>
      </w:r>
      <w:r w:rsidRPr="00FE2D97">
        <w:tab/>
        <w:t>uwzględniając komunikat Komisji z dnia 18 lutego 2026 r. w sprawie wschodnich regionów UE graniczących z Rosją, Białorusią i Ukrainą – Silne regiony na rzecz bezpiecznej Europy (COM(2026)0082),</w:t>
      </w:r>
    </w:p>
    <w:p w:rsidR="00251551" w:rsidRPr="00FE2D97" w:rsidP="00251551" w14:paraId="7DD5EC13" w14:textId="77777777">
      <w:pPr>
        <w:pStyle w:val="NormalHanging12a"/>
      </w:pPr>
      <w:r w:rsidRPr="00FE2D97">
        <w:t>–</w:t>
      </w:r>
      <w:r w:rsidRPr="00FE2D97">
        <w:tab/>
        <w:t>uwzględniając swoje rezolucje w sprawie regionów najbardziej oddalonych oraz krajów i terytoriów zamorskich, obowiązujące strategie polityczne w tym zakresie oraz publikacje Komisji dotyczące specjalnego wsparcia dla tych regionów, w tym w dziedzinie rolnictwa,</w:t>
      </w:r>
    </w:p>
    <w:p w:rsidR="00251551" w:rsidRPr="00FE2D97" w:rsidP="00251551" w14:paraId="12CE88BF" w14:textId="77777777">
      <w:pPr>
        <w:pStyle w:val="NormalHanging12a"/>
      </w:pPr>
      <w:r w:rsidRPr="00FE2D97">
        <w:t>–</w:t>
      </w:r>
      <w:r w:rsidRPr="00FE2D97">
        <w:tab/>
        <w:t>uwzględniając komunikat Komisji z dnia 11 grudnia 2019 r. pt. „Europejski Zielony Ład” (COM(2019)0640),</w:t>
      </w:r>
    </w:p>
    <w:p w:rsidR="00251551" w:rsidRPr="00FE2D97" w:rsidP="00251551" w14:paraId="1860B3F9" w14:textId="77777777">
      <w:pPr>
        <w:pStyle w:val="NormalHanging12a"/>
      </w:pPr>
      <w:r w:rsidRPr="00FE2D97">
        <w:t>–</w:t>
      </w:r>
      <w:r w:rsidRPr="00FE2D97">
        <w:tab/>
        <w:t>uwzględniając komunikat Komisji z dnia 12 listopada 2025 r. pt. „Kompas kultury dla Europy” (COM(2025)0785),</w:t>
      </w:r>
    </w:p>
    <w:p w:rsidR="00251551" w:rsidRPr="00FE2D97" w:rsidP="00251551" w14:paraId="50E50DDB" w14:textId="77777777">
      <w:pPr>
        <w:pStyle w:val="NormalHanging12a"/>
      </w:pPr>
      <w:r w:rsidRPr="00FE2D97">
        <w:t>-</w:t>
      </w:r>
      <w:r w:rsidRPr="00FE2D97">
        <w:tab/>
        <w:t>uwzględniając opinię Europejskiego Komitetu Ekonomiczno-Społecznego z dnia 22 stycznia 2026 r. w sprawie wieloletnich ram finansowych na lata 2028-2034,</w:t>
      </w:r>
    </w:p>
    <w:p w:rsidR="00251551" w:rsidRPr="00FE2D97" w:rsidP="00251551" w14:paraId="7E515F73" w14:textId="77777777">
      <w:pPr>
        <w:pStyle w:val="NormalHanging12a"/>
      </w:pPr>
      <w:r w:rsidRPr="00FE2D97">
        <w:t>-</w:t>
      </w:r>
      <w:r w:rsidRPr="00FE2D97">
        <w:tab/>
        <w:t>uwzględniając opinię Europejskiego Komitetu Ekonomiczno-Społecznego z dnia 22 stycznia 2026 r. w sprawie wniosku dotyczącego zasobów własnych na rok 2025,</w:t>
      </w:r>
    </w:p>
    <w:p w:rsidR="00251551" w:rsidRPr="00FE2D97" w:rsidP="00251551" w14:paraId="12C7B744" w14:textId="77777777">
      <w:pPr>
        <w:pStyle w:val="NormalHanging12a"/>
      </w:pPr>
      <w:r w:rsidRPr="00FE2D97">
        <w:t>–</w:t>
      </w:r>
      <w:r w:rsidRPr="00FE2D97">
        <w:tab/>
        <w:t>uwzględniając rezolucję Europejskiego Komitetu Regionów z dnia 15 października 2025 r. w sprawie wniosku dotyczącego wieloletnich ram finansowych na lata 2028–2034,</w:t>
      </w:r>
    </w:p>
    <w:p w:rsidR="00251551" w:rsidRPr="00FE2D97" w:rsidP="00251551" w14:paraId="12CE622E" w14:textId="77777777">
      <w:pPr>
        <w:pStyle w:val="NormalHanging12a"/>
      </w:pPr>
      <w:r w:rsidRPr="00FE2D97">
        <w:t>–</w:t>
      </w:r>
      <w:r w:rsidRPr="00FE2D97">
        <w:tab/>
        <w:t>uwzględniając opinię Europejskiego Komitetu Regionów z dnia 4 marca 2026 r. w sprawie wieloletnich ram finansowych (WRF) po 2027 r., w tym pakietu dotyczącego zasobów własnych,</w:t>
      </w:r>
    </w:p>
    <w:p w:rsidR="00251551" w:rsidRPr="00FE2D97" w:rsidP="00251551" w14:paraId="12993436" w14:textId="77777777">
      <w:pPr>
        <w:pStyle w:val="NormalHanging12a"/>
      </w:pPr>
      <w:r w:rsidRPr="00FE2D97">
        <w:t>–</w:t>
      </w:r>
      <w:r w:rsidRPr="00FE2D97">
        <w:tab/>
        <w:t>uwzględniając wszystkie istotne sprawozdania Europejskiego Trybunału Obrachunkowego dotyczące wieloletnich ram finansowych,</w:t>
      </w:r>
    </w:p>
    <w:p w:rsidR="00251551" w:rsidRPr="00FE2D97" w:rsidP="00251551" w14:paraId="1A74C99F" w14:textId="77777777">
      <w:pPr>
        <w:pStyle w:val="NormalHanging12a"/>
      </w:pPr>
      <w:r w:rsidRPr="00FE2D97">
        <w:t>–</w:t>
      </w:r>
      <w:r w:rsidRPr="00FE2D97">
        <w:tab/>
        <w:t>uwzględniając porozumienie przyjęte na 15. Konferencji Stron Konwencji o różnorodności biologicznej (COP 15) w Montrealu 19 grudnia 2022 r. (globalne ramy różnorodności biologicznej z Kunmingu/Montrealu),</w:t>
      </w:r>
    </w:p>
    <w:p w:rsidR="00251551" w:rsidRPr="00FE2D97" w:rsidP="00251551" w14:paraId="0D678F9D" w14:textId="77777777">
      <w:pPr>
        <w:pStyle w:val="NormalHanging12a"/>
      </w:pPr>
      <w:r w:rsidRPr="00FE2D97">
        <w:t>–</w:t>
      </w:r>
      <w:r w:rsidRPr="00FE2D97">
        <w:tab/>
        <w:t>uwzględniając porozumienie przyjęte na 21. Konferencji Stron Ramowej Konwencji Narodów Zjednoczonych w sprawie Zmian Klimatu (COP 21) w Paryżu 12 grudnia 2015 r. (porozumienie paryskie),</w:t>
      </w:r>
    </w:p>
    <w:p w:rsidR="00251551" w:rsidRPr="00FE2D97" w:rsidP="00251551" w14:paraId="58FD2C03" w14:textId="77777777">
      <w:pPr>
        <w:pStyle w:val="NormalHanging12a"/>
      </w:pPr>
      <w:r w:rsidRPr="00FE2D97">
        <w:t>–</w:t>
      </w:r>
      <w:r w:rsidRPr="00FE2D97">
        <w:tab/>
        <w:t>uwzględniając cele zrównoważonego rozwoju Organizacji Narodów Zjednoczonych,</w:t>
      </w:r>
    </w:p>
    <w:p w:rsidR="00251551" w:rsidRPr="00FE2D97" w:rsidP="00251551" w14:paraId="038E4EDA" w14:textId="77777777">
      <w:pPr>
        <w:pStyle w:val="NormalHanging12a"/>
      </w:pPr>
      <w:r w:rsidRPr="00FE2D97">
        <w:t>–</w:t>
      </w:r>
      <w:r w:rsidRPr="00FE2D97">
        <w:tab/>
        <w:t xml:space="preserve">uwzględniając Konwencję ONZ o prawach osób niepełnosprawnych, </w:t>
      </w:r>
    </w:p>
    <w:p w:rsidR="00251551" w:rsidRPr="00FE2D97" w:rsidP="00251551" w14:paraId="0573B9EC" w14:textId="77777777">
      <w:pPr>
        <w:pStyle w:val="NormalHanging12a"/>
      </w:pPr>
      <w:r w:rsidRPr="00FE2D97">
        <w:t>–</w:t>
      </w:r>
      <w:r w:rsidRPr="00FE2D97">
        <w:tab/>
        <w:t>uwzględniając spotkania przewodniczących na podstawie art. 324 TFUE,</w:t>
      </w:r>
    </w:p>
    <w:p w:rsidR="00251551" w:rsidRPr="00FE2D97" w:rsidP="00251551" w14:paraId="43B0331A" w14:textId="77777777">
      <w:pPr>
        <w:pStyle w:val="NormalHanging12a"/>
      </w:pPr>
      <w:r w:rsidRPr="00FE2D97">
        <w:t>–</w:t>
      </w:r>
      <w:r w:rsidRPr="00FE2D97">
        <w:tab/>
        <w:t xml:space="preserve">uwzględniając pismo przewodniczącej Komisji Europejskiej Ursuli von der </w:t>
      </w:r>
      <w:r w:rsidRPr="00FE2D97">
        <w:t>Leyen</w:t>
      </w:r>
      <w:r w:rsidRPr="00FE2D97">
        <w:t xml:space="preserve"> do prezydenta Cypru Nikosa </w:t>
      </w:r>
      <w:r w:rsidRPr="00FE2D97">
        <w:t>Christodoulidesa</w:t>
      </w:r>
      <w:r w:rsidRPr="00FE2D97">
        <w:t xml:space="preserve">, sprawującego rotacyjną prezydencję w </w:t>
      </w:r>
      <w:r w:rsidRPr="00FE2D97">
        <w:t>Radzie,</w:t>
      </w:r>
      <w:r w:rsidRPr="00FE2D97">
        <w:t xml:space="preserve"> oraz do przewodniczącej Parlamentu Europejskiego Roberty </w:t>
      </w:r>
      <w:r w:rsidRPr="00FE2D97">
        <w:t>Metsoli</w:t>
      </w:r>
      <w:r w:rsidRPr="00FE2D97">
        <w:t xml:space="preserve"> z 6 stycznia 2026 r. w sprawie wspólnej polityki rolnej w wieloletnich ramach finansowych na lata 2028–2034,</w:t>
      </w:r>
    </w:p>
    <w:p w:rsidR="00251551" w:rsidRPr="00FE2D97" w:rsidP="00251551" w14:paraId="59A55844" w14:textId="77777777">
      <w:pPr>
        <w:pStyle w:val="NormalHanging12a"/>
      </w:pPr>
      <w:r w:rsidRPr="00FE2D97">
        <w:t>–</w:t>
      </w:r>
      <w:r w:rsidRPr="00FE2D97">
        <w:tab/>
        <w:t>uwzględniając art. 107 ust. 5 Regulaminu,</w:t>
      </w:r>
    </w:p>
    <w:p w:rsidR="00251551" w:rsidRPr="00FE2D97" w:rsidP="00251551" w14:paraId="37381127" w14:textId="77777777">
      <w:pPr>
        <w:pStyle w:val="NormalHanging12a"/>
      </w:pPr>
      <w:r w:rsidRPr="00FE2D97">
        <w:t>–</w:t>
      </w:r>
      <w:r w:rsidRPr="00FE2D97">
        <w:tab/>
        <w:t>uwzględniając wstępne sprawozdanie Komisji Budżetowej (A10-0105/2026),</w:t>
      </w:r>
    </w:p>
    <w:p w:rsidR="00251551" w:rsidRPr="00FE2D97" w:rsidP="00251551" w14:paraId="2706D3B1" w14:textId="77777777">
      <w:pPr>
        <w:pStyle w:val="NormalHanging12a"/>
      </w:pPr>
      <w:r w:rsidRPr="00FE2D97">
        <w:t>A.</w:t>
      </w:r>
      <w:r w:rsidRPr="00FE2D97">
        <w:tab/>
        <w:t>mając na uwadze, że zgodnie z art. 311 TFUE Unia musi pozyskać środki niezbędne do osiągnięcia swoich celów i prowadzenia swojej polityki;</w:t>
      </w:r>
    </w:p>
    <w:p w:rsidR="00251551" w:rsidRPr="00FE2D97" w:rsidP="00251551" w14:paraId="4BF3F7DB" w14:textId="77777777">
      <w:pPr>
        <w:pStyle w:val="NormalHanging12a"/>
      </w:pPr>
      <w:r w:rsidRPr="00FE2D97">
        <w:t>B.</w:t>
      </w:r>
      <w:r w:rsidRPr="00FE2D97">
        <w:tab/>
        <w:t>mając na uwadze, że obecne WRF szybko okazały się nieadekwatne z punktu widzenia reagowania na szereg kryzysów, inflację i nowe wyzwania polityczne, których nie przewidziano i których nie można było przewidzieć w momencie przyjmowania tych ram; mając na uwadze, że aby zabezpieczyć konieczne finansowanie, WRF wykorzystano do granic możliwości, w tym przez bezprecedensowe sięgnięcie po przepisy dotyczące zasady elastyczności i instrumenty szczególne po wyczerpaniu dostępnych marginesów, a także przez wprowadzenie kilku zmian do WRF; mając na uwadze, że narzędzia te nie miały zastępować należytego długoterminowego planowania budżetowego; mając na uwadze, że wielokrotnie doprowadziło to do wykorzystywania programów takich jak polityka spójności do reagowania na sytuacje nadzwyczajne, co utrudnia osiągnięcie ich pierwotnych celów długoterminowych;</w:t>
      </w:r>
    </w:p>
    <w:p w:rsidR="00251551" w:rsidRPr="00FE2D97" w:rsidP="00251551" w14:paraId="69785C21" w14:textId="77777777">
      <w:pPr>
        <w:pStyle w:val="NormalHanging12a"/>
      </w:pPr>
      <w:r w:rsidRPr="00FE2D97">
        <w:t>C.</w:t>
      </w:r>
      <w:r w:rsidRPr="00FE2D97">
        <w:tab/>
        <w:t>mając na uwadze, że śródokresowy przegląd WRF uzgodniony w 2024 r. okazał się konieczny, aby sprostać nowym priorytetom i wyzwaniom, a także mając na uwadze, że brak zasobów dalej osłabia obecne WRF;</w:t>
      </w:r>
    </w:p>
    <w:p w:rsidR="00251551" w:rsidRPr="00FE2D97" w:rsidP="00251551" w14:paraId="49735A72" w14:textId="77777777">
      <w:pPr>
        <w:pStyle w:val="NormalHanging12a"/>
      </w:pPr>
      <w:r w:rsidRPr="00FE2D97">
        <w:t>D.</w:t>
      </w:r>
      <w:r w:rsidRPr="00FE2D97">
        <w:tab/>
        <w:t xml:space="preserve">mając na uwadze, że ustanowienie nowych wieloletnich ram finansowych będzie stanowiło krytyczny moment dla Unii, ponieważ umożliwi przyjęcie wspólnej wizji i </w:t>
      </w:r>
      <w:r w:rsidRPr="00FE2D97">
        <w:t>podjęcie decyzji o przyszłych priorytetach politycznych, a także o zdolności Unii do ich realizacji; mając na uwadze, że należy zrównoważyć finansowanie nowych priorytetów i dotychczasowych priorytetów, aby chronić wspólne strategie polityczne Unii leżące u podstaw jej projektu politycznego; mając na uwadze, że następne WRF powinny przebiegać zgodnie z zasadą pomocniczości;</w:t>
      </w:r>
    </w:p>
    <w:p w:rsidR="00251551" w:rsidRPr="00FE2D97" w:rsidP="00251551" w14:paraId="696195F0" w14:textId="77777777">
      <w:pPr>
        <w:pStyle w:val="NormalHanging12a"/>
      </w:pPr>
      <w:r w:rsidRPr="00FE2D97">
        <w:t>E.</w:t>
      </w:r>
      <w:r w:rsidRPr="00FE2D97">
        <w:tab/>
        <w:t>mając na uwadze, że sytuacja na świecie charakteryzuje się napięciami geopolitycznymi, zmiennością gospodarczą, zagrożeniami dla bezpieczeństwa energetycznego, klęskami żywiołowymi związanymi z klimatem i zmieniającymi się zagrożeniami dla bezpieczeństwa, w tym powrotem działań wojennych o dużej intensywności w sąsiedztwie UE, co wyraźnie wskazuje na potrzebę zapewnienia, by budżet UE mógł dostosować się zarówno do wstrząsów wewnętrznych, jak i zewnętrznych, w szczególności poprzez inwestycje w przemysł, dwojaką transformację, łączność i infrastrukturę, a także gotowość cywilną i ochronę ludności oraz inwestycje w politykę społeczną;</w:t>
      </w:r>
    </w:p>
    <w:p w:rsidR="00251551" w:rsidRPr="00FE2D97" w:rsidP="00251551" w14:paraId="5FC1FFD0" w14:textId="77777777">
      <w:pPr>
        <w:pStyle w:val="NormalHanging12a"/>
      </w:pPr>
      <w:r w:rsidRPr="00FE2D97">
        <w:t>F.</w:t>
      </w:r>
      <w:r w:rsidRPr="00FE2D97">
        <w:tab/>
        <w:t>mając na uwadze, że następne WRF muszą gwarantować, że budżet UE pozostanie narzędziem inwestycyjnym i będzie nadal odgrywał kluczową rolę w zaspokajaniu potrzeb ludności oraz we wspieraniu europejskich przedsiębiorstw, zwłaszcza małych i średnich przedsiębiorstw (MŚP);</w:t>
      </w:r>
    </w:p>
    <w:p w:rsidR="00251551" w:rsidRPr="00FE2D97" w:rsidP="00251551" w14:paraId="307FB06C" w14:textId="77777777">
      <w:pPr>
        <w:pStyle w:val="NormalHanging12a"/>
      </w:pPr>
      <w:r w:rsidRPr="00FE2D97">
        <w:t>G.</w:t>
      </w:r>
      <w:r w:rsidRPr="00FE2D97">
        <w:tab/>
        <w:t xml:space="preserve">mając na uwadze, że wieloletnie strategie polityczne UE objęte wnioskiem dotyczącym planów partnerstwa krajowego i regionalnego są podstawowymi strategiami politycznymi projektu europejskiego i przyczyniają się do odporności, spójności, konwergencji i autonomii Unii Europejskiej, a jednocześnie mają kluczowe znaczenie dla jej bezpieczeństwa i suwerenności w obecnym kontekście międzynarodowym, a także dla jej stabilności gospodarczej, społecznej i terytorialnej oraz celów zrównoważonego rozwoju; </w:t>
      </w:r>
    </w:p>
    <w:p w:rsidR="00251551" w:rsidRPr="00FE2D97" w:rsidP="00251551" w14:paraId="2D9FDB41" w14:textId="77777777">
      <w:pPr>
        <w:pStyle w:val="NormalHanging12a"/>
      </w:pPr>
      <w:r w:rsidRPr="00FE2D97">
        <w:t>H.</w:t>
      </w:r>
      <w:r w:rsidRPr="00FE2D97">
        <w:tab/>
        <w:t>mając na uwadze, że Unia stoi w obliczu rosnącej luki w konkurencyjności w zmieniającej się rzeczywistości geopolitycznej i gospodarczej, co osłabia jej długoterminową wydajność, autonomię strategiczną, odporność i zdolność do działania; mając na uwadze, że Unia musi znacznie zwiększyć swą zdolność inwestycyjną, aby konkurować na arenie światowej;</w:t>
      </w:r>
    </w:p>
    <w:p w:rsidR="00251551" w:rsidRPr="00FE2D97" w:rsidP="00251551" w14:paraId="68AB130B" w14:textId="77777777">
      <w:pPr>
        <w:pStyle w:val="NormalHanging12a"/>
      </w:pPr>
      <w:r w:rsidRPr="00FE2D97">
        <w:t xml:space="preserve">I. </w:t>
      </w:r>
      <w:r w:rsidRPr="00FE2D97">
        <w:tab/>
        <w:t xml:space="preserve">mając na uwadze, że w następnych WRF należy odpowiednio wesprzeć nowe realia technologiczne; </w:t>
      </w:r>
    </w:p>
    <w:p w:rsidR="00251551" w:rsidRPr="00FE2D97" w:rsidP="00251551" w14:paraId="06068350" w14:textId="77777777">
      <w:pPr>
        <w:pStyle w:val="NormalHanging12a"/>
      </w:pPr>
      <w:r w:rsidRPr="00FE2D97">
        <w:t>J.</w:t>
      </w:r>
      <w:r w:rsidRPr="00FE2D97">
        <w:tab/>
        <w:t>mając na uwadze, że – w świetle drastycznych cięć w budżecie USAID – budżet UE musi pozwolić jej sprostać roli głównego światowego dostawcy pomocy rozwojowej i finansowania działań związanych z klimatem, zgodnie z globalnymi zobowiązaniami i umowami Unii;</w:t>
      </w:r>
    </w:p>
    <w:p w:rsidR="00251551" w:rsidRPr="00FE2D97" w:rsidP="00251551" w14:paraId="42E84045" w14:textId="77777777">
      <w:pPr>
        <w:pStyle w:val="NormalHanging12a"/>
      </w:pPr>
      <w:r w:rsidRPr="00FE2D97">
        <w:t>K.</w:t>
      </w:r>
      <w:r w:rsidRPr="00FE2D97">
        <w:tab/>
        <w:t>mając na uwadze, że Unia opiera się na wartościach poszanowania godności osoby ludzkiej, wolności, demokracji, równości, praworządności, jak również poszanowania praw człowieka, w tym praw osób należących do mniejszości; mając na uwadze, że naruszanie tych wartości osłabia spójność Unii i prawa wszystkich obywateli UE oraz zmniejsza wzajemne zaufanie między państwami członkowskimi;</w:t>
      </w:r>
    </w:p>
    <w:p w:rsidR="00251551" w:rsidRPr="00FE2D97" w:rsidP="00251551" w14:paraId="62F67759" w14:textId="77777777">
      <w:pPr>
        <w:pStyle w:val="NormalHanging12a"/>
      </w:pPr>
      <w:r w:rsidRPr="00FE2D97">
        <w:t>L.</w:t>
      </w:r>
      <w:r w:rsidRPr="00FE2D97">
        <w:tab/>
        <w:t>mając na uwadze, że art. 8 TFUE ustanawia zasadę uwzględniania aspektu płci;</w:t>
      </w:r>
    </w:p>
    <w:p w:rsidR="00251551" w:rsidRPr="00FE2D97" w:rsidP="00251551" w14:paraId="244D7AD5" w14:textId="77777777">
      <w:pPr>
        <w:pStyle w:val="NormalHanging12a"/>
      </w:pPr>
      <w:r w:rsidRPr="00FE2D97">
        <w:t>M.</w:t>
      </w:r>
      <w:r w:rsidRPr="00FE2D97">
        <w:tab/>
        <w:t>mając na uwadze, że Komisja szacuje dodatkowe potrzeby inwestycyjne potrzebne do osiągnięcia neutralności klimatycznej do 2050 r. na 1,5 % PKB rocznie w porównaniu z dekadą 2011–2020, oraz że budżet Unii nie wystarczy na pokrycie tych kosztów; mając na uwadze, że zmiana klimatu, utrata różnorodności biologicznej i kryzys związany z zanieczyszczeniem powodują poważne koszty zdrowotne i gospodarcze; mając na uwadze, że UE musi inwestować w programy mające cele klimatyczne i środowiskowe;</w:t>
      </w:r>
    </w:p>
    <w:p w:rsidR="00251551" w:rsidRPr="00FE2D97" w:rsidP="00251551" w14:paraId="4B6E0DA0" w14:textId="77777777">
      <w:pPr>
        <w:pStyle w:val="NormalHanging12a"/>
      </w:pPr>
      <w:r w:rsidRPr="00FE2D97">
        <w:t>N.</w:t>
      </w:r>
      <w:r w:rsidRPr="00FE2D97">
        <w:tab/>
        <w:t>mając na uwadze, że zgodnie z art. 191 TFUE polityka UE w dziedzinie środowiska musi opierać się na zasadzie ostrożności;</w:t>
      </w:r>
    </w:p>
    <w:p w:rsidR="00251551" w:rsidRPr="00FE2D97" w:rsidP="00251551" w14:paraId="580DA191" w14:textId="77777777">
      <w:pPr>
        <w:pStyle w:val="NormalHanging12a"/>
      </w:pPr>
      <w:r w:rsidRPr="00FE2D97">
        <w:t>O.</w:t>
      </w:r>
      <w:r w:rsidRPr="00FE2D97">
        <w:tab/>
        <w:t>mając na uwadze, że zgodnie z art. 349 TFUE Unia musi wspierać regiony najbardziej oddalone; mając na uwadze, że Program szczególnych opcji na rzecz regionów oddalonych i wyspiarskich (POSEI) okazał się ważnym instrumentem w tym względzie;</w:t>
      </w:r>
    </w:p>
    <w:p w:rsidR="00251551" w:rsidRPr="00FE2D97" w:rsidP="00251551" w14:paraId="1DFC2DD7" w14:textId="77777777">
      <w:pPr>
        <w:pStyle w:val="NormalHanging12a"/>
      </w:pPr>
      <w:r w:rsidRPr="00FE2D97">
        <w:t>P.</w:t>
      </w:r>
      <w:r w:rsidRPr="00FE2D97">
        <w:tab/>
        <w:t>mając na uwadze, że państwa członkowskie mają suwerenne prawo do decydowania o swoim koszyku energetycznym;</w:t>
      </w:r>
    </w:p>
    <w:p w:rsidR="00251551" w:rsidRPr="00FE2D97" w:rsidP="00251551" w14:paraId="6E7755BD" w14:textId="77777777">
      <w:pPr>
        <w:pStyle w:val="NormalHanging12a"/>
      </w:pPr>
      <w:r w:rsidRPr="00FE2D97">
        <w:t>Q.</w:t>
      </w:r>
      <w:r w:rsidRPr="00FE2D97">
        <w:tab/>
        <w:t xml:space="preserve">mając na uwadze, że Pakt na rzecz regionu śródziemnomorskiego stanowi kompleksowe ramy UE mające na celu zacieśnienie ustrukturyzowanych i trwałych partnerstw z partnerami z południowego regionu Morza Śródziemnego; </w:t>
      </w:r>
    </w:p>
    <w:p w:rsidR="00251551" w:rsidRPr="00FE2D97" w:rsidP="00251551" w14:paraId="73211C2F" w14:textId="77777777">
      <w:pPr>
        <w:pStyle w:val="NormalHanging12a"/>
      </w:pPr>
      <w:r w:rsidRPr="00FE2D97">
        <w:t>R.</w:t>
      </w:r>
      <w:r w:rsidRPr="00FE2D97">
        <w:tab/>
        <w:t>mając na uwadze, że zgodnie z Protokołem nr 10 w sprawie Cypru stosowanie dorobku Unii zawiesza się na tych obszarach Republiki Cypryjskiej, na których Rząd Republiki Cypryjskiej nie sprawuje skutecznej kontroli; mając na uwadze, że ta wyjątkowa sytuacja od dziesięcioleci uniemożliwia prawowitym właścicielom gruntów dostęp do ich nieruchomości, wykorzystywanie ich i korzystanie z ich potencjału; mając na uwadze, że prawo własności jest chronione na mocy art. 17 Karty praw podstawowych Unii Europejskiej;</w:t>
      </w:r>
    </w:p>
    <w:p w:rsidR="00251551" w:rsidRPr="00FE2D97" w:rsidP="00251551" w14:paraId="58431FE6" w14:textId="77777777">
      <w:pPr>
        <w:pStyle w:val="NormalHanging12a"/>
      </w:pPr>
      <w:r w:rsidRPr="00FE2D97">
        <w:t>S.</w:t>
      </w:r>
      <w:r w:rsidRPr="00FE2D97">
        <w:tab/>
        <w:t xml:space="preserve">mając na uwadze, że płatności związane z </w:t>
      </w:r>
      <w:r w:rsidRPr="00FE2D97">
        <w:t>NextGenerationEU</w:t>
      </w:r>
      <w:r w:rsidRPr="00FE2D97">
        <w:t xml:space="preserve"> (NGEU) miały znaczący wpływ na roczną procedurę budżetową w obecnych WRF ze względu na fakt, że koszty finansowania zewnętrznego nie miały być pokrywane poza pułapami, jak zaproponował Parlament; mając na uwadze, że spłata NGEU będzie miała wpływ na kolejne WRF, w związku z koniecznością spłaty zarówno odsetek, jak i kwoty głównej;</w:t>
      </w:r>
    </w:p>
    <w:p w:rsidR="00251551" w:rsidRPr="00FE2D97" w:rsidP="00251551" w14:paraId="222B98E4" w14:textId="77777777">
      <w:pPr>
        <w:pStyle w:val="NormalHanging12a"/>
      </w:pPr>
      <w:r w:rsidRPr="00FE2D97">
        <w:t>T.</w:t>
      </w:r>
      <w:r w:rsidRPr="00FE2D97">
        <w:tab/>
        <w:t>mając na uwadze, że 16 lipca 2025 r. Komisja przedstawiła pakiet wniosków dotyczących rozporządzenia w sprawie WRF na lata 2028–2034 i decyzji w sprawie zasobów własnych UE, a następnie wnioski ustawodawcze dotyczące ustanowienia nowych programów, funduszy i instrumentów unijnych;</w:t>
      </w:r>
    </w:p>
    <w:p w:rsidR="00251551" w:rsidRPr="00FE2D97" w:rsidP="00251551" w14:paraId="5F76729D" w14:textId="77777777">
      <w:pPr>
        <w:pStyle w:val="NormalHanging12a"/>
      </w:pPr>
      <w:r w:rsidRPr="00FE2D97">
        <w:t>1.</w:t>
      </w:r>
      <w:r w:rsidRPr="00FE2D97">
        <w:tab/>
        <w:t>podkreśla, że w następnych WRF należy wyposażyć Unię w środki finansowe niezbędne do reagowania na szybko zmieniające się otoczenie geopolityczne, gospodarcze i społeczne, przy jednoczesnej realizacji zarówno długotrwałych strategii politycznych, jak i reagowaniu na pojawiające się priorytety; podkreśla, że budżet UE musi pozostać budżetem inwestycyjnym zdolnym do wspierania obywateli, regionów i przedsiębiorstw, w szczególności MŚP, a jednocześnie powinien on zwiększać odporność, konkurencyjność i spójność społeczną Unii;</w:t>
      </w:r>
    </w:p>
    <w:p w:rsidR="00251551" w:rsidRPr="00FE2D97" w:rsidP="00251551" w14:paraId="5E17D5D0" w14:textId="77777777">
      <w:pPr>
        <w:pStyle w:val="NormalHanging12a"/>
      </w:pPr>
      <w:r w:rsidRPr="00FE2D97">
        <w:t>2.</w:t>
      </w:r>
      <w:r w:rsidRPr="00FE2D97">
        <w:tab/>
        <w:t xml:space="preserve">wzywa do ustalenia WRF na lata 2028–2034 na poziomie 1,27 % dochodu narodowego brutto (DNB) UE, przy czym należy wyłączyć z tej wartości obsługę długu w ramach NGEU – odpowiadającego dodatkowym 0,11 % DNB UE – i rozliczać ją poza </w:t>
      </w:r>
      <w:r w:rsidRPr="00FE2D97">
        <w:t xml:space="preserve">pułapami; przypomina, że następne WRF powinny być bardziej ambitne pod względem wielkości, ponieważ obecny poziom finansowania nie odpowiada ambicjom politycznym Unii, oraz że należy je chronić przed wstrząsami inflacyjnymi; podkreśla, że poziom ten stanowi niezbędne minimum, aby Unia mogła wywiązać się z obowiązków traktatowych, spełnić oczekiwania obywateli, a także sprostać głównym wyzwaniom, w tym wznowieniu działań wojennych na dużą skalę w sąsiedztwie UE, bardzo trudnej sytuacji gospodarczej i społecznej, różnicom w poziomie konkurencyjności oraz pogłębiającemu się kryzysowi klimatycznemu i kryzysowi różnorodności biologicznej; </w:t>
      </w:r>
    </w:p>
    <w:p w:rsidR="00251551" w:rsidRPr="00FE2D97" w:rsidP="00251551" w14:paraId="5372722A" w14:textId="77777777">
      <w:pPr>
        <w:pStyle w:val="NormalHanging12a"/>
      </w:pPr>
      <w:r w:rsidRPr="00FE2D97">
        <w:t>3.</w:t>
      </w:r>
      <w:r w:rsidRPr="00FE2D97">
        <w:tab/>
        <w:t xml:space="preserve">zdecydowanie sprzeciwia się podejściu prowadzącemu do fragmentacji jednolitego rynku lub ponownej nacjonalizacji budżetu UE; zdecydowanie odrzuca również wszelkie działania w kierunku Unii „à la carte”; uważa, że podejście Komisji oparte na zasadzie „jeden plan na państwo członkowskie” podważa politykę UE zapisaną w Traktatach, stwarza niepotrzebną konkurencję między beneficjentami, zagraża europejskiemu wymiarowi wydatków, osłabia wielopoziomowe sprawowanie rządów, podważa zasady pomocniczości i proporcjonalności oraz zmniejsza przejrzystość; </w:t>
      </w:r>
    </w:p>
    <w:p w:rsidR="00251551" w:rsidRPr="00FE2D97" w:rsidP="00251551" w14:paraId="68929AC9" w14:textId="77777777">
      <w:pPr>
        <w:pStyle w:val="NormalHanging12a"/>
      </w:pPr>
      <w:r w:rsidRPr="00FE2D97">
        <w:t>4.</w:t>
      </w:r>
      <w:r w:rsidRPr="00FE2D97">
        <w:tab/>
        <w:t xml:space="preserve">apeluje o zwiększenie puli środków finansowych dla działu 1, aby utrzymać finansowanie co najmniej na poziomie przewidzianym w obecnych WRF; apeluje zatem o silne, odrębne i odpowiednie finansowanie wspólnej polityki rolnej (WPR), wspólnej polityki rybołówstwa, polityki spójności, Europejskiego Funduszu Społecznego i spraw wewnętrznych; nalega w tym kontekście na pełne przydzielenie na te strategie polityczne niewyodrębnionych kwot w ramach PPKR, co zapewni beneficjentom końcowym większą przewidywalność; ponownie podkreśla potrzebę utrzymania horyzontalnych ram wdrażania i przepisów dotyczących tych strategii politycznych, w tym warunkowości w zakresie praworządności, aby zapewnić spójność i uniknąć fragmentacji; wzywa do ustanowienia rozdziałów regionalnych zgodnie z ramami instytucjonalnymi państw członkowskich oraz do pełnego zaangażowania władz regionalnych i lokalnych w opracowywanie, wdrażanie, monitorowanie i ocenę programów w ramach działu 1, w oparciu o zasady zarządzania dzielonego, wielopoziomowego sprawowania rządów i partnerstwa; </w:t>
      </w:r>
    </w:p>
    <w:p w:rsidR="00251551" w:rsidRPr="00FE2D97" w:rsidP="00251551" w14:paraId="5B48EF94" w14:textId="77777777">
      <w:pPr>
        <w:pStyle w:val="NormalHanging12a"/>
      </w:pPr>
      <w:r w:rsidRPr="00FE2D97">
        <w:t>5.</w:t>
      </w:r>
      <w:r w:rsidRPr="00FE2D97">
        <w:tab/>
        <w:t>z zadowoleniem przyjmuje znaczne wzmocnienie strategii politycznych ujętych w dziale 2, w myśl założeń, o które od dawna apelował Parlament; to dwa razy więcej w porównaniu z obecnym okresem i lepiej przygotuje Unię do reagowania na przyszłe wyzwania w coraz bardziej nieprzewidywalnym środowisku globalnym; uznaje potrzebę zwiększenia zdolności Unii do działania w kluczowych obszarach strategicznych, w tym konkurencyjności, obronności i bezpieczeństwa, badań naukowych i innowacji, dwojakiej transformacji, infrastruktury, zdrowia i gotowości na wypadek sytuacji kryzysowej, edukacji i kultury;</w:t>
      </w:r>
    </w:p>
    <w:p w:rsidR="00251551" w:rsidRPr="00FE2D97" w:rsidP="00251551" w14:paraId="181BE373" w14:textId="77777777">
      <w:pPr>
        <w:pStyle w:val="NormalHanging12a"/>
      </w:pPr>
      <w:r w:rsidRPr="00FE2D97">
        <w:t xml:space="preserve">6. </w:t>
      </w:r>
      <w:r w:rsidRPr="00FE2D97">
        <w:tab/>
        <w:t xml:space="preserve">w związku z tym wzywa do odpowiedniego umocnienia programów priorytetowych w dziale 2, w tym Europejskiego Funduszu Konkurencyjności (EFK), programu „Horyzont Europa”, instrumentu „Łącząc Europę”, programu Erasmus+, programu </w:t>
      </w:r>
      <w:r w:rsidRPr="00FE2D97">
        <w:t>AgoraEU</w:t>
      </w:r>
      <w:r w:rsidRPr="00FE2D97">
        <w:t xml:space="preserve">, Unijnego Mechanizmu Ochrony Ludności (UMOL+), z przeznaczeniem na Program UE dla zdrowia i działania związane z LIFE w ramach EFK; </w:t>
      </w:r>
    </w:p>
    <w:p w:rsidR="00251551" w:rsidRPr="00FE2D97" w:rsidP="00251551" w14:paraId="00F16EB9" w14:textId="77777777">
      <w:pPr>
        <w:pStyle w:val="NormalHanging12a"/>
      </w:pPr>
      <w:r w:rsidRPr="00FE2D97">
        <w:t>7.</w:t>
      </w:r>
      <w:r w:rsidRPr="00FE2D97">
        <w:tab/>
        <w:t xml:space="preserve">z zadowoleniem przyjmuje zwiększenie środków w dziale 3 jako sygnał zaangażowania Unii w umacnianie jej roli jako potęgi globalnej; uważa jednak, że zaproponowany poziom pozostaje niewystarczający, biorąc pod uwagę skalę globalnych wyzwań; </w:t>
      </w:r>
    </w:p>
    <w:p w:rsidR="00251551" w:rsidRPr="00FE2D97" w:rsidP="00251551" w14:paraId="49316EAC" w14:textId="77777777">
      <w:pPr>
        <w:pStyle w:val="NormalHanging12a"/>
      </w:pPr>
      <w:r w:rsidRPr="00FE2D97">
        <w:t>8.</w:t>
      </w:r>
      <w:r w:rsidRPr="00FE2D97">
        <w:tab/>
        <w:t>w związku z tym wzywa do odpowiedniego umocnienia działu 3, co umożliwi UE wspieranie przyszłego rozszerzenia, zaspokojenie rosnących potrzeb związanych z rozwojem, kryzysami humanitarnymi i budowaniem pokoju, zapewnienie wsparcia Ukrainie i innym partnerom oraz podtrzymywanie wartości Unii, praw człowieka i demokracji na całym świecie, przy jednoczesnym umocnieniu multilateralizmu; podkreśla, że pomoc humanitarną należy nadal finansować ze środków przeznaczonych wyłącznie na ten cel i realizować w oparciu o spójne ramy z odpowiednim rocznym poziomem bazowym finansowania; wzywa do zwiększenia puli środków finansowych dla krajów i terytoriów zamorskich, biorąc pod uwagę niedawne zagrożenia dla integralności terytorialnej Grenlandii i szerszy kontekst geopolityczny;</w:t>
      </w:r>
    </w:p>
    <w:p w:rsidR="00251551" w:rsidRPr="00FE2D97" w:rsidP="00251551" w14:paraId="086F908F" w14:textId="77777777">
      <w:pPr>
        <w:pStyle w:val="NormalHanging12a"/>
      </w:pPr>
      <w:r w:rsidRPr="00FE2D97">
        <w:t>9.</w:t>
      </w:r>
      <w:r w:rsidRPr="00FE2D97">
        <w:tab/>
        <w:t>podkreśla, że następne WRF muszą być ukierunkowane na finansowanie europejskich dóbr publicznych o wyraźnej wartości dodanej w porównaniu z wydatkami krajowymi, takie jak projekty transgraniczne; przypomina, że europejscy obywatele i przedsiębiorstwa domagają się od UE działania; apeluje o ukierunkowane, strategiczne inwestowanie środków UE w celu zaspokojenia ich potrzeb w obszarach priorytetowych, takich jak mieszkalnictwo, energia i bezpieczeństwo;</w:t>
      </w:r>
    </w:p>
    <w:p w:rsidR="00251551" w:rsidRPr="00FE2D97" w:rsidP="00251551" w14:paraId="3B09753F" w14:textId="77777777">
      <w:pPr>
        <w:pStyle w:val="NormalHanging12a"/>
      </w:pPr>
      <w:r w:rsidRPr="00FE2D97">
        <w:t>10.</w:t>
      </w:r>
      <w:r w:rsidRPr="00FE2D97">
        <w:tab/>
        <w:t>z zadowoleniem przyjmuje wniosek Komisji dotyczący wzmocnionego instrumentu elastyczności i wzywa do jego uzupełnienia z dodatkowych źródeł, w tym z niewykorzystanych rezerw i nadwyżek z instrumentów finansowych, nie naruszając przepisów sektorowych; wzywa do uruchomienia specjalnej rezerwy solidarnościowej na wypadek klęsk żywiołowych poza pułapami WRF jako środka stosowanego w ostateczności, aby sfinansować działania Unii w odpowiedzi na szczególne potrzeby w UE w następstwie szkód spowodowanych klęskami żywiołowymi;</w:t>
      </w:r>
    </w:p>
    <w:p w:rsidR="00251551" w:rsidRPr="00FE2D97" w:rsidP="00251551" w14:paraId="74E3CDAC" w14:textId="77777777">
      <w:pPr>
        <w:pStyle w:val="NormalHanging12a"/>
      </w:pPr>
      <w:r w:rsidRPr="00FE2D97">
        <w:t>11.</w:t>
      </w:r>
      <w:r w:rsidRPr="00FE2D97">
        <w:tab/>
        <w:t xml:space="preserve">wyraża poważne zaniepokojenie faktem, że wnioski Komisji przenoszą kluczowe decyzje polityczne i budżetowe na programy prac Komisji przyjmowane bez udziału </w:t>
      </w:r>
      <w:r w:rsidRPr="00FE2D97">
        <w:t>współustawodawców</w:t>
      </w:r>
      <w:r w:rsidRPr="00FE2D97">
        <w:t xml:space="preserve">; nalega na to, aby wszystkie istotne zmiany polityczne określać w aktach podstawowych, przy pełnym poszanowaniu prerogatyw Parlamentu jako </w:t>
      </w:r>
      <w:r w:rsidRPr="00FE2D97">
        <w:t>współprawodawcy</w:t>
      </w:r>
      <w:r w:rsidRPr="00FE2D97">
        <w:t xml:space="preserve"> i władzy budżetowej; podkreśla, że uproszczenie nie może odbywać się kosztem przejrzystości, demokratycznej rozliczalności ani nadzorczej roli Parlamentu; jest głęboko zaniepokojony powszechnym stosowaniem finansowania niepowiązanego z kosztami w odniesieniu do znacznej części programów w kolejnych WRF; ostrzega też, że bez odpowiednich zabezpieczeń podejście to wiąże się ze znacznym ryzykiem i osłabia możliwość kontroli; </w:t>
      </w:r>
    </w:p>
    <w:p w:rsidR="00251551" w:rsidRPr="00FE2D97" w:rsidP="00251551" w14:paraId="62562CE1" w14:textId="77777777">
      <w:pPr>
        <w:pStyle w:val="NormalHanging12a"/>
      </w:pPr>
      <w:r w:rsidRPr="00FE2D97">
        <w:t>12.</w:t>
      </w:r>
      <w:r w:rsidRPr="00FE2D97">
        <w:tab/>
        <w:t xml:space="preserve">podkreśla, że przestrzeganie wartości Unii i praworządności jest zasadniczym warunkiem dostępu do funduszy UE; podkreśla znaczenie skutecznego i spójnego zestawu narzędzi związanych z wartościami UE i obejmujących demokrację, praworządność i prawa podstawowe oraz obowiązujący względem wszystkich funduszy UE w całym budżecie UE; nalega na przyjęcie solidnego podejścia w celu zapewnienia, aby nie penalizować prawowitych odbiorców końcowych za naruszenia praworządności przez ich rządy; </w:t>
      </w:r>
    </w:p>
    <w:p w:rsidR="00251551" w:rsidRPr="00FE2D97" w:rsidP="00251551" w14:paraId="1F049513" w14:textId="77777777">
      <w:pPr>
        <w:pStyle w:val="NormalHanging12a"/>
      </w:pPr>
      <w:r w:rsidRPr="00FE2D97">
        <w:t>13.</w:t>
      </w:r>
      <w:r w:rsidRPr="00FE2D97">
        <w:tab/>
        <w:t xml:space="preserve">zdecydowanie przypomina o kluczowej potrzebie zrównoważonych, przewidywalnych i odpornych dochodów dla budżetu UE zgodnie z art. 310 TFUE, które powinny odpowiadać wydatkom, priorytetom strategicznym oraz zidentyfikowanym potrzebom finansowym UE; ponawia swoje zdecydowane zaangażowanie na rzecz wprowadzenia nowych zasobów własnych, nie tylko w celu spłaty zadłużenia w ramach NGEU, ale również w celu sfinansowania ambitniejszych celów politycznych Unii; z </w:t>
      </w:r>
      <w:r w:rsidRPr="00FE2D97">
        <w:t>zadowoleniem przyjmuje wysiłki Komisji na rzecz określenia nowych zasobów własnych oraz zaproponowania określonych kalibracji tradycyjnych zasobów własnych; wspiera szersze podejście oparte na koszyku zaproponowane przez Komisję i wzywa Radę do przełamania impasu, który utrzymuje się od 2020 r. w odniesieniu do koszyka nowych rzeczywistych zasobów własnych, aby osiągnąć poziom dochodów wynoszący co najmniej 60 mld EUR rocznie; podkreśla znaczenie wniosku Komisji dotyczącego nowego rodzaju mechanizmu kryzysowego, który mógłby umożliwić Unii szybkie reagowanie na nieoczekiwane wydarzenia; podkreśla, że Parlament zatwierdzi jedynie taki długoterminowy budżet, w tym dochody, który będzie dostosowany do celów Unii w zmieniającym się świecie;</w:t>
      </w:r>
    </w:p>
    <w:p w:rsidR="00251551" w:rsidRPr="00FE2D97" w:rsidP="00251551" w14:paraId="0DD7AB82" w14:textId="77777777">
      <w:pPr>
        <w:pStyle w:val="NormalHanging12a"/>
      </w:pPr>
      <w:r w:rsidRPr="00FE2D97">
        <w:t>14.</w:t>
      </w:r>
      <w:r w:rsidRPr="00FE2D97">
        <w:tab/>
        <w:t>uważa, że stanowiska przedstawione w tym sprawozdaniu śródokresowym stanowią mandat Parlamentu do negocjacji w sprawie WRF, a Rada powinna je uwzględnić zgodnie z art. 312 ust. 5 TFUE w celu uzyskania zgody Parlamentu; jest gotowy do konstruktywnej pracy i do zaangażowania się w rzeczowe negocjacje z Radą w celu opracowania długoterminowego budżetu odpowiadającego potrzebom Unii; apeluje o szybkie osiągnięcie porozumienia między instytucjami do końca 2026 r., aby umożliwić sprawne przyjęcie WRF i realizację programów wydatków od 1 stycznia 2028 r.;</w:t>
      </w:r>
    </w:p>
    <w:p w:rsidR="00251551" w:rsidRPr="00FE2D97" w:rsidP="00251551" w14:paraId="25DB5725" w14:textId="77777777">
      <w:pPr>
        <w:pStyle w:val="NormalHanging12a"/>
        <w:rPr>
          <w:b/>
          <w:i/>
          <w:iCs/>
        </w:rPr>
      </w:pPr>
      <w:r w:rsidRPr="00FE2D97">
        <w:rPr>
          <w:b/>
          <w:i/>
        </w:rPr>
        <w:t>Kwestie związane z WRF</w:t>
      </w:r>
    </w:p>
    <w:p w:rsidR="00251551" w:rsidRPr="00FE2D97" w:rsidP="00251551" w14:paraId="6AAAF3C4" w14:textId="77777777">
      <w:pPr>
        <w:pStyle w:val="NormalHanging12a"/>
        <w:widowControl w:val="0"/>
      </w:pPr>
      <w:bookmarkStart w:id="7" w:name="_Hlk213948705"/>
      <w:r w:rsidRPr="00FE2D97">
        <w:t>15.</w:t>
      </w:r>
      <w:r w:rsidRPr="00FE2D97">
        <w:tab/>
        <w:t>domaga się, aby Parlament Europejski był zaangażowany we wszystkie etapy procedury prowadzącej do przyjęcia WRF, zgodnie z wymogami traktatowymi przewidzianymi w art. 312 ust. 5 TFUE; uważa, że Rada musi należycie uwzględnić przedstawione w niniejszym dokumencie stanowisko Parlamentu, aby uzyskać jego zgodę zgodnie z art. 312 TFUE;</w:t>
      </w:r>
    </w:p>
    <w:bookmarkEnd w:id="7"/>
    <w:p w:rsidR="00251551" w:rsidRPr="00FE2D97" w:rsidP="00251551" w14:paraId="3B56916D" w14:textId="77777777">
      <w:pPr>
        <w:pStyle w:val="NormalHanging12a"/>
        <w:widowControl w:val="0"/>
        <w:ind w:left="0" w:firstLine="0"/>
        <w:jc w:val="both"/>
        <w:rPr>
          <w:i/>
          <w:iCs/>
        </w:rPr>
      </w:pPr>
      <w:r w:rsidRPr="00FE2D97">
        <w:rPr>
          <w:i/>
        </w:rPr>
        <w:t>Całkowita wielkość</w:t>
      </w:r>
    </w:p>
    <w:p w:rsidR="00251551" w:rsidRPr="00FE2D97" w:rsidP="00251551" w14:paraId="0315D9AB" w14:textId="77777777">
      <w:pPr>
        <w:pStyle w:val="NormalHanging12a"/>
      </w:pPr>
      <w:r w:rsidRPr="00FE2D97">
        <w:t>16.</w:t>
      </w:r>
      <w:r w:rsidRPr="00FE2D97">
        <w:tab/>
        <w:t>przypomina swoje stanowisko, że „w szybko zmieniającym się świecie, w którym ludzie słusznie oczekują więcej od Unii [...] i w którym Unia stoi w obliczu rosnącej liczby kryzysów i globalnych wyzwań, następne WRF muszą dysponować zwiększonymi zasobami w porównaniu z okresem 2021–2027 i odejść od historycznie restrykcyjnego i dobrowolnego poziomu 1 % DNB UE”; ubolewa, że zamiast przedstawić prawdziwie ambitny wniosek, Komisja podaje ogólną kwotę 2 bln EUR w cenach bieżących, która w rzeczywistości wynosi zaledwie 1,763 bln EUR w cenach stałych z 2025 r., co odpowiada 1,26 % DNB UE, przy czym 0,11 % jest przeznaczone na spłaty NGEU; ubolewa, że skutkuje to symbolicznym wzrostem w przypadku programów UE o mniej niż 0,01 punktu procentowego DNB, co faktycznie oznacza zamrożenie budżetu w ujęciu realnym; podkreśla, że stopniowe wycofywanie Instrumentu na rzecz Odbudowy i Zwiększania Odporności (RRF) jeszcze bardziej ograniczy ogólną siłę nabywczą Unii; uważa, że ten proponowany poziom nie umożliwi Unii wywiązania się z jej zobowiązań zapisanych w Traktatach ani reagowania na stojące przed nią poważne wyzwania geopolityczne, w tym kryzys klimatyczny i kryzys różnorodności biologicznej, którymi można skuteczniej sprostać na szczeblu Unii, a także kryzys kosztów utrzymania;</w:t>
      </w:r>
    </w:p>
    <w:p w:rsidR="00251551" w:rsidRPr="00FE2D97" w:rsidP="00251551" w14:paraId="784C2B24" w14:textId="77777777">
      <w:pPr>
        <w:pStyle w:val="NormalHanging12a"/>
      </w:pPr>
      <w:r w:rsidRPr="00FE2D97">
        <w:t>17.</w:t>
      </w:r>
      <w:r w:rsidRPr="00FE2D97">
        <w:tab/>
        <w:t xml:space="preserve">apeluje o ustalenie WRF na lata 2028–2034 na poziomie 1,27 % DNB UE, z wyłączeniem spłat NGEU; uważa, że obsługę długu w ramach NGEU należy traktować oddzielnie od środków na programy UE w przyszłej strukturze WRF, co oznacza, że całkowita kwota wyniesie 1,38 % DNB UE; podkreśla, że poziom ten stanowi absolutne </w:t>
      </w:r>
      <w:r w:rsidRPr="00FE2D97">
        <w:t>minimum umożliwiające Unii wywiązanie się z jej zobowiązań, reagowanie na wyzwania geopolityczne i osiągnięcie jej celów strategicznych;</w:t>
      </w:r>
    </w:p>
    <w:p w:rsidR="00251551" w:rsidRPr="00FE2D97" w:rsidP="00251551" w14:paraId="1D2002DD" w14:textId="77777777">
      <w:pPr>
        <w:pStyle w:val="NormalHanging12a"/>
      </w:pPr>
      <w:r w:rsidRPr="00FE2D97">
        <w:t>18.</w:t>
      </w:r>
      <w:r w:rsidRPr="00FE2D97">
        <w:tab/>
        <w:t>ubolewa, że spłata NGEU przedstawiona przez Komisję obejmuje roczne raty w ramach pułapów WRF począwszy od 2028 r.; podkreśla, że plan spłaty musi gwarantować, że obsługa zadłużenia NGEU nie wyprze podstawowych wydatków UE ani nie zagrozi zdolności Unii do radzenia sobie z przyszłymi kryzysami; w związku z tym przypomina swoje ugruntowane stanowisko, zgodnie z którym środki związane ze spłatą NGEU należy rozliczać poza pułapami;</w:t>
      </w:r>
    </w:p>
    <w:p w:rsidR="00251551" w:rsidRPr="00FE2D97" w:rsidP="00251551" w14:paraId="701A895C" w14:textId="77777777">
      <w:pPr>
        <w:pStyle w:val="NormalHanging12a"/>
      </w:pPr>
      <w:r w:rsidRPr="00FE2D97">
        <w:t>19.</w:t>
      </w:r>
      <w:r w:rsidRPr="00FE2D97">
        <w:tab/>
        <w:t>zdecydowanie popiera proponowaną metodę dostosowania technicznego uwzględniającą rzeczywistą inflację, która ma zasadnicze znaczenie dla ochrony siły nabywczej budżetu UE w okresach wstrząsów inflacyjnych; z zadowoleniem przyjmuje ten mechanizm, ponieważ ma on kluczowe znaczenie dla ochrony programów UE, tak aby obywatele nie ucierpieli z powodu inflacji;</w:t>
      </w:r>
    </w:p>
    <w:p w:rsidR="00251551" w:rsidRPr="00FE2D97" w:rsidP="00251551" w14:paraId="45148DA6" w14:textId="77777777">
      <w:pPr>
        <w:pStyle w:val="NormalHanging12a"/>
        <w:widowControl w:val="0"/>
      </w:pPr>
      <w:r w:rsidRPr="00FE2D97">
        <w:t>20.</w:t>
      </w:r>
      <w:r w:rsidRPr="00FE2D97">
        <w:tab/>
        <w:t xml:space="preserve">apeluje w tym kontekście o zapewnienie poziomu finansowania programów i strategii politycznych UE zgodnie z załącznikami I </w:t>
      </w:r>
      <w:r w:rsidRPr="00FE2D97">
        <w:t>i</w:t>
      </w:r>
      <w:r w:rsidRPr="00FE2D97">
        <w:t xml:space="preserve"> II do niniejszej rezolucji; apeluje o odpowiednie dostosowanie stosownych pułapów zobowiązań i płatności;</w:t>
      </w:r>
    </w:p>
    <w:p w:rsidR="00251551" w:rsidRPr="00FE2D97" w:rsidP="00251551" w14:paraId="301707AA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Dział 1</w:t>
      </w:r>
    </w:p>
    <w:p w:rsidR="00251551" w:rsidRPr="00FE2D97" w:rsidP="00251551" w14:paraId="7E8DC5DE" w14:textId="77777777">
      <w:pPr>
        <w:pStyle w:val="NormalHanging12a"/>
      </w:pPr>
      <w:r w:rsidRPr="00FE2D97">
        <w:t>21.</w:t>
      </w:r>
      <w:r w:rsidRPr="00FE2D97">
        <w:tab/>
        <w:t>zauważa, że na dział 1 „Europejski model społeczny i jakość życia” przeznacza się 797,2 mld EUR w cenach z 2025 r., po wyłączeniu kwoty przewidzianej na spłatę zadłużenia NGEU, co stanowi 45 % całkowitej kwoty WRF na lata 2028-2034; wyraża głębokie zaniepokojenie, że jest to spadek w porównaniu z kwotą 810,1 mld EUR przydzieloną w WRF na lata 2021–2027, która stanowiła 65 % całkowitej kwoty; uważa, że ta znacząca redukcja jest nie do przyjęcia, biorąc pod uwagę, jak ważne jest utrzymanie długotrwałej polityki Unii;</w:t>
      </w:r>
    </w:p>
    <w:p w:rsidR="00251551" w:rsidRPr="00FE2D97" w:rsidP="00251551" w14:paraId="1FECCFEF" w14:textId="77777777">
      <w:pPr>
        <w:pStyle w:val="NormalHanging12a"/>
      </w:pPr>
      <w:r w:rsidRPr="00FE2D97">
        <w:t>22.</w:t>
      </w:r>
      <w:r w:rsidRPr="00FE2D97">
        <w:tab/>
        <w:t xml:space="preserve">uważa, że wniosek dotyczący rozporządzenia w sprawie PPKR (COM(2025)0558), które łączy różne strategie polityczne w jednym planie dla poszczególnych państw członkowskich, powoduje znaczną niepewność co do przewidywalności finansowania dla beneficjentów końcowych, tworzy niepotrzebną konkurencję o zasoby finansowe między beneficjentami i strategiami politycznymi, oraz upolitycznia dystrybucję środków UE, co grozi większą złożonością i koniecznością dokonywania kompromisów między priorytetami; podkreśla, że podejście oparte na jednym planie na państwo członkowskie w sposób dorozumiany osłabia europejski wymiar budżetu UE i cele wspólnych polityk UE, prowadzi do nadmiernej centralizacji zagrażającej zasadom pomocniczości i proporcjonalności, wyklucza władze regionalne i lokalne oraz odpowiednie zainteresowane strony z odgrywania znaczącej roli w kształtowaniu priorytetów oraz podważa wielopoziomowe sprawowanie rządów i terytorialny wymiar wydatków; uważa, że należy w pełni rozdzielić niewyodrębnione kwoty w ramach PPKR, aby zapewnić przewidywalność beneficjentom końcowym; ostrzega ponadto, że znaczne zmniejszenie środków finansowych w dziale 1 grozi osłabieniem polityki UE zapisanej w traktatach oraz celów Unii dotyczących wzmocnienia jej spójności gospodarczej, społecznej i terytorialnej, ochrony procesów demokratycznych, praworządności i praw socjalnych, zapewnienia bezpieczeństwa żywnościowego oraz odpowiedniego poziomu życia rolników i rybaków, a także ochrony środowiska i różnorodności biologicznej; ponownie podkreśla potrzebę uniknięcia fragmentacji i utrzymania horyzontalnych ram wykonawczych, w tym nadrzędnych przepisów i zasad, </w:t>
      </w:r>
      <w:r w:rsidRPr="00FE2D97">
        <w:t>takich jak poszanowanie praworządności i praw podstawowych, które powinny być stosowane jednolicie we wszystkich strategiach politycznych objętych PPKR, przy jednoczesnym zapewnieniu spójnych i konsekwentnych przepisów wykonawczych;</w:t>
      </w:r>
    </w:p>
    <w:p w:rsidR="00251551" w:rsidRPr="00FE2D97" w:rsidP="00251551" w14:paraId="5AF1C815" w14:textId="77777777">
      <w:pPr>
        <w:pStyle w:val="NormalHanging12a"/>
      </w:pPr>
      <w:r w:rsidRPr="00FE2D97">
        <w:t>23.</w:t>
      </w:r>
      <w:r w:rsidRPr="00FE2D97">
        <w:tab/>
        <w:t>podkreśla, że konieczne jest utrzymanie europejskiego wymiaru budżetu UE jako podstawowego instrumentu osiągania wspólnych celów, wyrażania solidarności Unii i dostarczania europejskich dóbr publicznych; podkreśla, że budżet UE musi pozostać finansowym trzonem wspierającym pogłębianie integracji Unii, zapobiegającym fragmentacji lub renacjonalizacji kluczowych strategii politycznych Unii, wspierającym spójność terytorialną, gospodarczą i społeczną we wszystkich regionach UE, w tym przez zajęcie się utrzymującymi się ograniczeniami strukturalnymi dotykającymi regiony peryferyjne, wyspiarskie i najbardziej oddalone, a także przez zapewnienie uczciwej konkurencji i równych szans wszystkim terytoriom we wszystkich państwach członkowskich, nie pozostawiając żadnej osoby czy regionu w tyle; uważa ponadto, że budżet UE powinien przyczyniać się do rozwiązania kryzysu kosztów utrzymania i rosnących nierówności, a także do osiągnięcia celów UE w zakresie klimatu i różnorodności biologicznej poprzez inwestycje w odpowiednich kluczowych obszarach;</w:t>
      </w:r>
    </w:p>
    <w:p w:rsidR="00251551" w:rsidRPr="00FE2D97" w:rsidP="00251551" w14:paraId="0895B9AE" w14:textId="77777777">
      <w:pPr>
        <w:pStyle w:val="NormalHanging12a"/>
        <w:widowControl w:val="0"/>
      </w:pPr>
      <w:r w:rsidRPr="00FE2D97">
        <w:t>24.</w:t>
      </w:r>
      <w:r w:rsidRPr="00FE2D97">
        <w:tab/>
        <w:t>odrzuca działania na rzecz Europy „à la carte”, w której zróżnicowane uczestnictwo i zestaw strategii politycznych mających różne cele, horyzonty czasowe i logikę realizacji zagraża jedności i spójności strategii politycznych i programów UE; jest głęboko zaniepokojony faktem, że jeden instrument obejmujący wiele poziomów celów, zabezpieczeń i wymogów sprawozdawczych może zwiększyć złożoność, a także osłabić rozliczalność i skuteczne wdrażanie; ostrzega, że takie podejście, w którym państwa członkowskie decydują o szczegółowym przydziale środków UE, doprowadziłoby do fragmentacji jednolitego rynku, stworzyłoby nieuczciwą przewagę konkurencyjną i podważyłoby zasadę solidarności, która leży u podstaw integracji europejskiej i pozytywnej konwergencji;</w:t>
      </w:r>
    </w:p>
    <w:p w:rsidR="00251551" w:rsidRPr="00FE2D97" w:rsidP="00251551" w14:paraId="7300F8D6" w14:textId="77777777">
      <w:pPr>
        <w:pStyle w:val="NormalHanging12a"/>
        <w:widowControl w:val="0"/>
      </w:pPr>
      <w:r w:rsidRPr="00FE2D97">
        <w:t>25.</w:t>
      </w:r>
      <w:r w:rsidRPr="00FE2D97">
        <w:tab/>
        <w:t>apeluje o odrębne i wystarczające finansowanie WPR, wspólnej polityki rybołówstwa, polityki spójności i Europejskiego Funduszu Społecznego ze środków przeznaczonych wyłącznie na ten cel, tak aby zwiększyć długoterminową odporność terytorialną, spójność społeczną i zaufanie do projektu europejskiego, a także aby doprowadzić do pozytywnej konwergencji;</w:t>
      </w:r>
    </w:p>
    <w:p w:rsidR="00251551" w:rsidRPr="00FE2D97" w:rsidP="00251551" w14:paraId="07572587" w14:textId="77777777">
      <w:pPr>
        <w:pStyle w:val="NormalHanging12a"/>
        <w:widowControl w:val="0"/>
      </w:pPr>
      <w:r w:rsidRPr="00FE2D97">
        <w:t>26.</w:t>
      </w:r>
      <w:r w:rsidRPr="00FE2D97">
        <w:tab/>
        <w:t xml:space="preserve">ubolewa nad proponowanym zmniejszeniem finansowania WPR po 2027 r.; apeluje o wyodrębnienie specjalnego i solidnego budżetu na WPR w następnych WRF w kwocie 433,01 mld EUR w cenach bieżących (co odpowiada 385,12 mld EUR w cenach stałych z 2025 r.), aby zapewnić bezpieczeństwo żywnościowe i suwerenność żywnościową, konkurencyjność i odpowiedni poziom życia rolników oraz umożliwić im przejście na bardziej zrównoważone praktyki, w tym na zrównoważoną gospodarkę gruntami i wodą; apeluje o umocnioną, </w:t>
      </w:r>
      <w:r w:rsidRPr="00FE2D97">
        <w:t>rozliczalną</w:t>
      </w:r>
      <w:r w:rsidRPr="00FE2D97">
        <w:t xml:space="preserve"> i sprawniejszą siatkę bezpieczeństwa opartą na jedności w ramach horyzontalnych PPKR; podkreśla potrzebę pełnego zachowania integralności rynku wewnętrznego i zapewnienia równych warunków działania rolnikom w poszczególnych państwach członkowskich; apeluje o dalsze prowadzenie i umocnienie środków gwarantujących rentowność obszarów wiejskich, również za pośrednictwem inicjatywy LEADER i rozwoju lokalnego kierowanego przez społeczność; podkreśla, że zajęcie się wyzwaniami klimatycznymi, środowiskowymi, związanymi z utratą różnorodności biologicznej oraz innymi wyzwaniami, które mają wpływ na obszary wiejskie, sektor rolny i bezpieczeństwo żywnościowe przyczynia się do rentowności i konkurencyjności sektora i obszarów wiejskich oraz do </w:t>
      </w:r>
      <w:r w:rsidRPr="00FE2D97">
        <w:t>długoterminowej stabilności produkcji rolnej; podkreśla potrzebę wspierania inwestycji dostosowanych do potrzeb, w tym inwestycji wspierających włączenie społeczne, które zwiększają atrakcyjność rolnictwa dla młodych ludzi, kobiet i nowych rolników;</w:t>
      </w:r>
    </w:p>
    <w:p w:rsidR="00251551" w:rsidRPr="00FE2D97" w:rsidP="00251551" w14:paraId="35476238" w14:textId="77777777">
      <w:pPr>
        <w:pStyle w:val="NormalHanging12a"/>
        <w:widowControl w:val="0"/>
      </w:pPr>
      <w:r w:rsidRPr="00FE2D97">
        <w:t>27.</w:t>
      </w:r>
      <w:r w:rsidRPr="00FE2D97">
        <w:tab/>
        <w:t xml:space="preserve">wyraża ubolewanie z powodu znacznego zmniejszenia środków budżetowych na rybołówstwo oraz rozproszenia finansowania na ten cel na kilka działów budżetu; apeluje o zapewnienie, aby wyodrębniony przydział środków na rybołówstwo i akwakulturę w WRF wyniósł co najmniej 7,29 mld EUR w cenach bieżących (co odpowiada 6,50 mld EUR w cenach stałych z 2025 r.) w celu sprostania wyzwaniom stojącym przed tymi sektorami; podkreśla ponadto, że dodatkowe finansowanie zewnętrznego wymiaru rybołówstwa w dziale 3 powinno wynieść 1,69 mld EUR w cenach bieżących (co odpowiada 1,50 mld EUR w cenach stałych z 2025 r.), i że powinno ono być przeznaczone między innymi na umowy o partnerstwie w sprawie zrównoważonych połowów i regionalne organizacje ds. zarządzania rybołówstwem; ponownie podkreśla, że wspólna polityka rybołówstwa przyczynia się do zapewnienia rybakom stabilnych dochodów i długoterminowej perspektywy, zapewniając jednocześnie ochronę zrównoważonych ekosystemów morskich, które stanowią podstawę konkurencyjności tego sektora; wzywa do zwrócenia szczególnej uwagi na flotę rybacką UE w celu poprawy bezpieczeństwa i ochrony, w tym poprzez zwalczanie nielegalnych połowów i poprawę warunków pracy, efektywności energetycznej, zrównoważonego charakteru oraz poprzez modernizację unijnej floty i odnowę pokoleniową; apeluje ponadto o zapewnienie w kolejnych WRF specjalnego i widocznego finansowania wykraczającego poza finansowanie rybołówstwa na potrzeby unijnej polityki związanej z oceanami, w tym Europejskiego paktu na rzecz wszechoceanu; </w:t>
      </w:r>
    </w:p>
    <w:p w:rsidR="00251551" w:rsidRPr="00FE2D97" w:rsidP="00251551" w14:paraId="0E8FBE56" w14:textId="77777777">
      <w:pPr>
        <w:pStyle w:val="NormalHanging12a"/>
        <w:widowControl w:val="0"/>
      </w:pPr>
      <w:r w:rsidRPr="00FE2D97">
        <w:t>28.</w:t>
      </w:r>
      <w:r w:rsidRPr="00FE2D97">
        <w:tab/>
        <w:t xml:space="preserve">przypomina, że polityka spójności jest prawnie zapisanym priorytetem Unii wynikającym z traktatu; podkreśla, że polityka spójności musi nadal funkcjonować jako główny instrument inwestycji terytorialnych Unii i filar unijnego modelu wzrostu, oparty na skutecznym zaangażowaniu władz lokalnych i regionalnych poprzez ich pełny udział w przygotowywaniu, wdrażaniu, monitorowaniu i ocenie planów krajowych oraz dostosowywaniu inwestycji do ich potrzeb, oraz że należy wdrażać tę politykę w oparciu o model bazujący na zasadzie partnerstwa, z udziałem podmiotów gospodarczych i społeczeństwa obywatelskiego oraz wielopoziomowego sprawowania rządów, z całkowitym budżetem w wysokości 306,93 mld EUR w cenach bieżących (co odpowiada kwocie 274,34 mld EUR w cenach stałych z 2025 r.) na fundusze strukturalne i inwestycyjne; </w:t>
      </w:r>
    </w:p>
    <w:p w:rsidR="00251551" w:rsidRPr="00FE2D97" w:rsidP="00251551" w14:paraId="3B85A15D" w14:textId="77777777">
      <w:pPr>
        <w:pStyle w:val="NormalHanging12a"/>
        <w:widowControl w:val="0"/>
      </w:pPr>
      <w:r w:rsidRPr="00FE2D97">
        <w:t>29.</w:t>
      </w:r>
      <w:r w:rsidRPr="00FE2D97">
        <w:tab/>
        <w:t xml:space="preserve">apeluje, aby polityka spójności pozostała odrębną polityką ze specjalnym i solidnym wyodrębnieniem środków budżetowych w kolejnych WRF na łączną kwotę 248,37 mld EUR w cenach bieżących (co odpowiada 222 mld EUR w cenach stałych z 2025 r.) na Europejski Fundusz Rozwoju Regionalnego (EFRR), 46,99 mld EUR w cenach bieżących (co odpowiada 42 mld EUR w cenach stałych z 2025 r.) na Fundusz Spójności i 11,57 mld EUR w cenach bieżących (co odpowiada 10,34 mld EUR w cenach stałych z 2025 r.) na </w:t>
      </w:r>
      <w:r w:rsidRPr="00FE2D97">
        <w:t>Interreg</w:t>
      </w:r>
      <w:r w:rsidRPr="00FE2D97">
        <w:t>; podkreśla, że przydzielenie tej kwoty na politykę spójności jest warunkiem niezbędnym nie tylko zapewnienia finansowania długoterminowych celów spójności i wspierania konwergencji, ale również finansowania nowych celów i priorytetów w ramach tej polityki;</w:t>
      </w:r>
    </w:p>
    <w:p w:rsidR="00251551" w:rsidRPr="00FE2D97" w:rsidP="00251551" w14:paraId="108C4880" w14:textId="77777777">
      <w:pPr>
        <w:pStyle w:val="NormalHanging12a"/>
        <w:widowControl w:val="0"/>
      </w:pPr>
      <w:r w:rsidRPr="00FE2D97">
        <w:t>30.</w:t>
      </w:r>
      <w:r w:rsidRPr="00FE2D97">
        <w:tab/>
        <w:t xml:space="preserve">ubolewa, że w projekcie rozporządzenia w sprawie PPKR Komisja nie uwzględniła niedociągnięć w RRF, które stwierdził również Europejski Trybunał Obrachunkowy, a </w:t>
      </w:r>
      <w:r w:rsidRPr="00FE2D97">
        <w:t xml:space="preserve">także wzywa do przyjęcia podejścia opartego na zarządzaniu dzielonym, w ramach którego władze lokalne i regionalne ponoszą odpowiedzialność za opracowanie, programowanie, wdrażanie i monitorowanie działań. </w:t>
      </w:r>
    </w:p>
    <w:p w:rsidR="00251551" w:rsidRPr="00FE2D97" w:rsidP="00251551" w14:paraId="70C61690" w14:textId="77777777">
      <w:pPr>
        <w:pStyle w:val="NormalHanging12a"/>
        <w:widowControl w:val="0"/>
      </w:pPr>
      <w:r w:rsidRPr="00FE2D97">
        <w:t>31.</w:t>
      </w:r>
      <w:r w:rsidRPr="00FE2D97">
        <w:tab/>
        <w:t>wzywa do ustanowienia rozdziałów regionalnych zgodnie z ramami instytucjonalnymi państw członkowskich; wzywa do pełnego zaangażowania władz lokalnych i regionalnych w opracowywanie, monitorowanie i wdrażanie funduszy w oparciu o zarządzanie dzielone, wielopoziomowe sprawowanie rządów i zasady partnerstwa, w ich obecnym rozumieniu; podkreśla potrzebę jasno określonych zasobów, zasad partnerstwa i silnego ukierunkowania terytorialnego, przy czym regiony powinny działać jako instytucje zarządzające, w tym w drodze bezpośrednich negocjacji z Komisją w sprawie określenia kamieni milowych i wartości docelowych oraz ich realizacji, a także bardziej bezpośredniego dostępu władz lokalnych i regionalnych do finansowania UE;</w:t>
      </w:r>
    </w:p>
    <w:p w:rsidR="00251551" w:rsidRPr="00FE2D97" w:rsidP="00251551" w14:paraId="7A5C77C3" w14:textId="77777777">
      <w:pPr>
        <w:pStyle w:val="NormalHanging12a"/>
        <w:widowControl w:val="0"/>
      </w:pPr>
      <w:r w:rsidRPr="00FE2D97">
        <w:t>32.</w:t>
      </w:r>
      <w:r w:rsidRPr="00FE2D97">
        <w:tab/>
        <w:t>podkreśla potrzebę odpowiedniego wsparcia reakcji Unii na wyzwania demograficzne; wzywa do zapewnienia, w ramach odpowiednich programów, wystarczających środków na działania przyczyniające się do sprostania takim wyzwaniom, w szczególności w regionach i na obszarach o niekorzystnych warunkach gospodarowania dotkniętych dysproporcjami regionalnymi i starzeniem się społeczeństwa, przy pełnym poszanowaniu kompetencji Unii i zasady pomocniczości;</w:t>
      </w:r>
    </w:p>
    <w:p w:rsidR="00251551" w:rsidRPr="00FE2D97" w:rsidP="00251551" w14:paraId="486B71F2" w14:textId="77777777">
      <w:pPr>
        <w:pStyle w:val="NormalHanging12a"/>
        <w:widowControl w:val="0"/>
      </w:pPr>
      <w:r w:rsidRPr="00FE2D97">
        <w:t>33.</w:t>
      </w:r>
      <w:r w:rsidRPr="00FE2D97">
        <w:tab/>
        <w:t xml:space="preserve">przypomina o wyjątkowych wyzwaniach, przed którymi stoją regiony wyspiarskie, przygraniczne i górskie w UE, i apeluje o opracowanie dostosowanych rozwiązań w celu zaspokojenia tych potrzeb; wzywa Komisję i państwa członkowskie, by zapewniły należyte uwzględnienie odrębnych ograniczeń geograficznych oraz realiów gospodarczych i środowiskowych przy opracowywaniu i wdrażaniu działów regionalnych; </w:t>
      </w:r>
    </w:p>
    <w:p w:rsidR="00251551" w:rsidRPr="00FE2D97" w:rsidP="00251551" w14:paraId="5CFF1F5D" w14:textId="77777777">
      <w:pPr>
        <w:pStyle w:val="NormalHanging12a"/>
        <w:widowControl w:val="0"/>
      </w:pPr>
      <w:r w:rsidRPr="00FE2D97">
        <w:t>34.</w:t>
      </w:r>
      <w:r w:rsidRPr="00FE2D97">
        <w:tab/>
        <w:t>zauważa, że programowanie finansowe Instrumentu UE, które umożliwia dodatkową elastyczność strategii politycznych objętych Instrumentem i w całości wchodzi w zakres kompetencji władzy budżetowej, będzie korzystać ze znacznych zasobów finansowych przeznaczonych na ten instrument w celu stawienia czoła nieprzewidzianym kryzysom;</w:t>
      </w:r>
    </w:p>
    <w:p w:rsidR="00251551" w:rsidRPr="00FE2D97" w:rsidP="00251551" w14:paraId="42631371" w14:textId="77777777">
      <w:pPr>
        <w:pStyle w:val="NormalHanging12a"/>
        <w:widowControl w:val="0"/>
      </w:pPr>
      <w:r w:rsidRPr="00FE2D97">
        <w:t>35.</w:t>
      </w:r>
      <w:r w:rsidRPr="00FE2D97">
        <w:tab/>
        <w:t xml:space="preserve">odnotowuje wprowadzenie do wniosku Komisji programu </w:t>
      </w:r>
      <w:r w:rsidRPr="00FE2D97">
        <w:t>Catalyst</w:t>
      </w:r>
      <w:r w:rsidRPr="00FE2D97">
        <w:t xml:space="preserve"> Europe, w którym można by uruchomić do 150 mld EUR w przystępnych cenowo pożyczkach wspieranych przez UE, aby umożliwić państwom członkowskim inwestycje strategiczne przewyższające przydzielone im pule krajowe; uważa, że mechanizm ten stanowi ważny krok w kierunku wyeliminowania luk inwestycyjnych w zakresie dekarbonizacji, cyfryzacji i odporności gospodarczej; podkreśla, że program </w:t>
      </w:r>
      <w:r w:rsidRPr="00FE2D97">
        <w:t>Catalyst</w:t>
      </w:r>
      <w:r w:rsidRPr="00FE2D97">
        <w:t xml:space="preserve"> Europe będzie dostępny dla wszystkich państw członkowskich, dzięki czemu przyczyni się do spójności gospodarczej i społecznej, a także do konkurencyjności europejskiej;</w:t>
      </w:r>
    </w:p>
    <w:p w:rsidR="00251551" w:rsidRPr="00FE2D97" w:rsidP="00251551" w14:paraId="6DEDBC07" w14:textId="77777777">
      <w:pPr>
        <w:pStyle w:val="NormalHanging12a"/>
        <w:widowControl w:val="0"/>
      </w:pPr>
      <w:r w:rsidRPr="00FE2D97">
        <w:t>36.</w:t>
      </w:r>
      <w:r w:rsidRPr="00FE2D97">
        <w:tab/>
        <w:t xml:space="preserve">uważa, że aby zapewnić pełne i skuteczne stosowanie art. 349 TFUE, w WRF na lata 2028–2034 należy ustanowić specjalne finansowanie dla regionów najbardziej oddalonych; w związku z tym wzywa do stworzenia POSEI z oddzielnym wystarczającym przydziałem finansowym na konkretne środki, w tym na akwakulturę i rybołówstwo, które odgrywają kluczową rolę w bezpieczeństwie żywnościowym, zatrudnieniu i rozwoju lokalnym; </w:t>
      </w:r>
    </w:p>
    <w:p w:rsidR="00251551" w:rsidRPr="00FE2D97" w:rsidP="00251551" w14:paraId="54533A8C" w14:textId="77777777">
      <w:pPr>
        <w:pStyle w:val="NormalHanging12a"/>
        <w:widowControl w:val="0"/>
      </w:pPr>
      <w:r w:rsidRPr="00FE2D97">
        <w:t>37.</w:t>
      </w:r>
      <w:r w:rsidRPr="00FE2D97">
        <w:tab/>
        <w:t xml:space="preserve">podkreśla, że WRF na lata 2028–2034 powinny odgrywać zasadniczą rolę w </w:t>
      </w:r>
      <w:r w:rsidRPr="00FE2D97">
        <w:t xml:space="preserve">zmniejszaniu nierówności, ubóstwa i wykluczenia społecznego przez wspieranie wdrożenia Europejskiego filaru praw socjalnych, jego planu działania i głównych celów; jest głęboko zaniepokojony faktem, że dostępność i przystępność cenowa godnych warunków mieszkaniowych w Europie maleje w alarmującym tempie w kontekście spadku ogólnych inwestycji w podaż mieszkań w wielu państwach członkowskich, przy czym finansowanie publiczne i prywatne pozostaje poniżej poziomu niezbędnego do zaspokojenia popytu; wzywa do strategicznego, odpowiedzialnego i skutecznego wdrażania inwestycji w godne, zrównoważone i przystępne cenowo mieszkania poprzez wykorzystanie funduszy UE, w tym środków w ramach EFRR, oraz wykorzystanie pożyczek </w:t>
      </w:r>
      <w:r w:rsidRPr="00FE2D97">
        <w:t>Catalyst</w:t>
      </w:r>
      <w:r w:rsidRPr="00FE2D97">
        <w:t xml:space="preserve"> Europe i ukierunkowanych inwestycji w ramach EFK, a także modułów krajowych </w:t>
      </w:r>
      <w:r w:rsidRPr="00FE2D97">
        <w:t>InvestEU</w:t>
      </w:r>
      <w:r w:rsidRPr="00FE2D97">
        <w:t>, co umożliwi większe inwestycje mieszkaniowe z myślą o wdrożeniu europejskiego planu na rzecz przystępnych cenowo mieszkań;</w:t>
      </w:r>
    </w:p>
    <w:p w:rsidR="00251551" w:rsidRPr="00FE2D97" w:rsidP="00251551" w14:paraId="17F9FD2E" w14:textId="77777777">
      <w:pPr>
        <w:pStyle w:val="NormalHanging12a"/>
        <w:widowControl w:val="0"/>
      </w:pPr>
      <w:r w:rsidRPr="00FE2D97">
        <w:t>38.</w:t>
      </w:r>
      <w:r w:rsidRPr="00FE2D97">
        <w:tab/>
        <w:t xml:space="preserve">apeluje, aby Europejski Fundusz Społeczny Plus (EFS+) pozostał samodzielnym i odrębnym programem ze specjalną pulą środków finansowych w wysokości 124,19 mld EUR w cenach bieżących (co odpowiada 110,73 mld EUR w cenach stałych z 2025 r.) na promowanie pozytywnej konwergencji społecznej, wysokiej jakości zatrudnienia i równych szans; podkreśla, że EFS pozostaje kluczowym instrumentem finansowania inwestycji w edukację, zatrudnienie i rozwój umiejętności, wspierającym równość i zapewniającym wsparcie osobom znajdującym się w trudnej sytuacji i najbardziej potrzebującym w naszych społeczeństwach, realizującym cele planu działania na rzecz Europejskiego filaru praw socjalnych; głęboko ubolewa nad wąskim wymiarem społecznym ujętym we wniosku dotyczącym rozporządzenia w sprawie PPKR; wzywa do zagwarantowania beneficjentom końcowym i odpowiedzialnym instytucjom zarządzającym jasności i przewidywalności; </w:t>
      </w:r>
    </w:p>
    <w:p w:rsidR="00251551" w:rsidRPr="00FE2D97" w:rsidP="00251551" w14:paraId="6C728BE6" w14:textId="77777777">
      <w:pPr>
        <w:pStyle w:val="NormalHanging12a"/>
        <w:widowControl w:val="0"/>
      </w:pPr>
      <w:r w:rsidRPr="00FE2D97">
        <w:t>39.</w:t>
      </w:r>
      <w:r w:rsidRPr="00FE2D97">
        <w:tab/>
        <w:t>podkreśla, że WRF muszą wspierać pełne i szybkie wdrożenie unijnego paktu o migracji i azylu, aby zapewnić odpowiednie warunki przyjmowania, szybkie i skuteczne procedury azylowe, integrację oraz procedury powrotu i readmisji, w pełnej zgodności z międzynarodowym prawodawstwem w dziedzinie praw człowieka; podkreśla, że w następnych WRF trzeba zapewnić zasoby niezbędne do odpowiedniego sprostania głównym wyzwaniom Unii w dziedzinie azylu, migracji, integracji, zarządzania granicami i bezpieczeństwa wewnętrznego, a także do skutecznej ochrony granic zewnętrznych UE, w tym infrastruktury granicznej, a także – w stosownych przypadkach – środków fizycznych, elektronicznych i wywiadowczych; uważa, że wniosek przedstawiony przez Komisję nie odpowiada w wystarczającym stopniu tym wymogom, i apeluje o zwiększenie kwot przeznaczonych na politykę w dziedzinie azylu i migracji, na zarządzanie granicami i bezpieczeństwo, do 38,04 mld EUR w cenach bieżących (34 mld EUR w cenach stałych z 2025 r.); apeluje o rozszerzenie bezpośrednich strumieni finansowania w ramach Instrumentu UE dla władz lokalnych i regionalnych z uwzględnieniem modelu obecnego instrumentu tematycznego Funduszu Azylu, Migracji i Integracji;</w:t>
      </w:r>
    </w:p>
    <w:p w:rsidR="00251551" w:rsidRPr="00FE2D97" w:rsidP="00251551" w14:paraId="016DED9F" w14:textId="77777777">
      <w:pPr>
        <w:pStyle w:val="NormalHanging12a"/>
        <w:widowControl w:val="0"/>
      </w:pPr>
      <w:r w:rsidRPr="00FE2D97">
        <w:t>40.</w:t>
      </w:r>
      <w:r w:rsidRPr="00FE2D97">
        <w:tab/>
        <w:t xml:space="preserve">uznaje, że wszystkie wschodnie regiony przygraniczne UE stoją w obliczu zwiększonych wyzwań gospodarczych, społecznych i związanych z bezpieczeństwem ze względu na rosyjską wojnę napastniczą przeciwko Ukrainie i inne zagrożenia geopolityczne, w tym hybrydowe; podkreśla potrzebę kompleksowego wsparcia w ramach WRF w celu wzmocnienia obronności, gotowości, odporności i bezpieczeństwa tych regionów, a także ich rozwoju gospodarczego, społecznego i terytorialnego; w związku z tym apeluje o kompleksową reakcję we wszystkich programach UE i stałe </w:t>
      </w:r>
      <w:r w:rsidRPr="00FE2D97">
        <w:t>wsparcie na szczeblu UE, w tym pomoc finansową w ramach planów krajowych;</w:t>
      </w:r>
    </w:p>
    <w:p w:rsidR="00251551" w:rsidRPr="00FE2D97" w:rsidP="00251551" w14:paraId="71419200" w14:textId="77777777">
      <w:pPr>
        <w:pStyle w:val="NormalHanging12a"/>
      </w:pPr>
    </w:p>
    <w:p w:rsidR="00251551" w:rsidRPr="00FE2D97" w:rsidP="00251551" w14:paraId="7B8AEE67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Dział 2</w:t>
      </w:r>
    </w:p>
    <w:p w:rsidR="00251551" w:rsidRPr="00FE2D97" w:rsidP="00251551" w14:paraId="1BE8DA15" w14:textId="77777777">
      <w:pPr>
        <w:pStyle w:val="NormalHanging12a"/>
        <w:widowControl w:val="0"/>
      </w:pPr>
      <w:r w:rsidRPr="00FE2D97">
        <w:t>41.</w:t>
      </w:r>
      <w:r w:rsidRPr="00FE2D97">
        <w:tab/>
        <w:t>z zadowoleniem przyjmuje znaczne zwiększenie środków w dziale 2 „Konkurencyjność, dobrobyt i bezpieczeństwo”, na który w WRF na lata 2028–2034 przeznacza się 522,2 mld EUR w cenach z 2025 r., co stanowi 30 % całkowitych WRF w porównaniu z 224,8 mld EUR, czyli 17 %, w obecnym okresie; zauważa, że to ponad dwukrotne zwiększenie zasobów odzwierciedla zaangażowanie Unii w badania naukowe, innowacje, strategiczną autonomię, strategiczne sektory przemysłu i infrastrukturę, odporność wodną, nowe technologie, biotechnologię, transformację ekologiczną i cyfrową, surowce krytyczne, bezpieczeństwo energetyczne, przestrzeń kosmiczną, obronność, transport i mobilność wojskową, sektory kreatywne, edukację, kulturę, demokrację i prawa podstawowe, odporność gospodarczą i społeczną, suwerenność technologiczną oraz wsparcie dla MŚP, przedsiębiorstw typu start-</w:t>
      </w:r>
      <w:r w:rsidRPr="00FE2D97">
        <w:t>up</w:t>
      </w:r>
      <w:r w:rsidRPr="00FE2D97">
        <w:t xml:space="preserve"> i przedsiębiorstw </w:t>
      </w:r>
      <w:r w:rsidRPr="00FE2D97">
        <w:t>scale-up</w:t>
      </w:r>
      <w:r w:rsidRPr="00FE2D97">
        <w:t xml:space="preserve">; przyznaje, że ten znaczny wzrost stanowi odpowiedź na ponawiane od dawna apele Parlamentu o większe inwestycje w tych obszarach, i podkreśla, że należy go wdrożyć w sposób zapewniający strategiczną spójność i maksymalizujący unijną wartość dodaną; </w:t>
      </w:r>
    </w:p>
    <w:p w:rsidR="00251551" w:rsidRPr="00FE2D97" w:rsidP="00251551" w14:paraId="4F032A6D" w14:textId="77777777">
      <w:pPr>
        <w:pStyle w:val="NormalHanging12a"/>
        <w:widowControl w:val="0"/>
      </w:pPr>
      <w:r w:rsidRPr="00FE2D97">
        <w:t>42.</w:t>
      </w:r>
      <w:r w:rsidRPr="00FE2D97">
        <w:tab/>
        <w:t xml:space="preserve">podkreśla, że EFK powinien być ukierunkowanym instrumentem finansowania uzupełniającym lukę w finansowaniu w obecnych WRF; podkreśla kluczową rolę EFK w zwiększaniu konkurencyjności Unii jako zdolności unijnych przedsiębiorstw do konkurowania na rynkach światowych, wzmacnianiu jej suwerenności gospodarczej i przemysłowej, długoterminowej wydajności, strategicznej autonomii i odporności, w tym dostępu do surowców krytycznych, oraz w realizacji dwojakiej transformacji; apeluje w związku z tym o budżet na EFK w wysokości 264,35 mld EUR w cenach bieżących (co odpowiada 234 mld EUR w cenach stałych z 2025 r.); podkreśla, że konsolidacja programów nie może zmniejszać przejrzystości ani ograniczać zdolności Parlamentu do zapewnienia odpowiedniego finansowania konkretnych celów polityki; podkreśla, że pomimo łączenia programów linie budżetowe muszą pozostać wystarczająco szczegółowe, aby umożliwić znaczący nadzór parlamentarny i utrzymać widoczność finansowania poszczególnych priorytetów; uważa, że ważne jest zapewnienie, aby EFK, w tym działania w ramach programu LIFE, były wdrażane za pomocą przejrzystych mechanizmów zarządzania umożliwiających śledzenie ogólnych wydatków, celów i rezultatów oraz unikanie niepotrzebnej fragmentacji; przypomina swoje stanowisko, zgodnie z którym konkurencyjność musi sprzyjać wzrostowi gospodarczemu, a także promować wysokiej jakości, stabilne i dobrze płatne miejsca pracy, jak podkreślono zarówno w sprawozdaniach </w:t>
      </w:r>
      <w:r w:rsidRPr="00FE2D97">
        <w:t>Draghiego</w:t>
      </w:r>
      <w:r w:rsidRPr="00FE2D97">
        <w:t xml:space="preserve">, jak i </w:t>
      </w:r>
      <w:r w:rsidRPr="00FE2D97">
        <w:t>Letty</w:t>
      </w:r>
      <w:r w:rsidRPr="00FE2D97">
        <w:t>, oraz że dobrze wyszkolona siła robocza ma kluczowe znaczenie dla gospodarki europejskiej dostosowanej do przyszłych wyzwań, w związku z czym potrzebne są środki finansowe na zmianę i podnoszenie kwalifikacji siły roboczej, w tym w sektorach borykających się ze znacznymi przemianami;</w:t>
      </w:r>
    </w:p>
    <w:p w:rsidR="00251551" w:rsidRPr="00FE2D97" w:rsidP="00251551" w14:paraId="477F666C" w14:textId="77777777">
      <w:pPr>
        <w:pStyle w:val="NormalHanging12a"/>
        <w:widowControl w:val="0"/>
      </w:pPr>
      <w:r w:rsidRPr="00FE2D97">
        <w:t>43.</w:t>
      </w:r>
      <w:r w:rsidRPr="00FE2D97">
        <w:tab/>
        <w:t xml:space="preserve">zauważa, że sam budżet UE nie jest w stanie wypełnić luki inwestycyjnej, w związku z czym należy zmaksymalizować synergie między inwestycjami publicznymi i prywatnymi, mechanizmami ograniczania ryzyka, instrumentami finansowymi i gwarancjami budżetowymi, które stanowią potężne i skuteczne narzędzia służące osiągnięciu celów UE i celów politycznych; zauważa również, że należy uprościć i </w:t>
      </w:r>
      <w:r w:rsidRPr="00FE2D97">
        <w:t xml:space="preserve">zharmonizować architekturę inwestycyjną UE; zdecydowanie podkreśla, że instrument </w:t>
      </w:r>
      <w:r w:rsidRPr="00FE2D97">
        <w:t>InvestEU</w:t>
      </w:r>
      <w:r w:rsidRPr="00FE2D97">
        <w:t xml:space="preserve"> musi być większy niż obecny program i dostępny od samego początku, oraz że budżet powinien zapewniać bardziej elastyczne i dostępne moduły krajowe </w:t>
      </w:r>
      <w:r w:rsidRPr="00FE2D97">
        <w:t>InvestEU</w:t>
      </w:r>
      <w:r w:rsidRPr="00FE2D97">
        <w:t>, zwłaszcza dla MŚP; wzywa także do ustanowienia solidnych instrumentów finansowych na szczeblu UE i mechanizmów podziału ryzyka w ramach EFK, które mogą zapewnić stabilny przepływ inwestycji i przyciągnąć kapitał prywatny;</w:t>
      </w:r>
    </w:p>
    <w:p w:rsidR="00251551" w:rsidRPr="00FE2D97" w:rsidP="00251551" w14:paraId="7D891A5E" w14:textId="77777777">
      <w:pPr>
        <w:pStyle w:val="NormalHanging12a"/>
        <w:widowControl w:val="0"/>
      </w:pPr>
      <w:r w:rsidRPr="00FE2D97">
        <w:t>44.</w:t>
      </w:r>
      <w:r w:rsidRPr="00FE2D97">
        <w:tab/>
        <w:t xml:space="preserve">przypomina o roli wsparcia MŚP jako podstawy gospodarki europejskiej o wyraźnym profilu terytorialnym oraz głównej siły napędowej wzrostu w całej Unii; podkreśla, jak ważny jest odpowiedni poziom inwestycji w MŚP; podkreśla, że budżet UE powinien umożliwiać MŚP szybszy i łatwiejszy dostęp do finansowania, zlikwidować lukę innowacyjną i inwestycyjną w stosunku do globalnych konkurentów oraz przyczynić się do zrównoważonego wzrostu gospodarczego, tworzenia miejsc pracy i autonomii strategicznej; </w:t>
      </w:r>
    </w:p>
    <w:p w:rsidR="00251551" w:rsidRPr="00FE2D97" w:rsidP="00251551" w14:paraId="0FC57FE3" w14:textId="77777777">
      <w:pPr>
        <w:pStyle w:val="NormalHanging12a"/>
        <w:widowControl w:val="0"/>
      </w:pPr>
      <w:r w:rsidRPr="00FE2D97">
        <w:t>45.</w:t>
      </w:r>
      <w:r w:rsidRPr="00FE2D97">
        <w:tab/>
        <w:t xml:space="preserve">podkreśla, że transformacja ekologiczna i cyfrowa są nierozerwalnie związane z długoterminowym dobrobytem, dobrostanem, zrównoważonym rozwojem, wzrostem gospodarczym i konkurencyjnością Europy; podkreśla, że ostateczny sukces dwojakiej transformacji będzie w dużym stopniu zależał od dopilnowania, aby transformacja była sprawiedliwa i </w:t>
      </w:r>
      <w:r w:rsidRPr="00FE2D97">
        <w:t>inkluzywna</w:t>
      </w:r>
      <w:r w:rsidRPr="00FE2D97">
        <w:t xml:space="preserve"> dla pracowników, regionów i przedsiębiorstw oraz aby przyczyniała się do sprawiedliwości społecznej dla wszystkich, ze szczególnym naciskiem na podmioty znajdujące się w najtrudniejszej sytuacji, tak by nikt nie został pominięty; zaznacza w związku z tym, że WRF na lata 2028–2034 muszą nadal wspierać dwojaką transformację; wyraża ubolewanie, że wniosek dotyczący WRF na lata 2028–2034 nie zawiera samodzielnego instrumentu, i w związku z tym apeluje o to, aby mimo to wykorzystać odpowiednie środki z następnych WRF do wsparcia sprawiedliwej transformacji; podkreśla ponadto potrzebę synergii i komplementarności między funduszami polityki spójności a EFK; </w:t>
      </w:r>
    </w:p>
    <w:p w:rsidR="00251551" w:rsidRPr="00FE2D97" w:rsidP="00251551" w14:paraId="26C7E522" w14:textId="77777777">
      <w:pPr>
        <w:pStyle w:val="NormalHanging12a"/>
        <w:widowControl w:val="0"/>
      </w:pPr>
      <w:r w:rsidRPr="00FE2D97">
        <w:t>46.</w:t>
      </w:r>
      <w:r w:rsidRPr="00FE2D97">
        <w:tab/>
        <w:t xml:space="preserve">podkreśla potrzebę wzmocnienia europejskiej bazy technologiczno-przemysłowej sektora obronnego; przypomina, że polityka przemysłowa w dziedzinie obronności musi być otwarta i sprzyjać konkurencji oraz że technologie podwójnego zastosowania, mobilność wojskowa i infrastruktura krytyczna są filarami projekcji geopolitycznej Unii i europejskiego odstraszania; apeluje o wyraźnie identyfikowalne i odpowiednio finansowane przydziały środków związanych z obronnością; apeluje, aby wszelkie inwestycje związane z obronnością, w tym w ramach PPKR, były zgodne ze spójnymi kryteriami kwalifikowalności, w tym wymogami dotyczącymi wyraźnej europejskiej wartości dodanej, oraz spójne z zasadami preferencji europejskiej, interoperacyjności, bezpieczeństwa dostaw i odporności przemysłu; </w:t>
      </w:r>
    </w:p>
    <w:p w:rsidR="00251551" w:rsidRPr="00FE2D97" w:rsidP="00251551" w14:paraId="5DAE0FA2" w14:textId="77777777">
      <w:pPr>
        <w:pStyle w:val="NormalHanging12a"/>
        <w:widowControl w:val="0"/>
      </w:pPr>
      <w:r w:rsidRPr="00FE2D97">
        <w:t>47.</w:t>
      </w:r>
      <w:r w:rsidRPr="00FE2D97">
        <w:tab/>
        <w:t xml:space="preserve">zauważa, że proponowany budżet programu „Horyzont Europa” nadal nie odpowiada wkładowi Unii niezbędnemu do osiągnięcia docelowego poziomu wydatków na badania i rozwój wynoszącego 3 %, i apeluje o zwiększenie budżetu programu „Horyzont Europa” do 200 mld w cenach bieżących (co odpowiada kwocie 177,01 mld w cenach stałych z 2025 r.); podkreśla, że zwiększone inwestycje w badania naukowe i innowacje UE, w tym znacznie większe inwestycje prywatne, odzwierciedlają egzystencjalną potrzebę zlikwidowania przez Unię luki innowacyjnej w stosunku do globalnych konkurentów, a tym samym przywrócenia zrównoważonego wzrostu i konkurencyjności w Europie, ponieważ pozostaje to podstawą naszego dobrobytu i ma kluczowe znaczenie dla utrzymania naszego modelu społecznego; przypomina, że wydatki UE na badania i rozwój nie mogą zastąpić trwałych krajowych inwestycji </w:t>
      </w:r>
      <w:r w:rsidRPr="00FE2D97">
        <w:t xml:space="preserve">publicznych w te dziedziny; podkreśla, że badania oparte na współpracy, otwarta konkurencja oraz doskonałość naukowa i technologiczna muszą pozostać centralnym elementem programu ramowego, i z zadowoleniem przyjmuje decyzję Komisji o kontynuowaniu specjalnego wsparcia dla działań na rzecz szerszego uczestnictwa i dla krajów w okresie przejściowym w celu zwiększenia równowagi geograficznej; podkreśla, że program ramowy, w tym przewidziane w nim działania na rzecz rozszerzania uczestnictwa, powinien przede wszystkim służyć wspieraniu doskonałości w dziedzinie badań naukowych i innowacji w całej Unii oraz pełnemu wykorzystaniu potencjału talentów w Europie; </w:t>
      </w:r>
    </w:p>
    <w:p w:rsidR="00251551" w:rsidRPr="00FE2D97" w:rsidP="00251551" w14:paraId="799AA239" w14:textId="77777777">
      <w:pPr>
        <w:pStyle w:val="NormalHanging12a"/>
        <w:widowControl w:val="0"/>
      </w:pPr>
      <w:r w:rsidRPr="00FE2D97">
        <w:t>48.</w:t>
      </w:r>
      <w:r w:rsidRPr="00FE2D97">
        <w:tab/>
        <w:t>przypomina o ważnej roli instrumentu „Łącząc Europę” jako kluczowego narzędzia służącego rozwiązaniu problemu brakujących połączeń w europejskich sektorach energii i transportu oraz jego wkład w pobudzanie wzrostu gospodarczego, zatrudnienia i konkurencyjności w UE; zauważa, że przejście na czystą energię i transgraniczne inwestycje strukturalne mające na celu poprawę bezpieczeństwa energetycznego i krytycznej infrastruktury energetycznej w Europie są niezbędne i stanowią warunek wstępny zapewnienia bezpiecznych i przystępnych cenowo dostaw energii w całej Unii; przypomina o kluczowym znaczeniu i wartości dodanej inwestycji UE w rozwój infrastruktury czystej energii oraz przyspieszenie modernizacji sieci i transgranicznych połączeń międzysystemowych, w tym w odniesieniu do odnawialnych źródeł energii; z zadowoleniem przyjmuje bardzo potrzebny wzrost transportu i mobilności wojskowej w ramach instrumentu „Łącząc Europę”; zauważa, że finansowanie infrastruktury transportowej, a także rozwiązań w zakresie obniżenia emisyjności i cyfryzacji zależy obecnie od ścisłej synchronizacji między instrumentem „Łącząc Europę”, EFK i PPKR; apeluje o przydział środków z instrumentu „Łącząc Europę” w wysokości 91,29 mld EUR w cenach bieżących (co odpowiada 81 mld EUR w cenach stałych z 2025 r.), aby odpowiednio wspierać energię, transport i mobilność wojskową;</w:t>
      </w:r>
    </w:p>
    <w:p w:rsidR="00251551" w:rsidRPr="00FE2D97" w:rsidP="00251551" w14:paraId="3C4E65E2" w14:textId="77777777">
      <w:pPr>
        <w:pStyle w:val="NormalHanging12a"/>
        <w:widowControl w:val="0"/>
      </w:pPr>
      <w:r w:rsidRPr="00FE2D97">
        <w:t>49.</w:t>
      </w:r>
      <w:r w:rsidRPr="00FE2D97">
        <w:tab/>
        <w:t>podkreśla, że program LIFE odgrywa kluczową rolę w uwzględnianiu celów i zobowiązań UE w zakresie ochrony środowiska; uważa zatem, że działania objęte obecnie wsparciem z programu LIFE, takie jak ukierunkowane, długoterminowe i wysokiej jakości wsparcie na rzecz ochrony przyrody, odbudowy różnorodności biologicznej, przystosowania się do zmiany klimatu, zapobiegania zanieczyszczeniom i zarządzania środowiskiem, powinny być kontynuowane w jasny sposób, ze specjalnym finansowaniem w wysokości 3,39 mld EUR w cenach bieżących (co odpowiada 3 mld EUR w cenach stałych z 2025 r.) w ramach EFK, aby zapewnić przewidywalność, stabilność i ciągłość finansowania, w tym dla władz lokalnych i regionalnych, oraz aby wdrażanie w terenie pozostało skuteczne i widoczne dla beneficjentów i obywateli; podkreśla ponadto, że instrument UE powinien również realizować działania związane z programem LIFE, aby osiągnąć obecny poziom finansowania z tego programu;</w:t>
      </w:r>
    </w:p>
    <w:p w:rsidR="00251551" w:rsidRPr="00FE2D97" w:rsidP="00251551" w14:paraId="26A76EA3" w14:textId="77777777">
      <w:pPr>
        <w:pStyle w:val="NormalHanging12a"/>
        <w:widowControl w:val="0"/>
      </w:pPr>
      <w:r w:rsidRPr="00FE2D97">
        <w:t>50.</w:t>
      </w:r>
      <w:r w:rsidRPr="00FE2D97">
        <w:tab/>
        <w:t xml:space="preserve">podkreśla, że zdrowie obywateli Unii pozostaje priorytetem; podkreśla, że zdrowa populacja i silny sektor zdrowia są podstawowymi czynnikami konkurencyjności, odporności gospodarczej i dobrostanu Europy; podkreśla, że trwałe i przewidywalne inwestycje w zdrowie mają zasadnicze znaczenie dla wzmocnienia odporności systemów opieki zdrowotnej, wsparcia i zatrzymania wykwalifikowanej siły roboczej, zmniejszenia nierówności w dostępie do opieki we wszystkich państwach członkowskich i zapewnienia gotowości Unii na przyszłe kryzysy zdrowotne; wyraża głębokie zaniepokojenie rozmyciem Programu UE dla zdrowia i przeniesieniem do EFK większości działań w zakresie polityki zdrowotnej, profilaktyki i wzmacniania systemów opieki zdrowotnej; apeluje zatem o przeznaczenie 10,05 mld EUR w cenach </w:t>
      </w:r>
      <w:r w:rsidRPr="00FE2D97">
        <w:t>bieżących (co odpowiada 8,90 mld EUR w cenach stałych z 2025 r.) na finansowanie w ramach EFK konkretnych priorytetów Programu UE dla zdrowia;</w:t>
      </w:r>
    </w:p>
    <w:p w:rsidR="00251551" w:rsidRPr="00FE2D97" w:rsidP="00251551" w14:paraId="004C2D66" w14:textId="77777777">
      <w:pPr>
        <w:pStyle w:val="NormalHanging12a"/>
        <w:widowControl w:val="0"/>
      </w:pPr>
      <w:r w:rsidRPr="00FE2D97">
        <w:t>51.</w:t>
      </w:r>
      <w:r w:rsidRPr="00FE2D97">
        <w:tab/>
        <w:t xml:space="preserve">ponownie podkreśla, że należy przeznaczyć odpowiednie zasoby na zwalczanie przemocy ze względu na płeć oraz na wspieranie zdrowia seksualnego i reprodukcyjnego oraz usług w tym zakresie, organizacji zajmujących się prawami kobiet oraz inicjatyw i organów UE promujących prawdziwą równość między ludźmi, niezależnie od ich płci, wieku, orientacji seksualnej lub rasy; </w:t>
      </w:r>
      <w:bookmarkStart w:id="8" w:name="_Hlk227670980"/>
      <w:r w:rsidRPr="00FE2D97">
        <w:t>zwraca w związku z tym uwagę na komunikat Komisji</w:t>
      </w:r>
      <w:r>
        <w:rPr>
          <w:rStyle w:val="FootnoteReference"/>
        </w:rPr>
        <w:footnoteReference w:id="7"/>
      </w:r>
      <w:r w:rsidRPr="00FE2D97">
        <w:t xml:space="preserve"> w następstwie rezolucji PE z grudnia 2025 r.</w:t>
      </w:r>
      <w:r>
        <w:rPr>
          <w:rStyle w:val="FootnoteReference"/>
        </w:rPr>
        <w:footnoteReference w:id="8"/>
      </w:r>
      <w:r w:rsidRPr="00FE2D97">
        <w:t xml:space="preserve"> w sprawie europejskiej inicjatywy obywatelskiej „My Voice, My Choice” [„Mój głos, mój wybór”];</w:t>
      </w:r>
      <w:bookmarkEnd w:id="8"/>
    </w:p>
    <w:p w:rsidR="00251551" w:rsidRPr="00FE2D97" w:rsidP="00251551" w14:paraId="05764ECA" w14:textId="77777777">
      <w:pPr>
        <w:pStyle w:val="NormalHanging12a"/>
        <w:widowControl w:val="0"/>
      </w:pPr>
      <w:r w:rsidRPr="00FE2D97">
        <w:t>52.</w:t>
      </w:r>
      <w:r w:rsidRPr="00FE2D97">
        <w:tab/>
        <w:t>odnotowuje propozycję przesunięcia gotowości na wypadek sytuacji kryzysowej i reagowania kryzysowego w dziedzinie zdrowia z obecnego Programu UE dla zdrowia do bardziej ogólnych zdolności reagowania kryzysowego UE, uzupełnionymi o nowe międzysektorowe funkcje koordynacji kryzysowej i działania związane ze współpracą cywilno-wojskową, tworzące zintegrowaną i odporną europejską ochronę ludności; podkreśla rolę UE jako centrum koordynacji i poprawy gotowości i zdolności państw członkowskich do natychmiastowego reagowania na sytuacje nadzwyczajne na dużą skalę i o dużym wpływie oraz ponawia apel o zapewnienie odpowiedniego finansowania gotowości i szybkiego reagowania kryzysowego, tak aby UMOL+ pozostał głównymi ramami reagowania kryzysowego ogólnego przeznaczenia na szczeblu UE; apeluje w związku z tym, by budżet UMOL+ wynosił 12,42 mld EUR w cenach bieżących (co odpowiada 11 mld EUR w cenach stałych z 2025 r.);</w:t>
      </w:r>
    </w:p>
    <w:p w:rsidR="00251551" w:rsidRPr="00FE2D97" w:rsidP="00251551" w14:paraId="26B95FB9" w14:textId="77777777">
      <w:pPr>
        <w:pStyle w:val="NormalHanging12a"/>
        <w:widowControl w:val="0"/>
      </w:pPr>
      <w:r w:rsidRPr="00FE2D97">
        <w:t>53.</w:t>
      </w:r>
      <w:r w:rsidRPr="00FE2D97">
        <w:tab/>
        <w:t xml:space="preserve">przypomina, że Erasmus+, jako jeden z sztandarowych programów Unii, odgrywa kluczową rolę w promowaniu wartości europejskich, współpracy transgranicznej i zaangażowania młodzieży, oraz ponownie zaznacza, iż – w kontekście sprawozdań </w:t>
      </w:r>
      <w:r w:rsidRPr="00FE2D97">
        <w:t>Draghiego</w:t>
      </w:r>
      <w:r w:rsidRPr="00FE2D97">
        <w:t xml:space="preserve"> i </w:t>
      </w:r>
      <w:r w:rsidRPr="00FE2D97">
        <w:t>Letty</w:t>
      </w:r>
      <w:r w:rsidRPr="00FE2D97">
        <w:t xml:space="preserve"> – zwiększenie kapitału ludzkiego, mobilności pracowników i umiejętności, w tym poprzez wymiany uniwersyteckie i przyuczania do zawodu, uznano za istotny element konkurencyjności i odporności Europy; apeluje, by budżet Erasmus+ wynosił 47,39 mld EUR w cenach bieżących (co odpowiada 42 mld EUR w cenach stałych z 2025 r.); </w:t>
      </w:r>
    </w:p>
    <w:p w:rsidR="00251551" w:rsidRPr="00FE2D97" w:rsidP="00251551" w14:paraId="3099F0DE" w14:textId="77777777">
      <w:pPr>
        <w:pStyle w:val="NormalHanging12a"/>
        <w:widowControl w:val="0"/>
      </w:pPr>
      <w:r w:rsidRPr="00FE2D97">
        <w:t>54.</w:t>
      </w:r>
      <w:r w:rsidRPr="00FE2D97">
        <w:tab/>
        <w:t xml:space="preserve">podkreśla, że inwestycje w odporność demokratyczną i witalność kulturalną stanowią integralną część strategicznej autonomii Unii; w tym kontekście z zadowoleniem przyjmuje wniosek dotyczący nowego programu </w:t>
      </w:r>
      <w:r w:rsidRPr="00FE2D97">
        <w:t>AgoraEU</w:t>
      </w:r>
      <w:r w:rsidRPr="00FE2D97">
        <w:t xml:space="preserve">, uznając jego rozszerzony zakres i wyjątkową europejską wartość dodaną jako jedynego programu Unii poświęconego sektorowi kultury i sektorowi kreatywnemu oraz pluralizmowi mediów, a także wspieraniu demokratycznego uczestnictwa i promowaniu wartości europejskich; apeluje w związku z tym, by budżet </w:t>
      </w:r>
      <w:r w:rsidRPr="00FE2D97">
        <w:t>AgoraEU</w:t>
      </w:r>
      <w:r w:rsidRPr="00FE2D97">
        <w:t xml:space="preserve"> wynosił 10,72 mld EUR w cenach bieżących (co odpowiada 9,5 mld EUR w cenach stałych z 2025 r.);</w:t>
      </w:r>
    </w:p>
    <w:p w:rsidR="00251551" w:rsidRPr="00FE2D97" w:rsidP="00251551" w14:paraId="1CBA5233" w14:textId="77777777">
      <w:pPr>
        <w:pStyle w:val="NormalHanging12a"/>
        <w:widowControl w:val="0"/>
      </w:pPr>
      <w:r w:rsidRPr="00FE2D97">
        <w:t>55.</w:t>
      </w:r>
      <w:r w:rsidRPr="00FE2D97">
        <w:tab/>
        <w:t xml:space="preserve">apeluje o budżet programu „Sprawiedliwość” w wysokości 0,89 mld EUR w cenach bieżących (0,79 mld EUR w cenach stałych z 2025 r.), obejmujący wsparcie cyfryzacji współpracy sądowej i dostępu do wymiaru sprawiedliwości, wprowadzenie nowych instrumentów transgranicznych oraz pojawiające się inicjatywy służące ograniczeniu transgranicznej fragmentacji prawnej, w szczególności w związku z nowymi </w:t>
      </w:r>
      <w:r w:rsidRPr="00FE2D97">
        <w:t>wyzwaniami, takimi jak przestępczość internetowa i mowa nienawiści;</w:t>
      </w:r>
    </w:p>
    <w:p w:rsidR="00251551" w:rsidRPr="00FE2D97" w:rsidP="00251551" w14:paraId="32F02CAE" w14:textId="77777777">
      <w:pPr>
        <w:pStyle w:val="NormalHanging12a"/>
      </w:pPr>
    </w:p>
    <w:p w:rsidR="00251551" w:rsidRPr="00FE2D97" w:rsidP="00251551" w14:paraId="42EEEF9B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 xml:space="preserve">Dział 3 </w:t>
      </w:r>
    </w:p>
    <w:p w:rsidR="00251551" w:rsidRPr="00FE2D97" w:rsidP="00251551" w14:paraId="636AEE14" w14:textId="77777777">
      <w:pPr>
        <w:pStyle w:val="NormalHanging12a"/>
        <w:widowControl w:val="0"/>
      </w:pPr>
      <w:r w:rsidRPr="00FE2D97">
        <w:t>56.</w:t>
      </w:r>
      <w:r w:rsidRPr="00FE2D97">
        <w:tab/>
        <w:t>zauważa, że w WRF na lata 2028–2034 na dział 3 „Globalny wymiar Europy” przeznacza się 190 mld EUR w cenach z 2025 r., co stanowi znaczny wzrost w porównaniu z 121,5 mld EUR w obecnym okresie, przy jednoczesnym utrzymaniu jego udziału w całości WRF na poziomie 10 %; uważa, że to niezbędne zwiększenie o 68,5 mld EUR ma absolutnie kluczowe znaczenie, ponieważ świadczy o zaangażowaniu Unii na rzecz wzmocnienia jej roli jako podmiotu globalnego i wiarygodnego partnera w coraz bardziej złożonym środowisku geopolitycznym; wyraża jednak zaniepokojenie, że ten poziom finansowania pozostaje niewystarczający do sfinansowania pomocy przedakcesyjnej i działań zewnętrznych, biorąc pod uwagę skalę globalnych wyzwań, w tym rosnące potrzeby rozwojowe i nierówności, kryzysy humanitarne, bezprecedensową liczbę kryzysów, konfliktów i ogólną niestabilność, dekarbonizację, kwestie zdrowia na świecie oraz potrzebę wsparcia Ukrainy i innych partnerów; w związku z tym uważa, że konieczne jest zwiększenie przydziału środków budżetowych na instrument „Globalny wymiar Europy” do 225 mld EUR w cenach bieżących (co odpowiada 198,63 mld EUR w cenach stałych z 2025 r.);</w:t>
      </w:r>
    </w:p>
    <w:p w:rsidR="00251551" w:rsidRPr="00FE2D97" w:rsidP="00251551" w14:paraId="183C527B" w14:textId="77777777">
      <w:pPr>
        <w:pStyle w:val="NormalHanging12a"/>
        <w:widowControl w:val="0"/>
      </w:pPr>
      <w:r w:rsidRPr="00FE2D97">
        <w:t>57.</w:t>
      </w:r>
      <w:r w:rsidRPr="00FE2D97">
        <w:tab/>
        <w:t xml:space="preserve">ubolewa nad brakiem celów tematycznych obejmujących obszary o krytycznym znaczeniu, które umożliwiłyby </w:t>
      </w:r>
      <w:r w:rsidRPr="00FE2D97">
        <w:t>współprawodawcom</w:t>
      </w:r>
      <w:r w:rsidRPr="00FE2D97">
        <w:t xml:space="preserve"> ustalenie priorytetów strategicznych; podkreśla potrzebę zaangażowania partnerów reprezentujących społeczeństwo obywatelskie oraz podmiotów lokalnych i regionalnych; podkreśla, że ten zwiększony przydział środków ma zasadnicze znaczenie dla pozycji Unii jako wiarygodnego podmiotu na arenie międzynarodowej; apeluje o niezbędne środki na wsparcie procesów rozszerzenia i przystąpienia oraz na promowanie i utrzymanie wartości i interesów Unii na całym świecie, w tym przez partnerstwa korzystne dla wszystkich stron; zaznacza, że przewidywalne i odpowiednie finansowanie sprzyja stabilności, odporności i zrównoważonemu rozwojowi oraz przyczynia się do wyeliminowania pierwotnych przyczyn migracji przez wspieranie rozwoju gospodarczego, wysokiej jakości edukacji i szkolenia zawodowego, oraz tworzenia miejsc pracy w krajach partnerskich, a tym samym do wzmocnienia długoterminowego bezpieczeństwa; wzywa do wynegocjowania przepisów w ramach odpowiedniej procedury ustawodawczej gwarantujących, że przy wykorzystaniu funduszy UE w ramach instrumentu „Globalny wymiar Europy” nie pomija się kwestii uporczywych naruszeń praw człowieka w krajach partnerskich, oraz przypomina o zasadach humanitaryzmu, bezstronności, neutralności i niezależności w odniesieniu do pomocy humanitarnej i rozwojowej;</w:t>
      </w:r>
    </w:p>
    <w:p w:rsidR="00251551" w:rsidRPr="00FE2D97" w:rsidP="00251551" w14:paraId="5D34EAA9" w14:textId="77777777">
      <w:pPr>
        <w:pStyle w:val="NormalHanging12a"/>
        <w:widowControl w:val="0"/>
      </w:pPr>
      <w:r w:rsidRPr="00FE2D97">
        <w:t>58.</w:t>
      </w:r>
      <w:r w:rsidRPr="00FE2D97">
        <w:tab/>
        <w:t xml:space="preserve">ostrzega, że połączenie programów może ponownie doprowadzić do osłabienia nadzoru i zaangażowania parlamentarnego, a także do zmniejszenia widoczności finansowania konkretnych priorytetów, jak miało to miejsce w przypadku Instrumentu Sąsiedztwa oraz Współpracy Międzynarodowej i Rozwojowej – „Globalny wymiar Europy”; apeluje o jasne i skuteczne mechanizmy rozliczalności i sprawozdawczości w ramach instrumentu „Globalny wymiar Europy”; nalega, aby filary, a także programy tematyczne, kraje i instrumenty w ich ramach, w tym fundusze przedakcesyjne, miały jasne i odrębne linie budżetowe w celu zapewnienia przejrzystości przydziału środków oraz aby wnioski o przesunięcie środków o znacznej wartości w obrębie </w:t>
      </w:r>
      <w:r w:rsidRPr="00FE2D97">
        <w:t>poszczególnych filarów podlegały uprzedniemu zatwierdzeniu przez Parlament; uważa, że zasadnicze znaczenie ma umożliwienie umarzania zobowiązań w ramach „Globalnego wymiaru Europy” z powrotem do pierwotnej linii budżetowej; uważa, że Komisja musi przedstawić jasny podział na finansowanie podlegające i niepodlegające programowaniu, i przypomina, że instrument „Globalny wymiar Europy” musi składać się głównie z działań w ramach programów geograficznych;</w:t>
      </w:r>
    </w:p>
    <w:p w:rsidR="00251551" w:rsidRPr="00FE2D97" w:rsidP="00251551" w14:paraId="521B3527" w14:textId="77777777">
      <w:pPr>
        <w:pStyle w:val="NormalHanging12a"/>
        <w:widowControl w:val="0"/>
      </w:pPr>
      <w:r w:rsidRPr="00FE2D97">
        <w:t>59.</w:t>
      </w:r>
      <w:r w:rsidRPr="00FE2D97">
        <w:tab/>
        <w:t>przypomina, że pomoc humanitarna, finansowana ze środków przeznaczonych wyłącznie na ten cel, zabezpieczona i realizowana zgodnie z rozporządzeniem Rady (WE) nr 1257/96 w sprawie pomocy humanitarnej</w:t>
      </w:r>
      <w:r>
        <w:rPr>
          <w:rStyle w:val="FootnoteReference"/>
        </w:rPr>
        <w:footnoteReference w:id="9"/>
      </w:r>
      <w:r w:rsidRPr="00FE2D97">
        <w:t>, pozostaje najbardziej widocznym i opartym na zasadach wyrazem solidarności europejskiej i musi nadal kierować się zasadami humanitaryzmu, bezstronności, neutralności i niezależności; przypomina swoje stanowisko, zgodnie z którym oparty na zasadach i na potrzebach charakter pomocy humanitarnej wymaga przewidywalnego finansowania za pośrednictwem spójnych ram, z odpowiednio finansowanym rocznym poziomem bazowym i specjalną nomenklaturą, uzupełnionym odpowiednią rezerwą na działania w sytuacjach nadzwyczajnych;</w:t>
      </w:r>
    </w:p>
    <w:p w:rsidR="00251551" w:rsidRPr="00FE2D97" w:rsidP="00251551" w14:paraId="78D2F840" w14:textId="77777777">
      <w:pPr>
        <w:pStyle w:val="NormalHanging12a"/>
        <w:widowControl w:val="0"/>
      </w:pPr>
      <w:r w:rsidRPr="00FE2D97">
        <w:t>60.</w:t>
      </w:r>
      <w:r w:rsidRPr="00FE2D97">
        <w:tab/>
        <w:t>podkreśla znaczenie gwarantowanego dostępu do rezerwy w ramach Instrumentu „Globalny wymiar Europy”, która powinna być dostępna uzupełniająco i niezależnie od orientacyjnego przydziału w wysokości 25 mld EUR przeznaczonego na zwiększenie środków w przypadku nieoczekiwanych potrzeby, które rosną z powodu takich czynników jak zmiana klimatu; wzywa do uznania 25 mld EUR na pomoc humanitarną w latach 2028–2034 za gwarantowane minimum, a nie za pułap, biorąc pod uwagę rosnącą liczbę i czas trwania kryzysów humanitarnych;</w:t>
      </w:r>
    </w:p>
    <w:p w:rsidR="00251551" w:rsidRPr="00FE2D97" w:rsidP="00251551" w14:paraId="508A9C58" w14:textId="77777777">
      <w:pPr>
        <w:pStyle w:val="NormalHanging12a"/>
        <w:widowControl w:val="0"/>
      </w:pPr>
      <w:r w:rsidRPr="00FE2D97">
        <w:t>61.</w:t>
      </w:r>
      <w:r w:rsidRPr="00FE2D97">
        <w:tab/>
        <w:t>z zadowoleniem przyjmuje fakt, że sposób uruchamiania rezerwy „Globalny wymiar Europy” ulegnie zmianie w porównaniu z ISWMR – „Globalny wymiar Europy”, ponieważ zgodnie z przepisami dotyczącymi następnych WRF i rozporządzenia finansowego</w:t>
      </w:r>
      <w:r>
        <w:rPr>
          <w:rStyle w:val="FootnoteReference"/>
        </w:rPr>
        <w:footnoteReference w:id="10"/>
      </w:r>
      <w:r w:rsidRPr="00FE2D97">
        <w:t xml:space="preserve"> każde uruchomienie powyżej 10 % rocznej alokacji będzie wymagało zatwierdzenia przez Parlament i Radę; nalega jednak, jak we wcześniejszych apelach, aby Komisja informowała Parlament z odpowiednim wyprzedzeniem przed każdym uruchomieniem rezerwy oraz uwzględniała jego uwagi dotyczące charakteru, celów i przewidywanych kwot finansowych;</w:t>
      </w:r>
    </w:p>
    <w:p w:rsidR="00251551" w:rsidRPr="00FE2D97" w:rsidP="00251551" w14:paraId="709CC7CA" w14:textId="77777777">
      <w:pPr>
        <w:pStyle w:val="NormalHanging12a"/>
        <w:widowControl w:val="0"/>
      </w:pPr>
      <w:r w:rsidRPr="00FE2D97">
        <w:t>62.</w:t>
      </w:r>
      <w:r w:rsidRPr="00FE2D97">
        <w:tab/>
        <w:t xml:space="preserve">podkreśla, że Instrument „Globalny wymiar Europy” dysponujący wystarczającymi zasobami ma zasadnicze znaczenie dla spójności działań zewnętrznych Unii oraz dla tego, aby UE działała jako wiarygodny i długoterminowy partner na równi z krajami partnerskimi; potwierdza, że przydział środków w ramach Instrumentu „Globalny wymiar Europy” powinien być zgodny z celem polityki UE w zakresie współpracy na rzecz rozwoju określonym w art. 208 TFUE, a mianowicie ograniczeniem, a w perspektywie długoterminowej – likwidacją ubóstwa, a także z Europejskim </w:t>
      </w:r>
      <w:r w:rsidRPr="00FE2D97">
        <w:t xml:space="preserve">konsensusem w sprawie rozwoju i Agendą na rzecz zrównoważonego rozwoju 2030; </w:t>
      </w:r>
    </w:p>
    <w:p w:rsidR="00251551" w:rsidRPr="00FE2D97" w:rsidP="00251551" w14:paraId="49A978D5" w14:textId="77777777">
      <w:pPr>
        <w:pStyle w:val="NormalHanging12a"/>
        <w:widowControl w:val="0"/>
      </w:pPr>
      <w:r w:rsidRPr="00FE2D97">
        <w:t>63.</w:t>
      </w:r>
      <w:r w:rsidRPr="00FE2D97">
        <w:tab/>
        <w:t>apeluje o skuteczne mechanizmy rozliczalności i sprawozdawczości; jest zaniepokojony powszechnym stosowaniem „finansowania niepowiązanego z kosztami odnośnych operacji” we wdrażaniu filaru „Europa” za pomocą planów opartych na wynikach i nalega, aby środki te były wypłacane w oparciu o zgodność z podstawowymi zasadami procesu rozszerzenia, w tym praworządności;</w:t>
      </w:r>
      <w:bookmarkStart w:id="10" w:name="_Hlk227671173"/>
      <w:bookmarkEnd w:id="10"/>
      <w:r w:rsidRPr="00FE2D97">
        <w:t xml:space="preserve"> </w:t>
      </w:r>
    </w:p>
    <w:p w:rsidR="00251551" w:rsidRPr="00FE2D97" w:rsidP="00251551" w14:paraId="058D6550" w14:textId="77777777">
      <w:pPr>
        <w:pStyle w:val="NormalHanging12a"/>
        <w:widowControl w:val="0"/>
      </w:pPr>
      <w:r w:rsidRPr="00FE2D97">
        <w:t>64.</w:t>
      </w:r>
      <w:r w:rsidRPr="00FE2D97">
        <w:tab/>
        <w:t xml:space="preserve">uważa, że rozszerzenie stanowi szansę na wzmocnienie Unii oraz że następne wieloletnie ramy finansowe mają kluczowe znaczenie dla przygotowania Unii i krajów kandydujących do przystąpienia; z zadowoleniem przyjmuje decyzję o przyznaniu Ukrainie i sąsiedniej Republice Mołdawii statusu kraju kandydującego; podkreśla potrzebę przeznaczenia niezbędnych funduszy na wsparcie procesów akcesyjnych tych krajów oraz procesów akcesyjnych krajów Bałkanów Zachodnich; z zadowoleniem przyjmuje zobowiązanie w ramach „Globalnego wymiaru Europy” do zapewnienia solidnego wsparcia finansowego krajom kandydującym jako kluczowego instrumentu służącego ich silnemu zakotwiczeniu w UE i przyspieszeniu ich przygotowań do przystąpienia; apeluje o zapewnienie każdemu krajowi kandydującemu specjalnego przydziału środków w ramach konkretnych linii budżetowych; </w:t>
      </w:r>
    </w:p>
    <w:p w:rsidR="00251551" w:rsidRPr="00FE2D97" w:rsidP="00251551" w14:paraId="1C74710D" w14:textId="77777777">
      <w:pPr>
        <w:pStyle w:val="NormalHanging12a"/>
        <w:widowControl w:val="0"/>
      </w:pPr>
      <w:r w:rsidRPr="00FE2D97">
        <w:t>65.</w:t>
      </w:r>
      <w:r w:rsidRPr="00FE2D97">
        <w:tab/>
        <w:t xml:space="preserve">ponownie wyraża pełne poparcie dla Ukraińców w walce o wolność i demokrację oraz ubolewa nad straszliwym cierpieniem i skutkami niczym niesprowokowanej i nieuzasadnionej wojny napastniczej Rosji; z zadowoleniem przyjmuje fakt, że przyjęto wniosek dotyczący uruchomienia pożyczki na potrzeby wsparcia Ukrainy w ramach wsparcia Unii dla tego kraju; podkreśla, że koszty obsługi zadłużenia wynikające z pożyczek zaciągniętych na pożyczkę na potrzeby wsparcia Ukrainy nie zostały uwzględnione we wnioskach dotyczących kolejnych WRF; nalega, aby te koszty obsługi zadłużenia znalazły się całkowicie poza pułapami kolejnych WRF i poza finansowaniem już zaplanowanym w ramach Rezerwy na rzecz Ukrainy; </w:t>
      </w:r>
    </w:p>
    <w:p w:rsidR="00251551" w:rsidRPr="00FE2D97" w:rsidP="00251551" w14:paraId="3A21C209" w14:textId="77777777">
      <w:pPr>
        <w:pStyle w:val="NormalHanging12a"/>
        <w:widowControl w:val="0"/>
      </w:pPr>
      <w:r w:rsidRPr="00FE2D97">
        <w:t>66.</w:t>
      </w:r>
      <w:r w:rsidRPr="00FE2D97">
        <w:tab/>
        <w:t xml:space="preserve">z zaniepokojeniem odnotowuje zmniejszenie docelowego poziomu oficjalnej pomocy rozwojowej z 93 % do 90 % we wniosku Komisji; podkreśla, że Komisja nie powinna mieć możliwości zmiany tego celu w drodze aktów delegowanych; </w:t>
      </w:r>
    </w:p>
    <w:p w:rsidR="00251551" w:rsidRPr="00FE2D97" w:rsidP="00251551" w14:paraId="3C1DA398" w14:textId="77777777">
      <w:pPr>
        <w:pStyle w:val="NormalHanging12a"/>
        <w:widowControl w:val="0"/>
      </w:pPr>
      <w:r w:rsidRPr="00FE2D97">
        <w:t>67.</w:t>
      </w:r>
      <w:r w:rsidRPr="00FE2D97">
        <w:tab/>
        <w:t>podkreśla potrzebę zapewnienia wystarczających środków finansowych na wspólną politykę bezpieczeństwa i obrony (</w:t>
      </w:r>
      <w:r w:rsidRPr="00FE2D97">
        <w:t>WPBiO</w:t>
      </w:r>
      <w:r w:rsidRPr="00FE2D97">
        <w:t xml:space="preserve">) oraz zdolność szybkiego rozmieszczania; podkreśla, że cywilne misje w ramach </w:t>
      </w:r>
      <w:r w:rsidRPr="00FE2D97">
        <w:t>WPBiO</w:t>
      </w:r>
      <w:r w:rsidRPr="00FE2D97">
        <w:t xml:space="preserve"> mają strategiczne znaczenie dla Unii i wspierają interesy Unii w zakresie bezpieczeństwa oraz cele jej działań zewnętrznych, a także interesy i cele jej partnerów; w związku z tym wzywa do przeznaczenia 3,76 mld EUR w cenach bieżących (co odpowiada 3,34 mld EUR w cenach stałych z 2025 r.) na budżet wspólnej polityki zagranicznej i bezpieczeństwa, który obejmuje </w:t>
      </w:r>
      <w:r w:rsidRPr="00FE2D97">
        <w:t>WPBiO</w:t>
      </w:r>
      <w:r w:rsidRPr="00FE2D97">
        <w:t>;</w:t>
      </w:r>
    </w:p>
    <w:p w:rsidR="00251551" w:rsidRPr="00FE2D97" w:rsidP="00251551" w14:paraId="5819CD44" w14:textId="77777777">
      <w:pPr>
        <w:pStyle w:val="NormalHanging12a"/>
        <w:widowControl w:val="0"/>
      </w:pPr>
      <w:r w:rsidRPr="00FE2D97">
        <w:t>68.</w:t>
      </w:r>
      <w:r w:rsidRPr="00FE2D97">
        <w:tab/>
        <w:t xml:space="preserve">zwraca uwagę, że kraje i terytoria zamorskie stanowią wyjątkowe i strategiczne aktywa, które przynoszą korzyści Unii jako całości; uważa, że przydział środków zaproponowany przez Komisję nie odpowiada wyzwaniom, przed którymi stoją kraje i terytoria zamorskie, i domaga się przeznaczenia kwoty 2,08 mld EUR w cenach bieżących (co odpowiada 1,85 mld EUR w cenach stałych z 2025 r.), biorąc pod uwagę również niedawne zagrożenia dla integralności terytorialnej Grenlandii, z którą współpraca może w znacznym stopniu pomóc Unii w umacnianiu jej autonomii strategicznej; </w:t>
      </w:r>
    </w:p>
    <w:p w:rsidR="00251551" w:rsidRPr="00FE2D97" w:rsidP="00251551" w14:paraId="70E49BBE" w14:textId="77777777">
      <w:pPr>
        <w:pStyle w:val="NormalHanging12a"/>
        <w:widowControl w:val="0"/>
      </w:pPr>
      <w:r w:rsidRPr="00FE2D97">
        <w:t>69.</w:t>
      </w:r>
      <w:r w:rsidRPr="00FE2D97">
        <w:tab/>
        <w:t>podkreśla, że finansowanie przez UE zapobiegania konfliktom, budowania pokoju i odbudowy pokonfliktowej stanowi bezpośrednią inwestycją w długoterminową stabilność i bezpieczeństwo UE, zwłaszcza w jej wschodnim i południowym sąsiedztwie; pochwala rolę ONZ i jej agencji w strefach konfliktu i wzywa UE do wzmocnienia politycznego i finansowego wsparcia multilateralizmu; domaga się, aby w następnych WRF zapewnić specjalne, odpowiednie i przewidywalne finansowanie ONZ i jej agencjom, których działania mają zasadnicze znaczenie dla ludności cywilnej, zwłaszcza w Strefie Gazy, na Zachodnim Brzegu, w Syrii, Libanie i w całym regionie; wzywa UE do odgrywania aktywnej roli w budowaniu pokoju i w radzeniu sobie ze skutkami konfliktów w Ukrainie i Strefie Gazy, a także do wspierania działań na rzecz odbudowy; apeluje do przeznaczenia na ten cel specjalnych środków w WRF; podkreśla, że wszelkie finansowanie unijne musi być zgodne z wartościami i zasadami UE, w szczególności z rozporządzeniem finansowym;</w:t>
      </w:r>
    </w:p>
    <w:p w:rsidR="00251551" w:rsidRPr="00FE2D97" w:rsidP="00251551" w14:paraId="0D37B366" w14:textId="77777777">
      <w:pPr>
        <w:pStyle w:val="NormalHanging12a"/>
        <w:widowControl w:val="0"/>
      </w:pPr>
      <w:r w:rsidRPr="00FE2D97">
        <w:t>70.</w:t>
      </w:r>
      <w:r w:rsidRPr="00FE2D97">
        <w:tab/>
        <w:t>apeluje o dalsze zapewnianie zasobów organizacjom społeczeństwa obywatelskiego, zwłaszcza podmiotom lokalnym i organizacjom działającym na rzecz praw kobiet, oraz o konstruktywną współpracę z nimi, a także o zorganizowany dialog wspierany przez specjalne strumienie finansowania dostosowane do potrzeb organizacji społeczeństwa obywatelskiego i obrońców praw człowieka; wzywa do wdrożenia finansowania działań zewnętrznych przy jednoczesnym uwzględnieniu podstawowej roli władz lokalnych i regionalnych dzięki skutecznemu, jasnemu i spójnemu wielopoziomowemu sprawowaniu rządów oraz partnerstwom;</w:t>
      </w:r>
    </w:p>
    <w:p w:rsidR="00251551" w:rsidRPr="00FE2D97" w:rsidP="00251551" w14:paraId="2CEA0EC5" w14:textId="77777777">
      <w:pPr>
        <w:pStyle w:val="NormalHanging12a"/>
        <w:widowControl w:val="0"/>
      </w:pPr>
      <w:r w:rsidRPr="00FE2D97">
        <w:t>71.</w:t>
      </w:r>
      <w:r w:rsidRPr="00FE2D97">
        <w:tab/>
        <w:t>nalega, aby Grupa Europejskiego Banku Inwestycyjnego (EBI) została uznana za głównego strategicznego partnera finansowego Unii w architekturze „Globalnego wymiaru Europy”, co pozwoli zmaksymalizować wpływ zasobów działu 3; apeluje o nawiązanie ścisłego partnerstwa inwestycyjnego z EBI w celu wykorzystania efektu dźwigni finansowej budżetu UE, mobilizowania inwestycji prywatnych oraz wzmocnienia ram gwarancji budżetowej i łączenia instrumentów, aby zapewnić skuteczną realizację celów instrumentu, w szczególności związanych z konkurencyjnością, odpornością i promowaniem dostępu sektora prywatnego do finansowania w krajach partnerskich; uznaje uzupełniającą rolę innych partnerów wykonawczych, takich jak krajowe banki i instytucje prorozwojowe, Europejski Bank Odbudowy i Rozwoju oraz Bank Rozwoju Rady Europy;</w:t>
      </w:r>
    </w:p>
    <w:p w:rsidR="00251551" w:rsidRPr="00FE2D97" w:rsidP="00251551" w14:paraId="45E6C641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 xml:space="preserve">Zasoby ludzkie, agencje zdecentralizowane i inne wydatki administracyjne </w:t>
      </w:r>
    </w:p>
    <w:p w:rsidR="00251551" w:rsidRPr="00FE2D97" w:rsidP="00251551" w14:paraId="41508BAC" w14:textId="77777777">
      <w:pPr>
        <w:pStyle w:val="NormalHanging12a"/>
      </w:pPr>
      <w:r w:rsidRPr="00FE2D97">
        <w:t>72.</w:t>
      </w:r>
      <w:r w:rsidRPr="00FE2D97">
        <w:tab/>
        <w:t>podkreśla, że polityka Unii powinna opierać się na dobrze działającej administracji; domaga się, aby po roku 2027 od samego początku i przez cały okres obowiązywania WRF przydzielano wystarczające zasoby finansowe i kadrowe, tak aby instytucje, organy i zdecentralizowane agencje Unii oraz Prokuratura Europejska, szczególnie w przypadku rozszerzenia ich mandatu, mogły zapewnić skuteczne i wydajne opracowywanie oraz wysokiej jakości realizację i egzekwowanie polityki, świadczyć pomoc techniczną, nadal przyciągać najlepszych pracowników ze wszystkich państw członkowskich, zapewniając tym samym równowagę geograficzną, oraz mieć swobodę w dostosowywaniu się do zmieniających się okoliczności; podkreśla potrzebę zapewnienia równowagi płci na wszystkich szczeblach administracji;</w:t>
      </w:r>
    </w:p>
    <w:p w:rsidR="00251551" w:rsidRPr="00FE2D97" w:rsidP="00251551" w14:paraId="4A0B1A14" w14:textId="77777777">
      <w:pPr>
        <w:pStyle w:val="NormalHanging12a"/>
      </w:pPr>
      <w:r w:rsidRPr="00FE2D97">
        <w:t>73.</w:t>
      </w:r>
      <w:r w:rsidRPr="00FE2D97">
        <w:tab/>
        <w:t xml:space="preserve">wzywa Komisję do przedstawienia dodatkowych informacji na temat finansowania i personelu zdecentralizowanych agencji UE w następnych WRF; uważa, że w przypadku niektórych agencji propozycja stabilnego finansowania i personelu będzie nadal </w:t>
      </w:r>
      <w:r w:rsidRPr="00FE2D97">
        <w:t>osłabiać ich zdolność do wypełniania mandatów; ponownie podkreśla niezmienne stanowisko Parlamentu, że nowe zadania powinny być finansowane z nowych środków oraz że przesunięcia z programów i innych priorytetów muszą być stosowane tylko w wyjątkowych sytuacjach; uznaje potrzebę oceny i unikania potencjalnego nakładania się lub powielania działań między agencjami oraz określenia możliwości synergii i współpracy w celu zapewnienia efektywnej alokacji zasobów;</w:t>
      </w:r>
    </w:p>
    <w:p w:rsidR="00251551" w:rsidRPr="00FE2D97" w:rsidP="00251551" w14:paraId="26F44DE1" w14:textId="77777777">
      <w:pPr>
        <w:pStyle w:val="NormalHanging12a"/>
        <w:widowControl w:val="0"/>
      </w:pPr>
      <w:r w:rsidRPr="00FE2D97">
        <w:t>74.</w:t>
      </w:r>
      <w:r w:rsidRPr="00FE2D97">
        <w:tab/>
        <w:t xml:space="preserve">zauważa z zaniepokojeniem, że – jak się okazało – stabilna polityka kadrowa, którą Komisja sama sobie narzuciła, przyniosła efekty odwrotne do zamierzonych pod względem spełnienia wymogów operacyjnych; przyznaje, że Komisja zwróciła się o dodatkowe stanowiska w odniesieniu do WRF na lata 2028–2034, zwłaszcza w związku z wymogami w zakresie </w:t>
      </w:r>
      <w:r w:rsidRPr="00FE2D97">
        <w:t>cyberbezpieczeństwa</w:t>
      </w:r>
      <w:r w:rsidRPr="00FE2D97">
        <w:t xml:space="preserve"> w odniesieniu do personelu; nalega, aby przy tworzeniu dodatkowych stanowisk uwzględnić potrzeby kadrowe wszystkich instytucji i organów; podkreśla szczególnie niepokojącą sytuację niektórych agencji UE, które otrzymują niewystarczające środki na działania operacyjne, co poważnie ogranicza ich zdolność do wypełniania mandatów, przestrzegania rozporządzenia w sprawie ustanowienia środków na rzecz wysokiego wspólnego poziomu </w:t>
      </w:r>
      <w:r w:rsidRPr="00FE2D97">
        <w:t>cyberbezpieczeństwa</w:t>
      </w:r>
      <w:r w:rsidRPr="00FE2D97">
        <w:t xml:space="preserve"> w instytucjach, organach i jednostkach organizacyjnych Unii</w:t>
      </w:r>
      <w:r>
        <w:rPr>
          <w:rStyle w:val="FootnoteReference"/>
        </w:rPr>
        <w:footnoteReference w:id="11"/>
      </w:r>
      <w:r w:rsidRPr="00FE2D97">
        <w:t xml:space="preserve"> oraz osiągania celów polityki i egzekwowania przepisów, a także ich obowiązków regulacyjnych; podkreśla, że w obliczu rosnących wyzwań, z którymi należy się zmierzyć, instytucje i organy UE muszą zapewnić atrakcyjne warunki pracy, aby przyciągnąć kandydatów o wysokich kwalifikacjach;</w:t>
      </w:r>
    </w:p>
    <w:p w:rsidR="00251551" w:rsidRPr="00FE2D97" w:rsidP="00251551" w14:paraId="055C77B3" w14:textId="77777777">
      <w:pPr>
        <w:pStyle w:val="NormalHanging12a"/>
        <w:widowControl w:val="0"/>
      </w:pPr>
      <w:r w:rsidRPr="00FE2D97">
        <w:t>75.</w:t>
      </w:r>
      <w:r w:rsidRPr="00FE2D97">
        <w:tab/>
        <w:t xml:space="preserve">podkreśla znaczenie systemu szkół europejskich jako sztandarowego modelu, który ustanawia wysokie wspólne standardy edukacyjne we wszystkich państwach członkowskich i oferuje uznawane na całym świecie kwalifikacje sprzyjające doskonałości akademickiej, mobilności osób uczących się i wspólnej tożsamości europejskiej; w związku z tym nawołuje do wsparcia i przewidywalnego finansowania w celu pokrycia obecnie niepokrytych długoterminowych kosztów strukturalnych, rozszerzenia obowiązków oraz zapewnienia widoczności, przejrzystości i pewności budżetowej; </w:t>
      </w:r>
    </w:p>
    <w:p w:rsidR="00251551" w:rsidRPr="00FE2D97" w:rsidP="00251551" w14:paraId="4768C207" w14:textId="77777777">
      <w:pPr>
        <w:pStyle w:val="NormalHanging12a"/>
        <w:widowControl w:val="0"/>
      </w:pPr>
      <w:r w:rsidRPr="00FE2D97">
        <w:t>76.</w:t>
      </w:r>
      <w:r w:rsidRPr="00FE2D97">
        <w:tab/>
        <w:t>zakłada, że wniosek Komisji będzie należycie odzwierciedlał rzeczywiste potrzeby wszystkich instytucji, organów i agencji, i z tego powodu nie proponuje dalszego zwiększenia środków; zamierza jednak w pełni bronić wniosku Komisji w przedstawionej formie i zapewnić niezbędne finansowanie silnej, skutecznej i wysokiej jakości europejskiej administracji publicznej, opartej na zasadzie równości obywateli Unii, w służbie wszystkich Europejczyków;</w:t>
      </w:r>
    </w:p>
    <w:p w:rsidR="00251551" w:rsidRPr="00FE2D97" w:rsidP="00251551" w14:paraId="261C9D65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Instrumenty szczególne</w:t>
      </w:r>
    </w:p>
    <w:p w:rsidR="00251551" w:rsidRPr="00FE2D97" w:rsidP="00251551" w14:paraId="32CEFC8A" w14:textId="77777777">
      <w:pPr>
        <w:pStyle w:val="NormalHanging12a"/>
      </w:pPr>
      <w:r w:rsidRPr="00FE2D97">
        <w:t>77.</w:t>
      </w:r>
      <w:r w:rsidRPr="00FE2D97">
        <w:tab/>
        <w:t xml:space="preserve">z zadowoleniem przyjmuje wniosek Komisji dotyczący instrumentu elastyczności, który ma składać się nie tylko ze stałej kwoty, lecz także z dodatkowych środków pochodzących z dochodów związanych z grzywnami i umorzeniami; w świetle swojego stanowiska z 7 maja 2025 r. uważa, że instrument elastyczności powinien otrzymywać środki z dodatkowych źródeł, mianowicie takich jak: niewykorzystane marginesy z </w:t>
      </w:r>
      <w:r w:rsidRPr="00FE2D97">
        <w:t>poprzednich lat, roczna nadwyżka z poprzedniego roku oraz środki powracające z instrumentów finansowych, a w ostateczności przyszłe marginesy; uważa również, że wydatki z tego instrumentu powinny być w znacznym stopniu skoncentrowane na wstępie; apeluje o uproszczenie i racjonalizację procedur uruchamiania instrumentów specjalnych, w związku z czym uważa istnienie instrumentu jednolitej marży za przestarzałe i domaga się włączenia jego cech do instrumentu elastyczności; uważa, że z tej ogólnej zasady można by wyłączyć zewnętrzne dochody przeznaczone na określony cel i kwoty ponownie udostępnione na podstawie szczegółowych zasad dotyczących dochodów i umorzenia w przepisach dotyczących poszczególnych programów;</w:t>
      </w:r>
    </w:p>
    <w:p w:rsidR="00251551" w:rsidRPr="00FE2D97" w:rsidP="00251551" w14:paraId="49BB1399" w14:textId="77777777">
      <w:pPr>
        <w:pStyle w:val="NormalHanging12a"/>
      </w:pPr>
      <w:r w:rsidRPr="00FE2D97">
        <w:t>78.</w:t>
      </w:r>
      <w:r w:rsidRPr="00FE2D97">
        <w:tab/>
        <w:t>ponownie podkreśla, że powinien istnieć drugi instrument szczególny – rezerwa solidarnościowa na wypadek klęsk żywiołowych – w wysokości 4 mld EUR rocznie w cenach stałych z 2025 r., uruchamiany poza pułapami WRF, przeznaczony na zapewnienie solidarności w przypadku klęsk żywiołowych, który powinien uzupełniać proponowany mechanizm kaskadowy na wypadek sytuacji kryzysowych i powinien być regulowany przepisami umożliwiającymi szybkie wypłaty oraz, w stosownych przypadkach, mechanizmami płatności zaliczkowych w ścisłej koordynacji ze wszystkimi odpowiednimi instrumentami, w tym UMOL+, co przyczyni się do zwiększenia odporności i gotowości na wypadek sytuacji kryzysowej;</w:t>
      </w:r>
      <w:bookmarkStart w:id="11" w:name="_Hlk214989359"/>
      <w:bookmarkEnd w:id="11"/>
      <w:r w:rsidRPr="00FE2D97">
        <w:t xml:space="preserve"> uważa, że w obu instrumentach szczególnych powinna istnieć możliwość przenoszenia niewykorzystanych kwot przez cały okres WRF, aby zagwarantować elastyczność;</w:t>
      </w:r>
    </w:p>
    <w:p w:rsidR="00251551" w:rsidRPr="00FE2D97" w:rsidP="00251551" w14:paraId="28EBA9C7" w14:textId="77777777">
      <w:pPr>
        <w:pStyle w:val="NormalHanging12a"/>
        <w:widowControl w:val="0"/>
      </w:pPr>
      <w:bookmarkStart w:id="12" w:name="_Hlk215128664"/>
      <w:r w:rsidRPr="00FE2D97">
        <w:t>79.</w:t>
      </w:r>
      <w:r w:rsidRPr="00FE2D97">
        <w:tab/>
        <w:t>zauważa, że w rozporządzeniu w sprawie WRF Komisja proponuje przeznaczenie 88 mld EUR na Rezerwę na rzecz Ukrainy na finansowanie pomocy przedakcesyjnej oraz działań na rzecz przywracania do stanu pierwotnego i odbudowy; uważa, że kwota ta mogłaby zapewnić znaczące wsparcie; z zadowoleniem przyjmuje utworzenie Rezerwy na rzecz Ukrainy wykraczającej poza pułapy WRF w celu zaspokojenia wyjątkowych i nieprzewidywalnych potrzeb Ukrainy; zauważa jednak, że w przypadku kontynuacji konfliktu przydział ten byłby niewystarczający, aby zaspokoić potrzeby Ukrainy; apeluje o zwiększenie rezerwy i koncentrację wydatków na wstępie, aby udzielić Ukrainie dodatkowego wsparcia; podkreśla, że struktura finansowania dla Ukrainy powinna pozostać spójna, przejrzysta i skuteczna, w pełni wspierając proces przystąpienia tego kraju do UE, przy jednoczesnym wyraźnym rozróżnieniu między pomocą przedakcesyjną a potrzebami związanymi z odbudową;</w:t>
      </w:r>
    </w:p>
    <w:p w:rsidR="00251551" w:rsidRPr="00FE2D97" w:rsidP="00251551" w14:paraId="73DCFEEC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Przepisy szczegółowe</w:t>
      </w:r>
    </w:p>
    <w:p w:rsidR="00251551" w:rsidRPr="00FE2D97" w:rsidP="00251551" w14:paraId="002C9674" w14:textId="77777777">
      <w:pPr>
        <w:pStyle w:val="NormalHanging12a"/>
      </w:pPr>
      <w:r w:rsidRPr="00FE2D97">
        <w:t>80.</w:t>
      </w:r>
      <w:r w:rsidRPr="00FE2D97">
        <w:tab/>
        <w:t>przypomina, że obecne WRF były niedofinansowane, co wymagało rewizji WRF w 2024 r.; zauważa, że chociaż we wniosku dotyczącym WRF na lata 2028–2034 zwiększono elastyczność, ogólne kwoty przewidziane we wniosku Komisji nadal są niewystarczające;</w:t>
      </w:r>
    </w:p>
    <w:p w:rsidR="00251551" w:rsidRPr="00FE2D97" w:rsidP="00251551" w14:paraId="49949736" w14:textId="77777777">
      <w:pPr>
        <w:pStyle w:val="NormalHanging12a"/>
      </w:pPr>
      <w:r w:rsidRPr="00FE2D97">
        <w:t>81.</w:t>
      </w:r>
      <w:r w:rsidRPr="00FE2D97">
        <w:tab/>
        <w:t xml:space="preserve">ubolewa, że proponowane rozporządzenie w sprawie WRF nie zawiera klauzuli przeglądu śródokresowego; podkreśla, że rozporządzenie w sprawie WRF musi zobowiązywać Komisję do przedstawienia najpóźniej do lipca 2031 r. przeglądu funkcjonowania WRF, z pełnym uwzględnieniem ówczesnej sytuacji gospodarczej oraz najnowszych prognoz makroekonomicznych i dotyczących zatrudnienia oraz istotnych wydarzeń na arenie międzynarodowej; jest również zdania, że temu obowiązkowemu przeglądowi powinien, w stosownych przypadkach, towarzyszyć wniosek ustawodawczy dotyczący rewizji tego rozporządzenia zgodnie z procedurami określonymi w TFUE; podkreśla, że żaden taki przegląd nie powinien prowadzić do </w:t>
      </w:r>
      <w:r w:rsidRPr="00FE2D97">
        <w:t>obniżenia wstępnie przydzielonych krajowych pul środków finansowych, określonych w rozporządzeniu w sprawie PPKR;</w:t>
      </w:r>
    </w:p>
    <w:p w:rsidR="00251551" w:rsidRPr="00FE2D97" w:rsidP="00251551" w14:paraId="6479DFDD" w14:textId="77777777">
      <w:pPr>
        <w:pStyle w:val="NormalHanging12a"/>
        <w:widowControl w:val="0"/>
      </w:pPr>
      <w:r w:rsidRPr="00FE2D97">
        <w:t>82.</w:t>
      </w:r>
      <w:r w:rsidRPr="00FE2D97">
        <w:tab/>
        <w:t>przypomina, że wybory europejskie odbędą się w 2034 r.; uważa, że data publikacji wniosku dotyczącego rozporządzenia w sprawie następnych WRF, tj. 1 lipca 2033 r., jest znacznie późniejsza niż zwykle w cyklu WRF; apeluje o opublikowanie wniosku dotyczącego WRF na okres po 2034 r. najpóźniej do lipca 2032 r.;</w:t>
      </w:r>
    </w:p>
    <w:p w:rsidR="00251551" w:rsidRPr="00FE2D97" w:rsidP="00251551" w14:paraId="0D187E97" w14:textId="77777777">
      <w:pPr>
        <w:pStyle w:val="NormalHanging12a"/>
        <w:widowControl w:val="0"/>
        <w:rPr>
          <w:b/>
          <w:bCs/>
          <w:i/>
          <w:iCs/>
        </w:rPr>
      </w:pPr>
      <w:r w:rsidRPr="00FE2D97">
        <w:rPr>
          <w:b/>
          <w:i/>
        </w:rPr>
        <w:t>Zarządzanie</w:t>
      </w:r>
    </w:p>
    <w:p w:rsidR="00251551" w:rsidRPr="00FE2D97" w:rsidP="00251551" w14:paraId="7FBD3168" w14:textId="77777777">
      <w:pPr>
        <w:pStyle w:val="NormalHanging12a"/>
        <w:widowControl w:val="0"/>
      </w:pPr>
      <w:r w:rsidRPr="00FE2D97">
        <w:t>83.</w:t>
      </w:r>
      <w:r w:rsidRPr="00FE2D97">
        <w:tab/>
        <w:t>przyjmuje do wiadomości narrację Komisji, zgodnie z którą jej wnioski mają na celu zwiększenie elastyczności i uproszczenie w kolejnych WRF; uznaje, że elastyczność ma zasadnicze znaczenie dla reagowania na nieprzewidziane wyzwania, ale podkreśla, że nie może ona odbywać się kosztem rozliczalności, przewidywalności, przejrzystości i spójności polityki; ostrzega, że elastyczność pozbawiona przejrzystości pogłębiłaby lukę w demokratycznej rozliczalności i podważyłaby zaufanie publiczne do UE;</w:t>
      </w:r>
    </w:p>
    <w:p w:rsidR="00251551" w:rsidRPr="00FE2D97" w:rsidP="00251551" w14:paraId="181D58B9" w14:textId="77777777">
      <w:pPr>
        <w:pStyle w:val="NormalHanging12a"/>
        <w:widowControl w:val="0"/>
      </w:pPr>
      <w:r w:rsidRPr="00FE2D97">
        <w:t>84.</w:t>
      </w:r>
      <w:r w:rsidRPr="00FE2D97">
        <w:tab/>
        <w:t xml:space="preserve">ubolewa, że wnioski Komisji dotyczące uproszczenia przynoszą korzyści przede wszystkim jej własnym procesom, a nie beneficjentom końcowym, pogłębiając tym samym deficyt demokratyczny w Unii; przypomina, że Parlament konsekwentnie opowiadał się za uproszczeniem dla beneficjentów końcowych, w tym za zmniejszeniem obciążeń administracyjnych związanych z dostępem do budżetu UE, a także za zwiększeniem efektywności wydatków; zaznacza, że uproszczenie nie może negatywnie wpływać na jakość programów ani na demokratyczną rozliczalność, ani też nie może być wykorzystywane jako pretekst do podważania zasad wielopoziomowego zarządzania i partnerstwa lub konstruktywnego dialogu z kluczowymi zainteresowanymi stronami i partnerami społecznymi, ponieważ ich właściwe stosowanie zwiększy skuteczność wydatków UE i będzie miało zasadnicze znaczenie dla powodzenia WRF; podziela obawy Trybunału Obrachunkowego, że podejście Komisji doprowadzi do uproszczenia w odniesieniu do interakcji Komisji z państwami członkowskimi, przy jednoczesnym zwiększeniu lub przeniesieniu obciążeń administracyjnych na szczebel krajowy, regionalny i beneficjentów; podkreśla, że uproszczenie będzie wymagało, w miarę możliwości, harmonizacji przepisów i wymogów sprawozdawczych między szczeblem unijnym, krajowym i regionalnym; podkreśla, że Parlament przedstawi wszystkie mechanizmy przejrzystości niezbędne do wypełniania roli strażnika interesów obywateli; </w:t>
      </w:r>
    </w:p>
    <w:p w:rsidR="00251551" w:rsidRPr="00FE2D97" w:rsidP="00251551" w14:paraId="38E16116" w14:textId="77777777">
      <w:pPr>
        <w:pStyle w:val="NormalHanging12a"/>
        <w:widowControl w:val="0"/>
      </w:pPr>
      <w:r w:rsidRPr="00FE2D97">
        <w:t>85.</w:t>
      </w:r>
      <w:r w:rsidRPr="00FE2D97">
        <w:tab/>
        <w:t>uważa, że obecny wniosek dotyczący PPKR może prowadzić do „renacjonalizacji” niektórych obszarów polityki UE ze względu na brak podejścia horyzontalnego i większą elastyczność przyznaną państwom członkowskich w wykonywaniu budżetu Unii w oparciu o podejście krajowe; nawołuje do zapewnienia, by budżet pozostał budżetem inwestycyjnym, który będzie koncentrował się na wartości dodanej UE i zapewni silne podejście horyzontalne;</w:t>
      </w:r>
    </w:p>
    <w:p w:rsidR="00251551" w:rsidRPr="00FE2D97" w:rsidP="00251551" w14:paraId="39566574" w14:textId="77777777">
      <w:pPr>
        <w:pStyle w:val="NormalHanging12a"/>
        <w:widowControl w:val="0"/>
      </w:pPr>
      <w:r w:rsidRPr="00FE2D97">
        <w:t>86.</w:t>
      </w:r>
      <w:r w:rsidRPr="00FE2D97">
        <w:tab/>
        <w:t xml:space="preserve">podkreśla, że powszechnemu stosowaniu elastyczności i instrumentów opartych na wynikach w kolejnych WRF musi towarzyszyć wzmocnione wielopoziomowe sprawowanie rządów; uważa, że znaczące zaangażowanie władz lokalnych i regionalnych, a także partnerów społeczno-gospodarczych w opracowywanie, wdrażanie i monitorowanie działań finansowanych przez Unię ma zasadnicze znaczenie dla zrównoważenia wdrażania ukierunkowanego na Komisję, zmniejszenia luki w demokratycznej rozliczalności i zapewnienia, by wydatki odpowiadały rzeczywistym </w:t>
      </w:r>
      <w:r w:rsidRPr="00FE2D97">
        <w:t>potrzebom terytorialnym; nalega, aby takim instrumentom towarzyszyła odpowiednia kontrola sprawowana przez wybranych przedstawicieli na szczeblu unijnym, krajowym i regionalnym, w stosownych przypadkach, oraz aby zachowana została rola Parlamentu w zakresie budżetu i udzielania absolutorium;</w:t>
      </w:r>
    </w:p>
    <w:p w:rsidR="00251551" w:rsidRPr="00FE2D97" w:rsidP="00251551" w14:paraId="427EF286" w14:textId="77777777">
      <w:pPr>
        <w:pStyle w:val="NormalHanging12a"/>
        <w:widowControl w:val="0"/>
      </w:pPr>
      <w:r w:rsidRPr="00FE2D97">
        <w:t>87.</w:t>
      </w:r>
      <w:r w:rsidRPr="00FE2D97">
        <w:tab/>
        <w:t xml:space="preserve">przypomina, że Trybunał Obrachunkowy stwierdził, iż tak zwany model oparty na wynikach, stworzony na podstawie doświadczeń RRF, przejawiał słabości w jego projektowaniu, stosowaniu i skuteczności; zauważa z zaniepokojeniem, że wnioski dotyczące WRF obejmują powszechne wykorzystanie finansowania niepowiązanego z kosztami odnośnych operacji w przypadku znacznej części instrumentów w następnych WRF; jest głęboko zaniepokojony tak dużą zmianą w kierunku nowego modelu wdrażania; zwraca uwagę na fakt, że bez odpowiednich zabezpieczeń zapewniających należyte zarządzanie finansami przy wdrażaniu finansowania unijnego lub bez jasnych kroków mających na celu wyeliminowanie niedociągnięć stwierdzonych w poprzednich lub istniejących instrumentach opartych na wynikach podejście to wiąże się ze znacznym ryzykiem i osłabia możliwość przeprowadzenia kontroli; zaznacza, że należy znaleźć rozwiązanie problemu rozbieżności między szacunkami kosztów związanymi z kamieniami milowymi i wartościami docelowymi a rzeczywistymi kosztami projektów, ponieważ ta rozbieżność może zagrozić realizacji uzgodnionych priorytetów politycznych na szczeblu unijnym; uważa, że ewentualny wzrost wydajności nie może odbywać się kosztem ochrony interesów finansowych Unii; podkreśla w szczególności, że w przypadku dużych i złożonych projektów podstawą nadal powinny być koszty, ponieważ ich zakres, czas trwania i wielopoziomowe finansowanie wymagają szczegółowej sprawozdawczości finansowej i dających się zweryfikować informacji o wydatkach, aby zagwarantować właściwe monitorowanie i rozliczalność; apeluje o ciągłe i rozszerzone stosowanie uproszczonych metod rozliczania kosztów, zwłaszcza w przypadku inwestycji na mniejszą lub średnią skalę, jako skutecznych i proporcjonalnych narzędzi zmniejszających obciążenia administracyjne, umożliwiających poprawę dostępności dla mniejszych beneficjentów oraz gwarantujących rozliczalność i identyfikowalność w wykorzystaniu funduszy unijnych; </w:t>
      </w:r>
    </w:p>
    <w:p w:rsidR="00251551" w:rsidRPr="00FE2D97" w:rsidP="00251551" w14:paraId="1B2AE14A" w14:textId="77777777">
      <w:pPr>
        <w:pStyle w:val="NormalHanging12a"/>
        <w:widowControl w:val="0"/>
      </w:pPr>
      <w:r w:rsidRPr="00FE2D97">
        <w:t>88.</w:t>
      </w:r>
      <w:r w:rsidRPr="00FE2D97">
        <w:tab/>
        <w:t>podkreśla, że dane dotyczące poniesionych kosztów muszą pozostać dostępne dla organu udzielającego absolutorium w celu zweryfikowania wydajności i „stosunku jakości do ceny” w budżecie Unii; ostrzega, że bez przejrzystości kosztów kontrola parlamentarna grozi przekształceniem się w zabieg formalny, który nie będzie w stanie zapewnić należytego zarządzania finansami w ramach budżetu; wzywa Komisję do zapewnienia systematycznych działań następczych w związku z ustaleniami i zaleceniami Trybunału Obrachunkowego;</w:t>
      </w:r>
    </w:p>
    <w:p w:rsidR="00251551" w:rsidRPr="00FE2D97" w:rsidP="00251551" w14:paraId="571188DB" w14:textId="77777777">
      <w:pPr>
        <w:pStyle w:val="NormalHanging12a"/>
        <w:widowControl w:val="0"/>
      </w:pPr>
      <w:r w:rsidRPr="00FE2D97">
        <w:t>89.</w:t>
      </w:r>
      <w:r w:rsidRPr="00FE2D97">
        <w:tab/>
        <w:t xml:space="preserve">podkreśla potrzebę zapewnienia większej spójności w monitorowaniu i wdrażaniu programów wydatków UE oraz we włączaniu ważnych celów i zobowiązań UE do głównego nurtu polityki; podkreśla, że wniosek dotyczący rozporządzenia w sprawie wykonania stanowi pierwszy krok we wprowadzaniu horyzontalnych ram monitorowania wydatków i wykonania budżetu, mających na celu zmniejszenie obciążeń administracyjnych; uważa, że podejście to, o ile zostanie odpowiednio wdrożone, może prowadzić do wzmocnienia nadzoru demokratycznego; podkreśla, że kompleksowe włączenie zasad horyzontalnych do jednolitych ram umożliwiłoby skuteczne monitorowanie i lepiej odzwierciedlałoby priorytety polityczne Unii; nalega, aby w ramach wykonania priorytetowo traktować wskaźniki oddziaływania, które mierzą rzeczywiste wyniki dla obywateli; podkreśla, że proponowane rozporządzenie w sprawie wykonania musi zapewnić, aby wskaźniki sprawozdawczości były </w:t>
      </w:r>
      <w:r w:rsidRPr="00FE2D97">
        <w:t>obowiązkowe tam, gdzie jest to istotne, oraz porównywalne między wszystkimi państwami członkowskimi i we wszystkich trybach zarządzania; ostrzega, że bez takiej porównywalności organ udzielający absolutorium nie będzie w stanie ocenić względnej skuteczności ani zidentyfikować programów osiągających słabe wyniki; podkreśla, że wskaźniki wykonania muszą wyraźnie wynikać z celów każdego programu i powinny odzwierciedlać osiągnięcia, wyniki i oddziaływanie; podkreśla, że wydatki związane z klimatem muszą zostać uwzględnione w WRF, aby umożliwić dokładne monitorowanie i śledzenie finansowania oraz jego skutków;</w:t>
      </w:r>
    </w:p>
    <w:p w:rsidR="00251551" w:rsidRPr="00FE2D97" w:rsidP="00251551" w14:paraId="56BC2382" w14:textId="77777777">
      <w:pPr>
        <w:pStyle w:val="NormalHanging12a"/>
        <w:widowControl w:val="0"/>
      </w:pPr>
      <w:r w:rsidRPr="00FE2D97">
        <w:t>90.</w:t>
      </w:r>
      <w:r w:rsidRPr="00FE2D97">
        <w:tab/>
        <w:t xml:space="preserve">podkreśla, że budżet UE odgrywa zasadniczą rolę we wspieraniu podstawowych wartości UE, takich jak demokracja i pluralizm, zapisanych w art. 2 Traktatu o Unii Europejskiej; z zadowoleniem przyjmuje niedawno opublikowaną strategię UE na rzecz społeczeństwa obywatelskiego, w której uznaje się ważną rolę organizacji społeczeństwa obywatelskiego w zapewnianiu doradztwa, wsparcia i wiedzy fachowej w zakresie opracowywania i wdrażania prawodawstwa i polityki UE; podkreśla w związku z tym potrzebę zapewnienia długoterminowego, przewidywalnego i wystarczającego finansowania organizacji społeczeństwa obywatelskiego; </w:t>
      </w:r>
    </w:p>
    <w:p w:rsidR="00251551" w:rsidRPr="00FE2D97" w:rsidP="00251551" w14:paraId="0AAB05ED" w14:textId="77777777">
      <w:pPr>
        <w:pStyle w:val="NormalHanging12a"/>
        <w:widowControl w:val="0"/>
      </w:pPr>
      <w:r w:rsidRPr="00FE2D97">
        <w:t>91.</w:t>
      </w:r>
      <w:r w:rsidRPr="00FE2D97">
        <w:tab/>
        <w:t>przypomina, że zgodnie z wymogami rozporządzenia finansowego programy i działania powinny być wdrażane, jeżeli jest to wykonalne i właściwe oraz zgodne z odpowiednimi przepisami sektorowymi, aby osiągnąć wyznaczone cele, przy jednoczesnym poszanowaniu warunków pracy i zatrudnienia zgodnie z mającym zastosowanie prawem krajowym, prawem Unii, konwencjami Międzynarodowej Organizacji Pracy i układami zbiorowymi, z uwzględnieniem zasady równości płci i bez wyrządzania poważnych szkód dla celów środowiskowych Unii;</w:t>
      </w:r>
    </w:p>
    <w:p w:rsidR="00251551" w:rsidRPr="00FE2D97" w:rsidP="00251551" w14:paraId="5E0F0473" w14:textId="77777777">
      <w:pPr>
        <w:pStyle w:val="NormalHanging12a"/>
        <w:widowControl w:val="0"/>
      </w:pPr>
      <w:r w:rsidRPr="00FE2D97">
        <w:t>92.</w:t>
      </w:r>
      <w:r w:rsidRPr="00FE2D97">
        <w:tab/>
        <w:t>podkreśla, że wszelkie finansowanie musi być zgodne z wytycznymi Komisji w sprawie finansowania działań związanych z opracowywaniem, wdrażaniem, monitorowaniem i egzekwowaniem prawodawstwa i polityki Unii; przypomina w związku z tym oświadczenie Komisji w sprawie programu LIFE z 1 kwietnia 2025 r.;</w:t>
      </w:r>
    </w:p>
    <w:p w:rsidR="00251551" w:rsidRPr="00FE2D97" w:rsidP="00251551" w14:paraId="012AA831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Zarządzanie budżetowe</w:t>
      </w:r>
    </w:p>
    <w:p w:rsidR="00251551" w:rsidRPr="00FE2D97" w:rsidP="00251551" w14:paraId="5C830F4E" w14:textId="77777777">
      <w:pPr>
        <w:pStyle w:val="NormalHanging12a"/>
      </w:pPr>
      <w:r w:rsidRPr="00FE2D97">
        <w:t>93.</w:t>
      </w:r>
      <w:r w:rsidRPr="00FE2D97">
        <w:tab/>
        <w:t xml:space="preserve">odnotowuje ogólną strukturę czterech działów WRF, w formie proponowanej przez Komisję, w porównaniu z siedmioma działami obecnych WRF; zauważa z zaniepokojeniem, że Komisja proponuje zmniejszenie liczby programów unijnych z 60 do 19, co wprowadza brak jasności co do celów i nomenklatury budżetowej, a tym samym osłabia przejrzystość i rozliczalność; podkreśla, że stanowisko Parlamentu w sprawie struktury tych nowych programów WRF zostanie określone w procedurze </w:t>
      </w:r>
      <w:r w:rsidRPr="00FE2D97">
        <w:t>współdecyzji</w:t>
      </w:r>
      <w:r w:rsidRPr="00FE2D97">
        <w:t xml:space="preserve"> w odniesieniu do odpowiednich sektorowych aktów ustawodawczych; nalega, aby proponowana nomenklatura budżetowa, jak również kwoty przypisane do poszczególnych linii budżetowych, odzwierciedlały wszystkie szczegółowe cele danego programu oraz realizowane w jego ramach, z myślą o zapewnieniu przejrzystości, przewidywalności i rozliczalności oraz dostarczeniu władzy budżetowej informacji niezbędnych do ustanowienia budżetu rocznego i sprawowania nadzoru nad jego wykonaniem;</w:t>
      </w:r>
    </w:p>
    <w:p w:rsidR="00251551" w:rsidRPr="00FE2D97" w:rsidP="00251551" w14:paraId="2AEF0352" w14:textId="77777777">
      <w:pPr>
        <w:pStyle w:val="NormalHanging12a"/>
      </w:pPr>
      <w:r w:rsidRPr="00FE2D97">
        <w:t>94.</w:t>
      </w:r>
      <w:r w:rsidRPr="00FE2D97">
        <w:tab/>
        <w:t>ubolewa w związku z tym, że nomenklatura budżetowa zaproponowana w prawodawstwie sektorowym jest zdecydowanie niewystarczająca;</w:t>
      </w:r>
      <w:bookmarkStart w:id="13" w:name="_Hlk214967133"/>
      <w:bookmarkEnd w:id="13"/>
      <w:r w:rsidRPr="00FE2D97">
        <w:t xml:space="preserve"> podkreśla, że uproszczenie struktury budżetowej nie może odbywać się kosztem przejrzystości ani zdolności władzy budżetowej do sprawowania skutecznej kontroli i podejmowania </w:t>
      </w:r>
      <w:r w:rsidRPr="00FE2D97">
        <w:t>świadomych decyzji; podkreśla, że nomenklatura musi pozostać odpowiednio szczegółowa, aby odzwierciedlać cele programu określone w aktach podstawowych, zachować widoczność działań UE w kontekście wszystkich celów i priorytetów polityki oraz umożliwić Parlamentowi pełne wykonywanie jego funkcji kontrolnej; apeluje o bardziej szczegółową nomenklaturę, aby umożliwić rzetelną roczną procedurę budżetową, projekty budżetów korygujących oraz procedurę udzielania absolutorium; przypomina, że roczna procedura budżetowa jest podstawowym demokratycznym mechanizmem przydziału środków w wieloletnich ramach finansowych;</w:t>
      </w:r>
    </w:p>
    <w:p w:rsidR="00251551" w:rsidRPr="00FE2D97" w:rsidP="00251551" w14:paraId="2E5F39E1" w14:textId="77777777">
      <w:pPr>
        <w:pStyle w:val="NormalHanging12a"/>
      </w:pPr>
      <w:r w:rsidRPr="00FE2D97">
        <w:t>95.</w:t>
      </w:r>
      <w:r w:rsidRPr="00FE2D97">
        <w:tab/>
        <w:t>zauważa, że przesunięcia budżetowe na mocy rozporządzenia finansowego już zapewniają elastyczność podczas wykonywania budżetu; podkreśla, że Komisja może obecnie wykonywać przesunięcia znacznych kwot między obszarami polityki bez zatwierdzenia przez władzę budżetową, co ogranicza nadzór; apeluje – z uwagi na brak wystarczająco szczegółowej struktury budżetu – o przyjęcie nowych przepisów określających zarówno maksymalną kwotę, jak i odsetek dla każdej linii budżetowej w przypadku przesunięć bez zatwierdzenia; uważa, że przesunięcia z innych instytucji Unii poniżej określonego progu mogłyby zostać wyłączone z procedury sprzeciwu jako środek upraszczający;</w:t>
      </w:r>
    </w:p>
    <w:p w:rsidR="00251551" w:rsidRPr="00FE2D97" w:rsidP="00251551" w14:paraId="163C4575" w14:textId="77777777">
      <w:pPr>
        <w:pStyle w:val="NormalHanging12a"/>
      </w:pPr>
      <w:r w:rsidRPr="00FE2D97">
        <w:t>96.</w:t>
      </w:r>
      <w:r w:rsidRPr="00FE2D97">
        <w:tab/>
        <w:t xml:space="preserve">podkreśla potrzebę solidnego zarządzania, które zapewni parlamentarną rozliczalność, nadzór i kontrolę, a także skuteczną strukturę zwalczania nadużyć finansowych; wyraża ponadto obawy w kwestii tego, w jaki sposób Komisja uzyska wystarczającą pewność na szczeblu UE co do legalności i prawidłowości wydatków, a przypomina, że taka wyraźna pewność jest niezbędna, aby Parlament mógł wykonywać swoją rolę organu udzielającego absolutorium; odrzuca każde podejście, które ogranicza Parlament do roli wyłącznie konsultacyjnej lub informacyjnej przy uruchamianiu jakiegokolwiek instrumentu lub funduszu w następnych WRF; </w:t>
      </w:r>
      <w:bookmarkStart w:id="14" w:name="_Hlk214967206"/>
      <w:bookmarkEnd w:id="14"/>
      <w:r w:rsidRPr="00FE2D97">
        <w:t>podkreśla, że elastyczność budżetowa nie może powodować obchodzenia prerogatyw władzy budżetowej oraz że wszelkie przesunięcia, przeprogramowania i uruchomienie buforów lub innych rezerw muszą podlegać zatwierdzeniu przez Parlament; uważa, że prawdziwa elastyczność wymaga zarówno zdolności szybkiego reagowania, jak i legitymacji demokratycznej, co można osiągnąć jedynie dzięki pełnemu uczestnictwu Parlamentu w podejmowaniu decyzji dotyczących przydziału i wykorzystania zasobów;</w:t>
      </w:r>
    </w:p>
    <w:p w:rsidR="00251551" w:rsidRPr="00FE2D97" w:rsidP="00251551" w14:paraId="21414F61" w14:textId="77777777">
      <w:pPr>
        <w:pStyle w:val="NormalHanging12a"/>
      </w:pPr>
      <w:r w:rsidRPr="00FE2D97">
        <w:t>97.</w:t>
      </w:r>
      <w:r w:rsidRPr="00FE2D97">
        <w:tab/>
        <w:t>wyraża zaniepokojenie brakiem przewidywalności finansowania UE, który może wynikać z nadmiernych mechanizmów elastyczności i powtarzających się przesunięć; uznaje potrzebę większej elastyczności w przydzielaniu zasobów w ramach niektórych programów, ale podkreśla, że nie może to zagrażać długoterminowym celom polityki, przewidywalności finansowania ani prerogatywom Parlamentu; podkreśla, że chociaż obecne WRF cechuje niewystarczająca elastyczność w dostosowywaniu się do zmieniających się priorytetów, następne WRF muszą zapewniać lepszą równowagę między przewidywalnością inwestycji a zdolnością dostosowawczą; podkreśla, że niektóre obszary polityki wymagają większej stabilności finansowania niż inne; zdecydowanie odrzuca powtarzające się przesunięcia jako sposób finansowania priorytetów Unii, ponieważ przesunięcia takie utrudniają realizację programów i zagrażają osiągnięciu uzgodnionych celów polityki;</w:t>
      </w:r>
    </w:p>
    <w:p w:rsidR="00251551" w:rsidRPr="00FE2D97" w:rsidP="00251551" w14:paraId="618F06B7" w14:textId="77777777">
      <w:pPr>
        <w:pStyle w:val="NormalHanging12a"/>
        <w:rPr>
          <w:i/>
          <w:iCs/>
        </w:rPr>
      </w:pPr>
      <w:r w:rsidRPr="00FE2D97">
        <w:t>98.</w:t>
      </w:r>
      <w:r w:rsidRPr="00FE2D97">
        <w:tab/>
        <w:t xml:space="preserve">odnotowuje proponowane zwiększenie zaciągania i udzielania pożyczek w następnych WRF; uważa, że władza budżetowa musi uważnie monitorować wpływ tego podejścia na margines elastyczności WRF lub inne gwarancje; domaga się, aby operacje </w:t>
      </w:r>
      <w:r w:rsidRPr="00FE2D97">
        <w:t xml:space="preserve">zaciągania i udzielania pożyczek odbywały się z poszanowaniem uprawnień </w:t>
      </w:r>
      <w:r w:rsidRPr="00FE2D97">
        <w:t>współprawodawców</w:t>
      </w:r>
      <w:r w:rsidRPr="00FE2D97">
        <w:t xml:space="preserve"> i władzy budżetowej;</w:t>
      </w:r>
    </w:p>
    <w:p w:rsidR="00251551" w:rsidRPr="00FE2D97" w:rsidP="00251551" w14:paraId="47018973" w14:textId="77777777">
      <w:pPr>
        <w:pStyle w:val="NormalHanging12a"/>
        <w:widowControl w:val="0"/>
      </w:pPr>
      <w:r w:rsidRPr="00FE2D97">
        <w:t>99.</w:t>
      </w:r>
      <w:r w:rsidRPr="00FE2D97">
        <w:tab/>
        <w:t>ponawia apel o wzmocnienie partnerstwa inwestycyjnego z grupą EBI w celu zwiększenia dźwigni finansowej budżetu UE, zmobilizowania inwestycji prywatnych i ograniczenia ryzyka w ważnych obszarach polityki, takich jak: klimat, konkurencyjność, mieszkalnictwo, przedsiębiorczość społeczna oraz innowacje, obrona i wymiar zewnętrzny; podkreśla, że w ramach tego i podobnych partnerstw z innymi partnerami realizującymi działania, wykorzystujących środki z budżetu UE we wszystkich obszarach polityki i ograniczających ryzyko inwestycji tam, gdzie jest to stosowne, należy utrzymać dostosowane instrumenty ułatwiające dostęp MŚP, spółkom o średniej kapitalizacji i konsorcjom transgranicznym, przy jednoczesnym zapewnieniu solidnego zarządzania, przejrzystości i unijnej wartości dodanej; ponownie podkreśla znaczenie odpowiedniego finansowania pomocy technicznej, opracowanej wspólnie przez EBI i Komisję, dla organów wykonawczych, aby pomóc w zapewnieniu terminowej realizacji i dodatkowości inwestycji, w szczególności poprzez budowanie zdolności administracyjnych i opracowywanie katalogów inwestycji, oraz wzywa do zapewnienia odpowiedniego finansowania w celu zagwarantowania stałego oddziaływania;</w:t>
      </w:r>
    </w:p>
    <w:p w:rsidR="00251551" w:rsidRPr="00FE2D97" w:rsidP="00251551" w14:paraId="2102DAFE" w14:textId="77777777">
      <w:pPr>
        <w:pStyle w:val="NormalHanging12a"/>
        <w:widowControl w:val="0"/>
      </w:pPr>
      <w:r w:rsidRPr="00FE2D97">
        <w:t>100.</w:t>
      </w:r>
      <w:r w:rsidRPr="00FE2D97">
        <w:tab/>
        <w:t>przypomina swoje od dawna niezmienne stanowisko, zgodnie z którym wszystkie wydatki na szczeblu UE powinny wchodzić w zakres kompetencji władzy budżetowej, co zapewni demokratyczną kontrolę, przejrzystość oraz ochronę interesów finansowych Unii;</w:t>
      </w:r>
    </w:p>
    <w:p w:rsidR="00251551" w:rsidRPr="00FE2D97" w:rsidP="00251551" w14:paraId="0598106D" w14:textId="77777777">
      <w:pPr>
        <w:pStyle w:val="NormalHanging12a"/>
        <w:widowControl w:val="0"/>
        <w:jc w:val="both"/>
        <w:rPr>
          <w:i/>
          <w:iCs/>
        </w:rPr>
      </w:pPr>
      <w:r w:rsidRPr="00FE2D97">
        <w:rPr>
          <w:i/>
        </w:rPr>
        <w:t>Zarządzanie legislacyjne</w:t>
      </w:r>
    </w:p>
    <w:p w:rsidR="00251551" w:rsidRPr="00FE2D97" w:rsidP="00251551" w14:paraId="35BAEA62" w14:textId="77777777">
      <w:pPr>
        <w:pStyle w:val="NormalHanging12a"/>
      </w:pPr>
      <w:r w:rsidRPr="00FE2D97">
        <w:t>101.</w:t>
      </w:r>
      <w:r w:rsidRPr="00FE2D97">
        <w:tab/>
        <w:t xml:space="preserve">podkreśla, że w celu uzyskania zgody Parlamentu każdy aspekt WRF, zwłaszcza elementy budżetowe, należy uznać za pakiet i poddać prawdziwym negocjacjom; ponownie wyraża sprzeciw wobec sposobu, w jaki przyjęto obecne i poprzednie rozporządzenia w sprawie WRF, ponieważ Rada Europejska przekroczyła swoje uprawnienia, określając z góry wiele elementów, takich jak pule środków finansowych i przepisy dotyczące poszczególnych obszarów polityki, naruszając tym samym postanowienia traktatu zarówno pod względem merytorycznym, jak i pod względem intencji; wyraża poważne zaniepokojenie faktem, że wstępne schematy negocjacyjne przygotowane przez prezydencję Rady powielają tę wadliwą metodykę i uwzględniają kwestie objęte procedurą </w:t>
      </w:r>
      <w:r w:rsidRPr="00FE2D97">
        <w:t>współdecyzji</w:t>
      </w:r>
      <w:r w:rsidRPr="00FE2D97">
        <w:t xml:space="preserve"> przy ustanawianiu nowych przepisów dotyczących programów UE;</w:t>
      </w:r>
    </w:p>
    <w:p w:rsidR="00251551" w:rsidRPr="00FE2D97" w:rsidP="00251551" w14:paraId="5EBE81B3" w14:textId="77777777">
      <w:pPr>
        <w:pStyle w:val="NormalHanging12a"/>
      </w:pPr>
      <w:r w:rsidRPr="00FE2D97">
        <w:t>102.</w:t>
      </w:r>
      <w:r w:rsidRPr="00FE2D97">
        <w:tab/>
        <w:t>wyraża poważne zaniepokojenie szerszymi cechami koncepcji programów i wnioskami sektorowymi, w których istotne decyzje polityczne i budżetowe przenoszone są z aktu podstawowego na programy prac, co znacznie osłabia rolę ustawodawczą Parlamentu; zdecydowanie sprzeciwia się przeniesieniu elementów ustawodawczych z rozporządzeń sektorowych, co wyklucza Parlament z decyzji podejmowanych obecnie w ramach zwykłej procedury ustawodawczej oraz stwarza niepewność prawa dla beneficjentów;</w:t>
      </w:r>
    </w:p>
    <w:p w:rsidR="00251551" w:rsidRPr="00FE2D97" w:rsidP="00251551" w14:paraId="4D829089" w14:textId="77777777">
      <w:pPr>
        <w:pStyle w:val="NormalHanging12a"/>
      </w:pPr>
      <w:r w:rsidRPr="00FE2D97">
        <w:t>103.</w:t>
      </w:r>
      <w:r w:rsidRPr="00FE2D97">
        <w:tab/>
        <w:t xml:space="preserve">nalega, aby wszystkie istotne wybory polityczne, takie jak: cele programów, priorytety wydatków, przydziały środków finansowych, stopy finansowania, kryteria kwalifikowalności, kwalifikacji i wyboru, warunki, definicje i metody obliczania, były określane w odpowiednich aktach podstawowych, z pełnym poszanowaniem prerogatyw Parlamentu jako </w:t>
      </w:r>
      <w:r w:rsidRPr="00FE2D97">
        <w:t>współprawodawcy</w:t>
      </w:r>
      <w:r w:rsidRPr="00FE2D97">
        <w:t xml:space="preserve"> i władzy budżetowej, a nie w programie </w:t>
      </w:r>
      <w:r w:rsidRPr="00FE2D97">
        <w:t>prac lub podobnych uprawnieniach; domaga się, aby cele i kwestie związane z zarządzaniem były określane w aktach podstawowych, a wszelkie elementy uzupełniające i nieistotne, które nie zostały uwzględnione w akcie podstawowym, były przyjmowane wyłącznie w drodze aktów delegowanych, bez możliwości stosowania aktów wykonawczych lub innych procedur, które nie podlegają zgodzie Parlamentu; domaga się zatem, aby wszystkie wieloletnie i roczne programy prac były przyjmowane w drodze aktów delegowanych, zgodnie z art. 290 TFUE, w celu zapewnienia systematycznego zaangażowania Parlamentu w podejmowanie decyzji politycznych i sprawowanie kontroli; kategorycznie odrzuca próby przeniesienia programowych decyzji strategicznych na procedury komitetowe lub inne ustalenia; ostrzega, że Parlament nie zaakceptuje żadnego wniosku, który nie gwarantuje jego pełnych uprawnień ustawodawczych i nadzorczych; podkreśla, że zmniejszenie poziomu szczegółowości aktów podstawowych skutkuje przesunięciem ważnych wyborów politycznych na etap wdrażania, a tym samym osłabieniem demokratycznej rozliczalności i marginalizacją roli Parlamentu w podejmowaniu decyzji politycznych mających istotne konsekwencje polityczne i budżetowe;</w:t>
      </w:r>
    </w:p>
    <w:p w:rsidR="00251551" w:rsidRPr="00FE2D97" w:rsidP="00251551" w14:paraId="24EFAFD0" w14:textId="77777777">
      <w:pPr>
        <w:pStyle w:val="NormalHanging12a"/>
        <w:widowControl w:val="0"/>
      </w:pPr>
      <w:r w:rsidRPr="00FE2D97">
        <w:t>104.</w:t>
      </w:r>
      <w:r w:rsidRPr="00FE2D97">
        <w:tab/>
        <w:t>podkreśla, że szeroki zakres celów proponowanych rozporządzeń sektorowych wymaga zmienionej procedury oceny projektów pilotażowych i działań przygotowawczych, aby zabezpieczyć i tak już ograniczone prawo inicjatywy Parlamentu; uważa, że jaśniejsze kryteria i usprawnione procedury są niezbędne, by zapewnić Parlamentowi możliwość dalszego inicjowania innowacyjnych działań i testowania nowych koncepcji politycznych w kontekście działów 1, 2 i 3; podkreśla, że rozszerzenie zakresu programów nie może ograniczać zdolności Parlamentu do proponowania projektów pilotażowych i działań przygotowawczych w konkretnych obszarach polityki;</w:t>
      </w:r>
    </w:p>
    <w:p w:rsidR="00251551" w:rsidRPr="00FE2D97" w:rsidP="00251551" w14:paraId="1A388273" w14:textId="77777777">
      <w:pPr>
        <w:pStyle w:val="NormalHanging12a"/>
        <w:widowControl w:val="0"/>
        <w:rPr>
          <w:i/>
          <w:iCs/>
        </w:rPr>
      </w:pPr>
      <w:r w:rsidRPr="00FE2D97">
        <w:rPr>
          <w:i/>
        </w:rPr>
        <w:t>Poszanowanie praworządności i podstawowych wartości</w:t>
      </w:r>
    </w:p>
    <w:p w:rsidR="00251551" w:rsidRPr="00FE2D97" w:rsidP="00251551" w14:paraId="04F13EFC" w14:textId="77777777">
      <w:pPr>
        <w:pStyle w:val="NormalHanging12a"/>
      </w:pPr>
      <w:r w:rsidRPr="00FE2D97">
        <w:t>105.</w:t>
      </w:r>
      <w:r w:rsidRPr="00FE2D97">
        <w:tab/>
        <w:t>podkreśla, że przestrzeganie wartości Unii i praw podstawowych jest zasadniczym warunkiem dostępu do funduszy UE; podkreśla potrzebę utrzymania współzależności między poszanowaniem praworządności a dostępem do funduszy UE w WRF na lata 2021–2027; uważa, że ochrona interesów finansowych Unii jest nierozerwalnie związana z poszanowaniem praworządności i wartości Unii; podkreśla, że rozporządzenie dotyczące warunkowości w zakresie praworządności</w:t>
      </w:r>
      <w:r>
        <w:rPr>
          <w:rStyle w:val="FootnoteReference"/>
        </w:rPr>
        <w:footnoteReference w:id="12"/>
      </w:r>
      <w:r w:rsidRPr="00FE2D97">
        <w:t xml:space="preserve"> jest kluczowym narzędziem ochrony interesów finansowych Unii przed naruszeniami praworządności i powinno być stosowane zawsze, gdy spełnione są warunki prawne, w odniesieniu do całego budżetu UE, w tym instrumentów opartych na wynikach oraz środków udzielanych na podstawie art. 122 TFUE; wzywa Komisję i Radę do rygorystycznego i konsekwentnego stosowania wspomnianego rozporządzenia oraz – w razie potrzeby – do podejmowania działań bez zbędnej zwłoki;</w:t>
      </w:r>
    </w:p>
    <w:p w:rsidR="00251551" w:rsidRPr="00FE2D97" w:rsidP="00251551" w14:paraId="360A0EC8" w14:textId="77777777">
      <w:pPr>
        <w:pStyle w:val="NormalHanging12a"/>
      </w:pPr>
      <w:r w:rsidRPr="00FE2D97">
        <w:t>106.</w:t>
      </w:r>
      <w:r w:rsidRPr="00FE2D97">
        <w:tab/>
        <w:t xml:space="preserve">nalega, aby w następnych WRF zawrzeć skuteczny i spójny zestaw narzędzi związanych z wartościami Unii obejmujący demokrację, praworządność i prawa podstawowe oraz obowiązujący względem wszystkich funduszy UE; ubolewa nad nakładającymi się przepisami mechanizmu warunkowości wprowadzonymi w szczególności przez PPKR, oraz apeluje o jednolite, spójne i kompleksowe ramy we </w:t>
      </w:r>
      <w:r w:rsidRPr="00FE2D97">
        <w:t>wszystkich unijnych programach finansowania, w pełnej zgodności z rozporządzeniem dotyczącym warunkowości w zakresie praworządności, obejmujące zarówno warunki podstawowe, które należy spełnić, aby uzyskać dostęp do finansowania UE, jak i środki służące wstrzymaniu finansowania, gdy odpowiednie warunki nie są już spełniane; zwraca się do Komisji o skonsolidowanie wszystkich narzędzi praworządności w jednolite i kompleksowe ramy zapewniające jasne, obiektywne i przejrzyste kryteria stosowania oraz umożliwiające Komisji zapewnienie koordynacji między tymi narzędziami;</w:t>
      </w:r>
    </w:p>
    <w:p w:rsidR="00251551" w:rsidRPr="00FE2D97" w:rsidP="00251551" w14:paraId="3AE5E234" w14:textId="77777777">
      <w:pPr>
        <w:pStyle w:val="NormalHanging12a"/>
      </w:pPr>
      <w:r w:rsidRPr="00FE2D97">
        <w:t>107.</w:t>
      </w:r>
      <w:r w:rsidRPr="00FE2D97">
        <w:tab/>
        <w:t>domaga się wstrzymania środków finansowych Unii w przypadku niespełnienia zasadniczych wymagań oraz uwolnienia zamrożonych środków finansowych zainteresowanym państwom członkowskim dopiero po pełnym wdrożeniu istotnych reform i udowodnieniu w możliwy do zweryfikowania sposób, że zasady praworządności są przestrzegane w praktyce, zgodnie z ustaleniami zawartymi w sprawozdaniach na temat praworządności; podkreśla, że decyzje o zawieszeniu lub ograniczeniu finansowania unijnego w związku z naruszeniami praworządności muszą opierać się na obiektywnych i spójnie stosowanych kryteriach i nie mogą opierać się na innych przesłankach ani być wynikiem negocjacji;</w:t>
      </w:r>
    </w:p>
    <w:p w:rsidR="00251551" w:rsidRPr="00FE2D97" w:rsidP="00251551" w14:paraId="2023ACAD" w14:textId="77777777">
      <w:pPr>
        <w:pStyle w:val="NormalHanging12a"/>
        <w:widowControl w:val="0"/>
        <w:rPr>
          <w:bCs/>
          <w:iCs/>
        </w:rPr>
      </w:pPr>
      <w:r w:rsidRPr="00FE2D97">
        <w:t>108.</w:t>
      </w:r>
      <w:r w:rsidRPr="00FE2D97">
        <w:tab/>
        <w:t>przyznaje, że w kontekście PPKR Komisja proponuje możliwość ponownego udostępnienia środków, które zostają umorzone z powodu braku środków zaradczych w odpowiedzi na stwierdzone naruszenie praworządności na mocy rozporządzenia dotyczącego warunkowości w zakresie praworządności, na programy objęte zarządzaniem bezpośrednim lub pośrednim; domaga się wyjaśnienia, w jaki sposób takie umorzone kwoty mogłyby być przekazywane na inne programy, i apeluje o zakaz przegrupowania zamrożonych środków; podkreśla, że decyzja o wykorzystaniu umorzonych środków należy do prerogatyw władzy budżetowej w ramach rocznej procedury budżetowej i nie powinna być pozostawiona w gestii Komisji;</w:t>
      </w:r>
    </w:p>
    <w:p w:rsidR="00251551" w:rsidRPr="00FE2D97" w:rsidP="00251551" w14:paraId="13A41CC7" w14:textId="77777777">
      <w:pPr>
        <w:pStyle w:val="NormalHanging12a"/>
        <w:widowControl w:val="0"/>
        <w:rPr>
          <w:bCs/>
          <w:iCs/>
        </w:rPr>
      </w:pPr>
      <w:r w:rsidRPr="00FE2D97">
        <w:t>109.</w:t>
      </w:r>
      <w:r w:rsidRPr="00FE2D97">
        <w:tab/>
        <w:t>podkreśla, że potrzebne jest solidne podejście, aby zagwarantować, że prawowici odbiorcy końcowi i beneficjenci nie będą karani za zawieszenie funduszy UE dla ich rządu w wyniku naruszeń praworządności; podkreśla, że zasada ta leży u podstaw inteligentnej warunkowości;</w:t>
      </w:r>
    </w:p>
    <w:p w:rsidR="00251551" w:rsidRPr="00FE2D97" w:rsidP="00251551" w14:paraId="19F0AD0D" w14:textId="77777777">
      <w:pPr>
        <w:pStyle w:val="NormalHanging12a"/>
        <w:widowControl w:val="0"/>
        <w:rPr>
          <w:b/>
          <w:bCs/>
          <w:i/>
          <w:iCs/>
        </w:rPr>
      </w:pPr>
      <w:r w:rsidRPr="00FE2D97">
        <w:rPr>
          <w:b/>
          <w:i/>
        </w:rPr>
        <w:t xml:space="preserve">Kwestie związane z porozumieniem międzyinstytucjonalnym </w:t>
      </w:r>
    </w:p>
    <w:p w:rsidR="00251551" w:rsidRPr="00FE2D97" w:rsidP="00251551" w14:paraId="412B8C63" w14:textId="77777777">
      <w:pPr>
        <w:pStyle w:val="NormalHanging12a"/>
      </w:pPr>
      <w:r w:rsidRPr="00FE2D97">
        <w:t>110.</w:t>
      </w:r>
      <w:r w:rsidRPr="00FE2D97">
        <w:tab/>
        <w:t xml:space="preserve">podkreśla, że mechanizm sterujący nie zrekompensuje utraty uprawnień ustawodawczych ani budżetowych Parlamentu; podkreśla, że roczny budżet powinien odzwierciedlać priorytety polityczne i plany uzgodnione przez </w:t>
      </w:r>
      <w:r w:rsidRPr="00FE2D97">
        <w:t>współprawodawców</w:t>
      </w:r>
      <w:r w:rsidRPr="00FE2D97">
        <w:t>; podkreśla, że właściwe zarządzanie budżetem i zachowanie prerogatyw władzy budżetowej są zasadniczymi warunkami wstępnymi zwiększenia wagi rocznej procedury budżetowej oraz że mechanizmy sterujące mogą funkcjonować tylko w oparciu o fundamenty;</w:t>
      </w:r>
    </w:p>
    <w:p w:rsidR="00251551" w:rsidRPr="00FE2D97" w:rsidP="00251551" w14:paraId="3EB58270" w14:textId="77777777">
      <w:pPr>
        <w:pStyle w:val="NormalHanging12a"/>
      </w:pPr>
      <w:r w:rsidRPr="00FE2D97">
        <w:t>111.</w:t>
      </w:r>
      <w:r w:rsidRPr="00FE2D97">
        <w:tab/>
        <w:t xml:space="preserve">odrzuca ustalenia, które ograniczałyby swobodę władzy budżetowej w zakresie podejmowania autonomicznych decyzji dotyczących priorytetów budżetowych i przydziału środków; zdecydowanie sprzeciwia się mechanizmom, które umożliwiłyby Komisji wstępne podejmowanie decyzji budżetowych w drodze ocen technicznych; kategorycznie odrzuca możliwość wpływania przez Radę Europejską na roczną procedurę budżetową w drodze konkluzji, ponieważ stanowiłoby to wyraźne naruszenie postanowień traktatu i podważałoby równowagę instytucjonalną ustanowioną w </w:t>
      </w:r>
      <w:r w:rsidRPr="00FE2D97">
        <w:t>odniesieniu do podejmowania decyzji budżetowych; przypomina, że w rozporządzeniu finansowym przewiduje się już możliwość uwolnienia rezerw budżetowych; wzywa Komisję do systematycznej koordynacji z władzą budżetową przed podjęciem dobrowolnych zobowiązań dotyczących korzystania z wbudowanej elastyczności oraz apeluje, aby każdy przypadek uruchomienia środków wymagał zatwierdzenia w drodze decyzji władzy budżetowej;</w:t>
      </w:r>
    </w:p>
    <w:p w:rsidR="00251551" w:rsidRPr="00FE2D97" w:rsidP="00251551" w14:paraId="5459DFAC" w14:textId="77777777">
      <w:pPr>
        <w:pStyle w:val="NormalHanging12a"/>
        <w:widowControl w:val="0"/>
      </w:pPr>
      <w:r w:rsidRPr="00FE2D97">
        <w:t>112.</w:t>
      </w:r>
      <w:r w:rsidRPr="00FE2D97">
        <w:tab/>
        <w:t>zauważa z zaniepokojeniem, że Komisja proponuje w porozumieniu międzyinstytucjonalnym</w:t>
      </w:r>
      <w:r>
        <w:rPr>
          <w:rStyle w:val="FootnoteReference"/>
        </w:rPr>
        <w:footnoteReference w:id="13"/>
      </w:r>
      <w:r w:rsidRPr="00FE2D97">
        <w:t xml:space="preserve"> zwiększenie odchylenia od kwot orientacyjnych w prawodawstwie sektorowym z obecnych 15 % do 20 %; podkreśla, że proponowane zwiększenie tej wartości, w połączeniu z łączeniem programów i znacznie większymi budżetami na program, stworzyłoby znaczne możliwości wprowadzania zmian bez udziału </w:t>
      </w:r>
      <w:r w:rsidRPr="00FE2D97">
        <w:t>współprawodawców</w:t>
      </w:r>
      <w:r w:rsidRPr="00FE2D97">
        <w:t xml:space="preserve">; wyraża poważne zastrzeżenia co do skumulowanego wpływu tych zmian na nadzór demokratyczny i równowagę uprawnień instytucjonalnych; uważa, że takie rozszerzenie elastyczności wykonawczej podważa prerogatywy władzy budżetowej; apeluje w związku z tym o ograniczenie maksymalnego odchylenia od kwot orientacyjnych do 5 % w całym okresie trwania programów, niezależnie od stosowania właściwych przepisów rozporządzenia w sprawie WRF i porozumienia międzyinstytucjonalnego, tak aby znaczące realokacje środków budżetowych w dalszym ciągu podlegały odpowiedniej kontroli demokratycznej oraz </w:t>
      </w:r>
      <w:r w:rsidRPr="00FE2D97">
        <w:t>współprawodawczemu</w:t>
      </w:r>
      <w:r w:rsidRPr="00FE2D97">
        <w:t xml:space="preserve"> procesowi decyzyjnemu; podkreśla, że ten obniżony próg pozwoliłby utrzymać niezbędną elastyczność operacyjną przy jednoczesnym zachowaniu zasadniczej roli Parlamentu w nadzorze budżetowym;</w:t>
      </w:r>
    </w:p>
    <w:p w:rsidR="00251551" w:rsidRPr="00FE2D97" w:rsidP="00251551" w14:paraId="16E6B349" w14:textId="77777777">
      <w:pPr>
        <w:pStyle w:val="NormalHanging12a"/>
        <w:widowControl w:val="0"/>
        <w:rPr>
          <w:bCs/>
        </w:rPr>
      </w:pPr>
      <w:r w:rsidRPr="00FE2D97">
        <w:t>113.</w:t>
      </w:r>
      <w:r w:rsidRPr="00FE2D97">
        <w:tab/>
        <w:t>podkreśla znaczenie utrzymania regularnego międzyinstytucjonalnego dialogu na temat zasobów własnych i wzywa do zwiększenia częstotliwości posiedzeń;</w:t>
      </w:r>
    </w:p>
    <w:p w:rsidR="00251551" w:rsidRPr="00FE2D97" w:rsidP="00251551" w14:paraId="2B78BD48" w14:textId="77777777">
      <w:pPr>
        <w:pStyle w:val="NormalHanging12a"/>
        <w:widowControl w:val="0"/>
        <w:rPr>
          <w:bCs/>
        </w:rPr>
      </w:pPr>
      <w:r w:rsidRPr="00FE2D97">
        <w:t>114.</w:t>
      </w:r>
      <w:r w:rsidRPr="00FE2D97">
        <w:tab/>
        <w:t>proponuje dodanie specjalnego załącznika dotyczącego współpracy w dziedzinie mechanizmu warunkowości; w tym kontekście uważa, że regularny dialog między trzema instytucjami na temat aktualnej ochrony budżetu UE w odniesieniu do praworządności byłby skutecznym sposobem poprawy koordynacji w obszarze zestawu narzędzi na rzecz praworządności;</w:t>
      </w:r>
    </w:p>
    <w:p w:rsidR="00251551" w:rsidRPr="00FE2D97" w:rsidP="00251551" w14:paraId="382EFF69" w14:textId="77777777">
      <w:pPr>
        <w:pStyle w:val="NormalHanging12a"/>
        <w:widowControl w:val="0"/>
        <w:rPr>
          <w:b/>
          <w:bCs/>
          <w:i/>
          <w:iCs/>
        </w:rPr>
      </w:pPr>
      <w:r w:rsidRPr="00FE2D97">
        <w:rPr>
          <w:b/>
          <w:i/>
        </w:rPr>
        <w:t>Zasoby własne</w:t>
      </w:r>
    </w:p>
    <w:p w:rsidR="00251551" w:rsidRPr="00FE2D97" w:rsidP="00251551" w14:paraId="7E093C0D" w14:textId="77777777">
      <w:pPr>
        <w:pStyle w:val="NormalHanging12a"/>
      </w:pPr>
      <w:r w:rsidRPr="00FE2D97">
        <w:t>115.</w:t>
      </w:r>
      <w:r w:rsidRPr="00FE2D97">
        <w:tab/>
        <w:t>potwierdza silne zaangażowanie Parlamentu na rzecz wprowadzenia nowych zasobów własnych w celu zapewnienia zrównoważonego i przewidywalnego długoterminowego finansowania budżetu UE;  ponownie podkreśla potrzebę zrównoważonych i odpornych dochodów w budżecie Unii, które powinny odpowiadać stronie wydatków, gwarantując w ten sposób stabilność budżetową, efektywność i dyscyplinę budżetową, a tym samym umożliwiając Unii realizację jej potrzeb i priorytetów;</w:t>
      </w:r>
    </w:p>
    <w:p w:rsidR="00251551" w:rsidRPr="00FE2D97" w:rsidP="00251551" w14:paraId="4351C7EB" w14:textId="77777777">
      <w:pPr>
        <w:pStyle w:val="NormalHanging12a"/>
      </w:pPr>
      <w:r w:rsidRPr="00FE2D97">
        <w:t>116.</w:t>
      </w:r>
      <w:r w:rsidRPr="00FE2D97">
        <w:tab/>
        <w:t xml:space="preserve">ponawia swój wieloletni apel o wprowadzenie nowych, rzeczywistych zasobów własnych, nie tylko w celu spłaty zadłużenia w ramach NGEU, ale również w celu sfinansowania ambitniejszych celów politycznych Unii; wyraża niezmienne przekonanie, że konieczne jest wprowadzenie nowych rzeczywistych zasobów własnych w celu finansowania budżetu Unii; przypomina, że bez nowych zasobów obciążenie finansowe nieuchronnie spadnie na państwa członkowskie w postaci zwiększonych wkładów z tytułu zasobów własnych opartych na DNB; uważa w </w:t>
      </w:r>
      <w:r w:rsidRPr="00FE2D97">
        <w:t>związku z tym, że wprowadzenie nowych, rzeczywistych źródeł dochodów w kwocie co najmniej 60 mld EUR rocznie jest zasadniczym warunkiem ambitnych WRF na lata 2028–2034;</w:t>
      </w:r>
    </w:p>
    <w:p w:rsidR="00251551" w:rsidRPr="00FE2D97" w:rsidP="00251551" w14:paraId="336F4C54" w14:textId="77777777">
      <w:pPr>
        <w:pStyle w:val="NormalHanging12a"/>
      </w:pPr>
      <w:r w:rsidRPr="00FE2D97">
        <w:t>117.</w:t>
      </w:r>
      <w:r w:rsidRPr="00FE2D97">
        <w:tab/>
        <w:t xml:space="preserve">jest głęboko zaniepokojony całkowitym brakiem postępów w pracach nad reformą systemu zasobów własnych w Radzie od 2020 r.; podkreśla, że rzeczywiste nowe zasoby własne są właściwym rozwiązaniem w epoce ograniczeń budżetowych, pozwalającym sfinansować zarówno dotychczasowe, jak i nowe polityki Unii oraz tak bardzo potrzebne inwestycje w UE; </w:t>
      </w:r>
    </w:p>
    <w:p w:rsidR="00251551" w:rsidRPr="00FE2D97" w:rsidP="00251551" w14:paraId="4FCFF0B5" w14:textId="77777777">
      <w:pPr>
        <w:pStyle w:val="NormalHanging12a"/>
      </w:pPr>
      <w:r w:rsidRPr="00FE2D97">
        <w:t>118.</w:t>
      </w:r>
      <w:r w:rsidRPr="00FE2D97">
        <w:tab/>
        <w:t>ponownie podkreśla swoją od dawna wyrażaną krytykę, zgodnie z którą opracowywanie i negocjowanie budżetu w oparciu o zasadę „sprawiedliwego zwrotu” nieuchronnie doprowadzi do zmniejszenia wartości dodanej UE, ponieważ osłabia to sens wspólnego inwestowania w wspólne i europejskie dobra publiczne; jednocześnie uznaje zalety zasobów własnych opartych na DNB ze względu na ich niezawodną funkcję równoważącą; wzywa Radę i państwa członkowskie, aby powstrzymały się od przedłużania jakichkolwiek obniżek ryczałtowych oraz dążyły do sprawiedliwej, ogólnej i powszechnej równowagi budżetowej poprzez skupienie się na synergii i unijnej wartości dodanej w duchu solidarności, a także zapewniły większą przejrzystość;</w:t>
      </w:r>
    </w:p>
    <w:p w:rsidR="00251551" w:rsidRPr="00FE2D97" w:rsidP="00251551" w14:paraId="77522073" w14:textId="77777777">
      <w:pPr>
        <w:pStyle w:val="NormalHanging12a"/>
      </w:pPr>
      <w:r w:rsidRPr="00FE2D97">
        <w:t>119.</w:t>
      </w:r>
      <w:r w:rsidRPr="00FE2D97">
        <w:tab/>
        <w:t>przypomina, że decyzja w sprawie zasobów własnych wymaga jednomyślności w Radzie, konsultacji z Parlamentem oraz ratyfikacji na szczeblu krajowym przez wszystkie państwa członkowskie; podkreśla, że każdy koszyk nowych zasobów własnych musi być postrzegany jako sprawiedliwy, aby uniknąć sytuacji, w których wdrożenie takich źródeł dochodów w nieproporcjonalny sposób obciążałoby niektóre państwa członkowskie;</w:t>
      </w:r>
    </w:p>
    <w:p w:rsidR="00251551" w:rsidRPr="00FE2D97" w:rsidP="00251551" w14:paraId="24B3CDAC" w14:textId="77777777">
      <w:pPr>
        <w:pStyle w:val="NormalHanging12a"/>
      </w:pPr>
      <w:r w:rsidRPr="00FE2D97">
        <w:t>120.</w:t>
      </w:r>
      <w:r w:rsidRPr="00FE2D97">
        <w:tab/>
        <w:t>uważa, że w obliczu bezprecedensowych wyzwań wymagających znacznego zwiększenia inwestycji w wielu obszarach polityki w następnym okresie WRF należy poszerzyć, wzmocnić, zdywersyfikować i zmodernizować w uzasadniony sposób podstawę dochodów budżetu UE; nalega, aby w tym celu dostosować i zmodernizować istniejące zasoby własne oraz bez dalszej zwłoki wprowadzić nowe zasoby własne; uważa ponadto, że dochody inne niż własne powinny być zasadniczym składnikiem kombinacji źródeł dochodów, a dobrze zdefiniowane operacje zaciągania i udzielania pożyczek, w odniesieniu do których powiązane zobowiązania warunkowe są bezpiecznie pokryte z marginesu elastyczności w ramach pułapów zasobów własnych, powinny pozostać wykonalną opcją rezerwową, przynajmniej w czasach nieprzewidzianych kryzysów;</w:t>
      </w:r>
    </w:p>
    <w:p w:rsidR="00251551" w:rsidRPr="00FE2D97" w:rsidP="00251551" w14:paraId="20E5F68F" w14:textId="77777777">
      <w:pPr>
        <w:pStyle w:val="NormalHanging12a"/>
      </w:pPr>
      <w:r w:rsidRPr="00FE2D97">
        <w:t>121.</w:t>
      </w:r>
      <w:r w:rsidRPr="00FE2D97">
        <w:tab/>
        <w:t>przypomina o zobowiązaniu prawnym i odpowiedzialności politycznej za terminową spłatę długu w ramach NGEU; przypomina swoje stanowisko, zgodnie z którym spłata długu w ramach NGEU powinna być nadal realizowana w sposób rozważny i elastyczny, w tym, w miarę możliwości, poprzez operacje refinansowania, aby zminimalizować presję na WRF i ich programy na lata 2028–2034;</w:t>
      </w:r>
    </w:p>
    <w:p w:rsidR="00251551" w:rsidRPr="00FE2D97" w:rsidP="00251551" w14:paraId="313092D5" w14:textId="77777777">
      <w:pPr>
        <w:pStyle w:val="NormalHanging12a"/>
      </w:pPr>
      <w:bookmarkStart w:id="15" w:name="_Hlk214625989"/>
      <w:bookmarkStart w:id="16" w:name="_Hlk214976904"/>
      <w:r w:rsidRPr="00FE2D97">
        <w:t>122.</w:t>
      </w:r>
      <w:r w:rsidRPr="00FE2D97">
        <w:tab/>
        <w:t xml:space="preserve">z zadowoleniem przyjmuje wysiłki Komisji na rzecz określenia nowych zasobów własnych, jak również propozycje pewnych kalibracji tradycyjnych zasobów własnych, takich jak cła, w celu wzmocnienia autonomii finansowej Unii i zmniejszenia zależności od wkładów krajowych, zapewniając w ten sposób przyszłe finansowanie budżetu Unii; popiera zaproponowane przez Komisję szersze podejście oparte na </w:t>
      </w:r>
      <w:r w:rsidRPr="00FE2D97">
        <w:t>koszyku, ponieważ stanowi ono realistyczną drogę do zapewnienia niezbędnego wsparcia w Radzie; odnotowuje proponowane różne rodzaje zasobów własnych; zdecydowanie podkreśla jednak, że każdy koszyk nowych zasobów własnych musi bezwzględnie zostać przyjęty w tym samym czasie co kolejne wieloletnie ramy finansowe oraz musi generować stabilny i wystarczający przepływ dochodów w wysokości co najmniej około 60 mld EUR rocznie, ponieważ poziom ten jest niezbędny dla zapewnienia stałej spłaty pożyczek zaciągniętych w ramach NGEU, wypełniania zobowiązań Unii i finansowania wspólnych inwestycji w europejskie dobra publiczne; wzywa Radę do szybkiego osiągnięcia porozumienia w sprawie nowych zasobów własnych w celu zapewnienia długoterminowej pewności budżetowej;</w:t>
      </w:r>
      <w:bookmarkEnd w:id="15"/>
    </w:p>
    <w:p w:rsidR="00251551" w:rsidRPr="00FE2D97" w:rsidP="00251551" w14:paraId="2F7DC8C7" w14:textId="77777777">
      <w:pPr>
        <w:pStyle w:val="NormalHanging12a"/>
      </w:pPr>
      <w:r w:rsidRPr="00FE2D97">
        <w:t>123.</w:t>
      </w:r>
      <w:r w:rsidRPr="00FE2D97">
        <w:tab/>
        <w:t xml:space="preserve">domaga się, aby w przypadku wyeliminowania niektórych elementów koszyka Rada zastąpiła wynikającą z tego lukę zwiększonymi stawkami poboru z innych źródeł lub innymi źródłami; podkreśla, że nowe źródła nie powinny szkodzić konkurencyjności małych i średnich przedsiębiorstw ani konkurencyjności całej UE; uważa, że należy zbadać potencjał dochodowy m.in. opłaty od usług cyfrowych nakładanej na duże platformy cyfrowe, opłaty od usług hazardowych i bukmacherskich online, rozszerzenia mechanizmu dostosowywania cen na granicach z uwzględnieniem emisji CO2 oraz opłaty opartej na jednolitej stawce od zysków kapitałowych z </w:t>
      </w:r>
      <w:r w:rsidRPr="00FE2D97">
        <w:t>kryptoaktywów</w:t>
      </w:r>
      <w:r w:rsidRPr="00FE2D97">
        <w:t xml:space="preserve"> jako możliwych rozwiązań, jeżeli inne proponowane zasoby własne nie uzyskają poparcia wśród państw członkowskich, aby zapewnić sprawiedliwość podatkową i poziom dochodów proporcjonalny do potrzeb;</w:t>
      </w:r>
      <w:bookmarkEnd w:id="16"/>
    </w:p>
    <w:p w:rsidR="00251551" w:rsidRPr="00FE2D97" w:rsidP="00251551" w14:paraId="078C3424" w14:textId="77777777">
      <w:pPr>
        <w:pStyle w:val="NormalHanging12a"/>
        <w:widowControl w:val="0"/>
      </w:pPr>
      <w:r w:rsidRPr="00FE2D97">
        <w:t>124.</w:t>
      </w:r>
      <w:r w:rsidRPr="00FE2D97">
        <w:tab/>
        <w:t xml:space="preserve">uważa, że wspólne zaciąganie pożyczek stanowi realną opcję, która daje Unii możliwość szybkiego reagowania na nieoczekiwane wydarzenia oraz ułatwia terminowe finansowanie unijnych polityk o wyraźnej wartości dodanej dla UE; podkreśla, że takie rozwiązanie powinno być w pełni zgodne ze strategicznymi priorytetami UE w zakresie europejskich dóbr publicznych lub sprzyjać inwestycjom w projekty transgraniczne lub ogólnoeuropejskie, które zwiększają potencjał wzrostu gospodarczego UE; </w:t>
      </w:r>
    </w:p>
    <w:p w:rsidR="00251551" w:rsidRPr="00FE2D97" w:rsidP="00251551" w14:paraId="28B9053F" w14:textId="77777777">
      <w:pPr>
        <w:pStyle w:val="NormalHanging12a"/>
        <w:widowControl w:val="0"/>
      </w:pPr>
      <w:r w:rsidRPr="00FE2D97">
        <w:t>125.</w:t>
      </w:r>
      <w:r w:rsidRPr="00FE2D97">
        <w:tab/>
        <w:t>podkreśla znaczenie wniosku Komisji dotyczącego nowego rodzaju mechanizmu kryzysowego opartego na zaciąganiu pożyczek nadzwyczajnych zabezpieczonych dodatkowym marginesem elastyczności w ramach pułapu zasobów własnych i na niezmiennie doskonałym ratingu kredytowym budżetu UE; zauważa, że instrument ten jest ograniczony w czasie oraz podlega z góry określonym kryteriom i ograniczeniom dotyczącym jego celu, zakresu i wielkości, które wyznacza dodatkowy dostępny specjalny margines elastyczności; zauważa ponadto, że instrument ten umożliwi Unii uruchomienie do 395 mld EUR w formie pożyczek dla państw członkowskich w przypadku wystąpienia poważnych kryzysów, poważnych trudności lub poważnych zagrożeń nimi w latach 2028–2034; wyraża zadowolenie, że proponowany mechanizm nie opierałby się na art. 122 TFUE, który pomija Parlament jak w poprzednich przypadkach, ale na rozporządzeniu Rady na mocy art. 311 ust. 4 TFUE, które wymaga zgody Parlamentu, zapewniając w ten sposób równowagę instytucjonalną i odpowiedzialność proceduralną;</w:t>
      </w:r>
    </w:p>
    <w:p w:rsidR="00251551" w:rsidRPr="00FE2D97" w:rsidP="00251551" w14:paraId="5D0B1641" w14:textId="77777777">
      <w:pPr>
        <w:pStyle w:val="NormalHanging12a"/>
      </w:pPr>
      <w:r w:rsidRPr="00FE2D97">
        <w:t>126.</w:t>
      </w:r>
      <w:r w:rsidRPr="00FE2D97">
        <w:tab/>
        <w:t xml:space="preserve">uważa, że mechanizm ten może być kolejnym narzędziem na szczeblu UE umożliwiającym szybkie i skuteczne reagowanie na rosnące potrzeby, co wielokrotnie postulował Mario </w:t>
      </w:r>
      <w:r w:rsidRPr="00FE2D97">
        <w:t>Draghi</w:t>
      </w:r>
      <w:r w:rsidRPr="00FE2D97">
        <w:t>, a także na nieprzewidywalne wydarzenia; wzywa Komisję i państwa członkowskie do wykorzystania doświadczeń zdobytych w ramach NGEU do finansowania i wdrażania przyszłych strategicznych inwestycji UE;</w:t>
      </w:r>
    </w:p>
    <w:p w:rsidR="00251551" w:rsidRPr="00FE2D97" w:rsidP="00251551" w14:paraId="0D61A9B0" w14:textId="77777777">
      <w:pPr>
        <w:pStyle w:val="NormalHanging12a"/>
      </w:pPr>
      <w:r w:rsidRPr="00FE2D97">
        <w:t>127.</w:t>
      </w:r>
      <w:r w:rsidRPr="00FE2D97">
        <w:tab/>
        <w:t>oświadcza, że zatwierdzi jedynie długoterminowy budżet, obejmujący odpowiednie i stabilne dochody, który będzie dostosowany do celów Unii w zmieniającym się świecie;</w:t>
      </w:r>
      <w:r w:rsidRPr="00FE2D97">
        <w:br w:type="page"/>
      </w:r>
    </w:p>
    <w:p w:rsidR="00251551" w:rsidRPr="00FE2D97" w:rsidP="00251551" w14:paraId="76B771E4" w14:textId="77777777">
      <w:pPr>
        <w:pStyle w:val="NormalHanging12a"/>
      </w:pPr>
    </w:p>
    <w:p w:rsidR="00251551" w:rsidRPr="00FE2D97" w:rsidP="00251551" w14:paraId="7699376E" w14:textId="77777777">
      <w:pPr>
        <w:pStyle w:val="NormalHanging12a"/>
        <w:ind w:left="360" w:hanging="360"/>
        <w:rPr>
          <w:b/>
          <w:bCs/>
          <w:u w:val="single"/>
        </w:rPr>
      </w:pPr>
      <w:r w:rsidRPr="00FE2D97">
        <w:rPr>
          <w:b/>
          <w:i/>
        </w:rPr>
        <w:t>Poprawki do rozporządzenia w sprawie WRF</w:t>
      </w:r>
      <w:r w:rsidRPr="00FE2D97">
        <w:rPr>
          <w:b/>
          <w:u w:val="single"/>
        </w:rPr>
        <w:t xml:space="preserve"> </w:t>
      </w:r>
    </w:p>
    <w:p w:rsidR="00251551" w:rsidRPr="00FE2D97" w:rsidP="00251551" w14:paraId="6EF05DAF" w14:textId="77777777">
      <w:pPr>
        <w:pStyle w:val="NormalHanging12a"/>
        <w:jc w:val="both"/>
      </w:pPr>
      <w:r w:rsidRPr="00FE2D97">
        <w:t>128.</w:t>
      </w:r>
      <w:r w:rsidRPr="00FE2D97">
        <w:tab/>
        <w:t>zwraca się do Komisji o uwzględnienie poniższych zmian:</w:t>
      </w:r>
    </w:p>
    <w:p w:rsidR="00251551" w:rsidRPr="00FE2D97" w:rsidP="00251551" w14:paraId="164703FA" w14:textId="77777777">
      <w:pPr>
        <w:pStyle w:val="NormalHanging12a"/>
        <w:ind w:firstLine="0"/>
        <w:jc w:val="both"/>
        <w:rPr>
          <w:b/>
          <w:bCs/>
          <w:u w:val="single"/>
        </w:rPr>
      </w:pPr>
      <w:r w:rsidRPr="00FE2D97">
        <w:t>we wniosku dotyczącym rozporządzenia Rady należy wprowadzić następujące zmiany:</w:t>
      </w:r>
      <w:bookmarkEnd w:id="12"/>
    </w:p>
    <w:p w:rsidR="00251551" w:rsidRPr="00FE2D97" w:rsidP="00251551" w14:paraId="3D705BF9" w14:textId="77777777">
      <w:pPr>
        <w:pStyle w:val="AmNumberTabs"/>
        <w:keepNext/>
      </w:pPr>
      <w:r w:rsidRPr="00FE2D97">
        <w:br w:type="page"/>
      </w:r>
      <w:r w:rsidRPr="00FE2D97">
        <w:t>Zmiana</w:t>
      </w:r>
      <w:r w:rsidRPr="00FE2D97">
        <w:tab/>
      </w:r>
      <w:r w:rsidRPr="00FE2D97">
        <w:tab/>
        <w:t>1</w:t>
      </w:r>
    </w:p>
    <w:p w:rsidR="00251551" w:rsidRPr="00FE2D97" w:rsidP="00251551" w14:paraId="1A85243E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00CC2EA0" w14:textId="77777777">
      <w:pPr>
        <w:pStyle w:val="NormalBold"/>
        <w:rPr>
          <w:rStyle w:val="HideTWBExt"/>
        </w:rPr>
      </w:pPr>
      <w:r w:rsidRPr="00FE2D97">
        <w:t xml:space="preserve"> Motyw 13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A6AB11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4256A45" w14:textId="77777777">
            <w:pPr>
              <w:keepNext/>
            </w:pPr>
          </w:p>
        </w:tc>
      </w:tr>
      <w:tr w14:paraId="5B50F37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A194E9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7E79BCE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23838B4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999C5F" w14:textId="77777777">
            <w:pPr>
              <w:pStyle w:val="Normal6a"/>
            </w:pPr>
            <w:r w:rsidRPr="00FE2D97">
              <w:rPr>
                <w:b/>
                <w:i/>
              </w:rPr>
              <w:t>(13)</w:t>
            </w:r>
            <w:r w:rsidRPr="00FE2D97">
              <w:rPr>
                <w:b/>
                <w:i/>
              </w:rPr>
              <w:tab/>
              <w:t>Nietematyczne instrumenty szczególne są niezbędne, aby zapewnić elastyczność na rzecz dowolnego działu WRF w zależności od potrzeb oraz ułatwić procedurę budżetową. Jednolity margines powinien umożliwiać przesuwanie marginesów dostępnych poniżej pułapów środków na zobowiązania i środków na płatności, odpowiednio, między latami budżetowymi, a, w przypadku środków na zobowiązania – między działami WRF, bez przekraczania łącznych kwot pułapów WRF na środki na zobowiązania i środki na płatności na cały okres WRF. Zgodnie z zasadami należytego zarządzania finansami i ostrożnego budżetowania, uruchomienie kwot marginesów z bieżącego i przyszłego roku budżetowego powinno być ostatecznością.</w:t>
            </w:r>
          </w:p>
        </w:tc>
        <w:tc>
          <w:tcPr>
            <w:tcW w:w="4876" w:type="dxa"/>
          </w:tcPr>
          <w:p w:rsidR="00251551" w:rsidRPr="00FE2D97" w:rsidP="00B1367C" w14:paraId="5F10D335" w14:textId="77777777">
            <w:pPr>
              <w:pStyle w:val="Normal6a"/>
              <w:rPr>
                <w:iCs/>
              </w:rPr>
            </w:pPr>
            <w:r w:rsidRPr="00FE2D97">
              <w:rPr>
                <w:b/>
                <w:i/>
              </w:rPr>
              <w:t>skreśla się</w:t>
            </w:r>
            <w:r w:rsidRPr="00FE2D97">
              <w:t xml:space="preserve"> </w:t>
            </w:r>
          </w:p>
        </w:tc>
      </w:tr>
    </w:tbl>
    <w:p w:rsidR="00251551" w:rsidRPr="00FE2D97" w:rsidP="00251551" w14:paraId="0882A8F1" w14:textId="77777777"/>
    <w:p w:rsidR="00251551" w:rsidRPr="00FE2D97" w:rsidP="00251551" w14:paraId="1797D4FC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</w:t>
      </w:r>
    </w:p>
    <w:p w:rsidR="00251551" w:rsidRPr="00FE2D97" w:rsidP="00251551" w14:paraId="36D27A33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43A6C846" w14:textId="77777777">
      <w:pPr>
        <w:pStyle w:val="NormalBold"/>
      </w:pPr>
      <w:r w:rsidRPr="00FE2D97">
        <w:t>Motyw 13 a (nowy)</w:t>
      </w:r>
    </w:p>
    <w:p w:rsidR="00251551" w:rsidRPr="00FE2D97" w:rsidP="00251551" w14:paraId="705E05C9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C80E79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6210E07C" w14:textId="77777777">
            <w:pPr>
              <w:keepNext/>
            </w:pPr>
          </w:p>
        </w:tc>
      </w:tr>
      <w:tr w14:paraId="0FCB00F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8424176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60D61405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52E5F6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9F02ACA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0DA67049" w14:textId="77777777">
            <w:pPr>
              <w:pStyle w:val="Normal6a"/>
              <w:rPr>
                <w:szCs w:val="24"/>
              </w:rPr>
            </w:pPr>
            <w:r w:rsidRPr="00FE2D97">
              <w:t>(</w:t>
            </w:r>
            <w:r w:rsidRPr="00FE2D97">
              <w:rPr>
                <w:b/>
                <w:i/>
              </w:rPr>
              <w:t>13a</w:t>
            </w:r>
            <w:r w:rsidRPr="00FE2D97">
              <w:t>)</w:t>
            </w:r>
            <w:r w:rsidRPr="00FE2D97">
              <w:tab/>
            </w:r>
            <w:r w:rsidRPr="00FE2D97">
              <w:rPr>
                <w:b/>
                <w:i/>
              </w:rPr>
              <w:t xml:space="preserve">Biorąc pod uwagę niepewność co do przyszłych zmian stóp procentowych oraz w celu uniknięcia nadmiernej presji na programy unijne, należy ustanowić tematyczny instrument szczególny – Instrument Unii Europejskiej na rzecz Odbudowy (EURI), który pokryje spłatę kapitału oraz koszty finansowania związane z programem </w:t>
            </w:r>
            <w:r w:rsidRPr="00FE2D97">
              <w:rPr>
                <w:b/>
                <w:i/>
              </w:rPr>
              <w:t>NextGenerationEU</w:t>
            </w:r>
            <w:r w:rsidRPr="00FE2D97">
              <w:rPr>
                <w:b/>
                <w:i/>
              </w:rPr>
              <w:t>. Niezbędne środki na zobowiązania i odpowiadające im środki na płatności w budżecie Unii powinny być udostępniane poza pułapami WRF.</w:t>
            </w:r>
          </w:p>
        </w:tc>
      </w:tr>
    </w:tbl>
    <w:p w:rsidR="00251551" w:rsidRPr="00FE2D97" w:rsidP="00251551" w14:paraId="1F0E1BA7" w14:textId="77777777"/>
    <w:p w:rsidR="00251551" w:rsidRPr="00FE2D97" w:rsidP="00251551" w14:paraId="7B47A277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</w:t>
      </w:r>
    </w:p>
    <w:p w:rsidR="00251551" w:rsidRPr="00FE2D97" w:rsidP="00251551" w14:paraId="0630B668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15D25AF9" w14:textId="77777777">
      <w:pPr>
        <w:pStyle w:val="NormalBold"/>
        <w:rPr>
          <w:rStyle w:val="HideTWBExt"/>
        </w:rPr>
      </w:pPr>
      <w:r w:rsidRPr="00FE2D97">
        <w:t xml:space="preserve"> Motyw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D65839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41F8B5DC" w14:textId="77777777">
            <w:pPr>
              <w:keepNext/>
            </w:pPr>
          </w:p>
        </w:tc>
      </w:tr>
      <w:tr w14:paraId="2453287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A776EA3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2DC311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6EC2E1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543A45D" w14:textId="77777777">
            <w:pPr>
              <w:pStyle w:val="Normal6a"/>
            </w:pPr>
            <w:r w:rsidRPr="00FE2D97">
              <w:t>(14)</w:t>
            </w:r>
            <w:r w:rsidRPr="00FE2D97">
              <w:tab/>
              <w:t xml:space="preserve">Instrument elastyczności powinien być dostępny, aby umożliwiać finansowanie konkretnych nieprzewidzianych wydatków w danym roku budżetowym. Instrument elastyczności powinien się składać ze stałej kwoty oraz z kwot odpowiadających dochodom pobieranym w związku z realizacją polityk Unii, na które to kwoty składają się grzywny, inne kary i sankcje nałożone przez instytucje Unii oraz wszelkie narosłe odsetki lub inne dochody generowane przez te kwoty, </w:t>
            </w:r>
            <w:r w:rsidRPr="00FE2D97">
              <w:rPr>
                <w:b/>
                <w:i/>
              </w:rPr>
              <w:t>a także</w:t>
            </w:r>
            <w:r w:rsidRPr="00FE2D97">
              <w:t xml:space="preserve"> z kwot odpowiadających umorzeniom środków innych niż zewnętrzne dochody przeznaczone na określony cel, z wyłączeniem kwot umorzeń ponownie udostępnionych zgodnie z przepisami szczegółowymi dotyczącymi ponownego udostępniania środków odpowiadających umorzeniom.</w:t>
            </w:r>
          </w:p>
        </w:tc>
        <w:tc>
          <w:tcPr>
            <w:tcW w:w="4876" w:type="dxa"/>
          </w:tcPr>
          <w:p w:rsidR="00251551" w:rsidRPr="00FE2D97" w:rsidP="00B1367C" w14:paraId="2F053C6F" w14:textId="77777777">
            <w:pPr>
              <w:pStyle w:val="AmColumnHeading"/>
              <w:keepNext/>
              <w:jc w:val="left"/>
            </w:pPr>
            <w:r w:rsidRPr="00FE2D97">
              <w:rPr>
                <w:i w:val="0"/>
              </w:rPr>
              <w:t>(14)</w:t>
            </w:r>
            <w:r w:rsidRPr="00FE2D97">
              <w:rPr>
                <w:i w:val="0"/>
              </w:rPr>
              <w:tab/>
              <w:t>Instrument elastyczności powinien być dostępny, aby umożliwiać finansowanie konkretnych nieprzewidzianych wydatków w danym roku budżetowym. Instrument elastyczności powinien się składać ze stałej kwoty oraz z kwot odpowiadających dochodom pobieranym w związku z realizacją polityk Unii, na które to kwoty składają się grzywny, inne kary i sankcje nałożone przez instytucje Unii oraz wszelkie narosłe odsetki lub inne dochody generowane przez te kwoty, z kwot odpowiadających umorzeniom środków innych niż zewnętrzne dochody przeznaczone na określony cel, z wyłączeniem kwot umorzeń ponownie udostępnionych zgodnie z przepisami szczegółowymi dotyczącymi ponownego udostępniania środków odpowiadających umorzeniom</w:t>
            </w:r>
            <w:r w:rsidRPr="00FE2D97">
              <w:rPr>
                <w:b/>
                <w:bCs/>
                <w:iCs/>
              </w:rPr>
              <w:t>, marginesów pozostawionych z poprzednich lat, rocznej nadwyżki, a także środków zwracanych z instrumentów finansowych, bez uszczerbku dla przepisów dotyczących poszczególnych programów</w:t>
            </w:r>
            <w:r w:rsidRPr="00FE2D97">
              <w:rPr>
                <w:i w:val="0"/>
              </w:rPr>
              <w:t>.</w:t>
            </w:r>
            <w:r w:rsidRPr="00FE2D97">
              <w:rPr>
                <w:b/>
              </w:rPr>
              <w:t xml:space="preserve"> W razie potrzeby i w ostateczności powinna istnieć możliwość, w ramach rocznej procedury budżetowej, zwiększenia kwoty instrumentu elastyczności o kwotę, która zostałaby w pełni skompensowana w marginesie środków na zobowiązania lub środków na płatności co najmniej jednego działu WRF na dany rok budżetowy lub przyszłe lata budżetowe.</w:t>
            </w:r>
          </w:p>
        </w:tc>
      </w:tr>
    </w:tbl>
    <w:p w:rsidR="00251551" w:rsidRPr="00FE2D97" w:rsidP="00251551" w14:paraId="5DB0F1EF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</w:t>
      </w:r>
    </w:p>
    <w:p w:rsidR="00251551" w:rsidRPr="00FE2D97" w:rsidP="00251551" w14:paraId="683E460C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38122D9A" w14:textId="77777777">
      <w:r w:rsidRPr="00FE2D97">
        <w:t xml:space="preserve"> Rozdział 1 – artykuł 2 – ustęp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D3B48D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2C6C2E5C" w14:textId="77777777">
            <w:pPr>
              <w:keepNext/>
            </w:pPr>
          </w:p>
        </w:tc>
      </w:tr>
      <w:tr w14:paraId="1A02B5A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666AD55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5C14836C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3B5CD5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4FFA553" w14:textId="77777777">
            <w:pPr>
              <w:pStyle w:val="Normal6"/>
            </w:pPr>
            <w:r w:rsidRPr="00FE2D97">
              <w:t>2.</w:t>
            </w:r>
            <w:r w:rsidRPr="00FE2D97">
              <w:tab/>
              <w:t xml:space="preserve">W </w:t>
            </w:r>
            <w:r w:rsidRPr="00FE2D97">
              <w:t>przypadku</w:t>
            </w:r>
            <w:r w:rsidRPr="00FE2D97">
              <w:t xml:space="preserve"> gdy konieczne jest wykorzystanie zasobów instrumentów szczególnych przewidzianych w art. 6 </w:t>
            </w:r>
            <w:r w:rsidRPr="00FE2D97">
              <w:rPr>
                <w:b/>
                <w:i/>
              </w:rPr>
              <w:t>i</w:t>
            </w:r>
            <w:r w:rsidRPr="00FE2D97">
              <w:t xml:space="preserve"> 8, środki na zobowiązania i odpowiadające im środki na płatności zapisuje się w budżecie poza odpowiednimi pułapami WRF.</w:t>
            </w:r>
          </w:p>
          <w:p w:rsidR="00251551" w:rsidRPr="00FE2D97" w:rsidP="00B1367C" w14:paraId="0E76634E" w14:textId="77777777">
            <w:pPr>
              <w:pStyle w:val="Normal6"/>
            </w:pPr>
          </w:p>
        </w:tc>
        <w:tc>
          <w:tcPr>
            <w:tcW w:w="4876" w:type="dxa"/>
          </w:tcPr>
          <w:p w:rsidR="00251551" w:rsidRPr="00FE2D97" w:rsidP="00B1367C" w14:paraId="6ECC6E71" w14:textId="77777777">
            <w:pPr>
              <w:pStyle w:val="Normal6"/>
            </w:pPr>
            <w:r w:rsidRPr="00FE2D97">
              <w:t>2.</w:t>
            </w:r>
            <w:r w:rsidRPr="00FE2D97">
              <w:tab/>
              <w:t xml:space="preserve">W </w:t>
            </w:r>
            <w:r w:rsidRPr="00FE2D97">
              <w:t>przypadku</w:t>
            </w:r>
            <w:r w:rsidRPr="00FE2D97">
              <w:t xml:space="preserve"> gdy konieczne jest wykorzystanie zasobów instrumentów szczególnych przewidzianych w art. </w:t>
            </w:r>
            <w:r w:rsidRPr="00FE2D97">
              <w:rPr>
                <w:b/>
                <w:bCs/>
                <w:i/>
                <w:iCs/>
              </w:rPr>
              <w:t>5a,</w:t>
            </w:r>
            <w:r w:rsidRPr="00FE2D97">
              <w:t xml:space="preserve"> 6</w:t>
            </w:r>
            <w:r w:rsidRPr="00FE2D97">
              <w:rPr>
                <w:b/>
                <w:bCs/>
                <w:i/>
                <w:iCs/>
              </w:rPr>
              <w:t>,</w:t>
            </w:r>
            <w:r w:rsidRPr="00FE2D97">
              <w:t xml:space="preserve"> 8 </w:t>
            </w:r>
            <w:r w:rsidRPr="00FE2D97">
              <w:rPr>
                <w:b/>
                <w:bCs/>
                <w:i/>
                <w:iCs/>
              </w:rPr>
              <w:t>i 8a</w:t>
            </w:r>
            <w:r w:rsidRPr="00FE2D97">
              <w:t>, środki na zobowiązania i odpowiadające im środki na płatności zapisuje się w budżecie poza odpowiednimi pułapami WRF.</w:t>
            </w:r>
          </w:p>
        </w:tc>
      </w:tr>
      <w:tr w14:paraId="58508D3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093C98A" w14:textId="77777777">
            <w:pPr>
              <w:pStyle w:val="Normal6a"/>
              <w:rPr>
                <w:b/>
                <w:bCs/>
                <w:i/>
              </w:rPr>
            </w:pPr>
            <w:r w:rsidRPr="00FE2D97">
              <w:rPr>
                <w:b/>
                <w:i/>
              </w:rPr>
              <w:t>W przypadku gdy konieczne jest wykorzystanie zasobów jednolitego marginesu zgodnie z art. 7, środki na zobowiązania i odpowiadające im środki na płatności zapisuje się w budżecie poza odpowiednimi pułapami WRF na dany rok.</w:t>
            </w:r>
          </w:p>
        </w:tc>
        <w:tc>
          <w:tcPr>
            <w:tcW w:w="4876" w:type="dxa"/>
          </w:tcPr>
          <w:p w:rsidR="00251551" w:rsidRPr="00FE2D97" w:rsidP="00B1367C" w14:paraId="20A796CA" w14:textId="77777777">
            <w:pPr>
              <w:pStyle w:val="ManualNumPar1"/>
              <w:ind w:left="0" w:firstLine="0"/>
            </w:pPr>
          </w:p>
        </w:tc>
      </w:tr>
    </w:tbl>
    <w:p w:rsidR="00251551" w:rsidRPr="00FE2D97" w:rsidP="00251551" w14:paraId="2545410E" w14:textId="77777777"/>
    <w:p w:rsidR="00251551" w:rsidRPr="00FE2D97" w:rsidP="00251551" w14:paraId="6CDD8F0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5</w:t>
      </w:r>
    </w:p>
    <w:p w:rsidR="00251551" w:rsidRPr="00FE2D97" w:rsidP="00251551" w14:paraId="0AC4CA53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3A92906B" w14:textId="77777777">
      <w:r w:rsidRPr="00FE2D97">
        <w:t xml:space="preserve"> Rozdział 2 – artykuł 3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F41E58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23BB308A" w14:textId="77777777">
            <w:pPr>
              <w:keepNext/>
            </w:pPr>
          </w:p>
        </w:tc>
      </w:tr>
      <w:tr w14:paraId="1F1789A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E0FBCF1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CD05346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5E1847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508DB14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1FC9816F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Artykuł 3a</w:t>
            </w:r>
          </w:p>
          <w:p w:rsidR="00251551" w:rsidRPr="00FE2D97" w:rsidP="00B1367C" w14:paraId="107739C6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Łączny margines na płatności</w:t>
            </w:r>
          </w:p>
          <w:p w:rsidR="00251551" w:rsidRPr="00FE2D97" w:rsidP="00B1367C" w14:paraId="48F0081E" w14:textId="77777777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1.</w:t>
            </w:r>
            <w:r w:rsidRPr="00FE2D97">
              <w:rPr>
                <w:b/>
                <w:i/>
              </w:rPr>
              <w:tab/>
              <w:t>Co roku, począwszy od 2029 r., w ramach dostosowań technicznych, o których mowa w art. 4, Komisja dostosowuje pułap płatności na lata 2029–2034 w górę o kwotę równoważną różnicy między wykonanymi płatnościami a pułapem płatności WRF na rok n-1.</w:t>
            </w:r>
          </w:p>
          <w:p w:rsidR="00251551" w:rsidRPr="00FE2D97" w:rsidP="00B1367C" w14:paraId="3B7440AA" w14:textId="77777777">
            <w:pPr>
              <w:pStyle w:val="Normal6a"/>
              <w:rPr>
                <w:iCs/>
              </w:rPr>
            </w:pPr>
            <w:r w:rsidRPr="00FE2D97">
              <w:rPr>
                <w:b/>
                <w:i/>
              </w:rPr>
              <w:t>2.</w:t>
            </w:r>
            <w:r w:rsidRPr="00FE2D97">
              <w:rPr>
                <w:b/>
                <w:i/>
              </w:rPr>
              <w:tab/>
              <w:t>Dostosowania na podstawie ust. 1 w pełni kompensuje się odpowiadającym im obniżeniem pułapu płatności na rok n-1.</w:t>
            </w:r>
          </w:p>
        </w:tc>
      </w:tr>
    </w:tbl>
    <w:p w:rsidR="00251551" w:rsidRPr="00FE2D97" w:rsidP="00251551" w14:paraId="67A38060" w14:textId="77777777"/>
    <w:p w:rsidR="00251551" w:rsidRPr="00FE2D97" w:rsidP="00251551" w14:paraId="0680D718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6</w:t>
      </w:r>
    </w:p>
    <w:p w:rsidR="00251551" w:rsidRPr="00FE2D97" w:rsidP="00251551" w14:paraId="17C85CA2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7C966D11" w14:textId="77777777">
      <w:r w:rsidRPr="00FE2D97">
        <w:t xml:space="preserve"> Rozdział 2 – artykuł 4 – ustęp 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2E422F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1E32A8D" w14:textId="77777777">
            <w:pPr>
              <w:keepNext/>
            </w:pPr>
          </w:p>
        </w:tc>
      </w:tr>
      <w:tr w14:paraId="7CCFA61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51F0D7E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3555CA4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0F88F01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523A822" w14:textId="77777777">
            <w:pPr>
              <w:pStyle w:val="Normal6a"/>
            </w:pPr>
            <w:r w:rsidRPr="00FE2D97">
              <w:rPr>
                <w:b/>
                <w:i/>
              </w:rPr>
              <w:t xml:space="preserve">c) </w:t>
            </w:r>
            <w:r w:rsidRPr="00FE2D97">
              <w:rPr>
                <w:b/>
                <w:i/>
              </w:rPr>
              <w:tab/>
              <w:t>obliczenia łącznego marginesu na zobowiązania, o którym mowa w art. 7 ust. 1 lit. a);</w:t>
            </w:r>
          </w:p>
        </w:tc>
        <w:tc>
          <w:tcPr>
            <w:tcW w:w="4876" w:type="dxa"/>
          </w:tcPr>
          <w:p w:rsidR="00251551" w:rsidRPr="00FE2D97" w:rsidP="00B1367C" w14:paraId="03F600CA" w14:textId="77777777">
            <w:pPr>
              <w:pStyle w:val="Normal6a"/>
              <w:rPr>
                <w:iCs/>
              </w:rPr>
            </w:pPr>
            <w:r w:rsidRPr="00FE2D97">
              <w:rPr>
                <w:b/>
                <w:i/>
              </w:rPr>
              <w:t>skreśla się</w:t>
            </w:r>
          </w:p>
        </w:tc>
      </w:tr>
    </w:tbl>
    <w:p w:rsidR="00251551" w:rsidRPr="00FE2D97" w:rsidP="00251551" w14:paraId="136F90BA" w14:textId="77777777"/>
    <w:p w:rsidR="00251551" w:rsidRPr="00FE2D97" w:rsidP="00251551" w14:paraId="3A0FF867" w14:textId="77777777"/>
    <w:p w:rsidR="00251551" w:rsidRPr="00FE2D97" w:rsidP="00251551" w14:paraId="11B9502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7</w:t>
      </w:r>
    </w:p>
    <w:p w:rsidR="00251551" w:rsidRPr="00FE2D97" w:rsidP="00251551" w14:paraId="0D459023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40B754A0" w14:textId="77777777">
      <w:r w:rsidRPr="00FE2D97">
        <w:t xml:space="preserve"> Rozdział 2 – artykuł 4 – ustęp 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0CE737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43643A8" w14:textId="77777777">
            <w:pPr>
              <w:keepNext/>
            </w:pPr>
          </w:p>
        </w:tc>
      </w:tr>
      <w:tr w14:paraId="5C32835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2FE07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6C2047A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1C728F8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8E5F508" w14:textId="77777777">
            <w:pPr>
              <w:pStyle w:val="Normal6a"/>
            </w:pPr>
            <w:r w:rsidRPr="00FE2D97">
              <w:t>d)</w:t>
            </w:r>
            <w:r w:rsidRPr="00FE2D97">
              <w:tab/>
              <w:t xml:space="preserve">obliczenia dostosowania pułapu środków na płatności w ramach łącznego marginesu na płatności, o którym mowa w art. </w:t>
            </w:r>
            <w:r w:rsidRPr="00FE2D97">
              <w:rPr>
                <w:b/>
                <w:i/>
              </w:rPr>
              <w:t>7 ust. 1 lit. b)</w:t>
            </w:r>
            <w:r w:rsidRPr="00FE2D97">
              <w:t>;</w:t>
            </w:r>
          </w:p>
        </w:tc>
        <w:tc>
          <w:tcPr>
            <w:tcW w:w="4876" w:type="dxa"/>
          </w:tcPr>
          <w:p w:rsidR="00251551" w:rsidRPr="00FE2D97" w:rsidP="00B1367C" w14:paraId="48F5E582" w14:textId="77777777">
            <w:pPr>
              <w:pStyle w:val="Normal6a"/>
              <w:rPr>
                <w:iCs/>
              </w:rPr>
            </w:pPr>
            <w:r w:rsidRPr="00FE2D97">
              <w:t>d)</w:t>
            </w:r>
            <w:r w:rsidRPr="00FE2D97">
              <w:tab/>
              <w:t xml:space="preserve">obliczenia dostosowania pułapu środków na płatności w ramach łącznego marginesu na płatności, o którym mowa w art. </w:t>
            </w:r>
            <w:r w:rsidRPr="00FE2D97">
              <w:rPr>
                <w:b/>
                <w:bCs/>
                <w:i/>
                <w:iCs/>
              </w:rPr>
              <w:t>3a</w:t>
            </w:r>
            <w:r w:rsidRPr="00FE2D97">
              <w:t>;</w:t>
            </w:r>
          </w:p>
        </w:tc>
      </w:tr>
    </w:tbl>
    <w:p w:rsidR="00251551" w:rsidRPr="00FE2D97" w:rsidP="00251551" w14:paraId="71F83B8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8</w:t>
      </w:r>
    </w:p>
    <w:p w:rsidR="00251551" w:rsidRPr="00FE2D97" w:rsidP="00251551" w14:paraId="5B117B72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48B99B8E" w14:textId="77777777">
      <w:r w:rsidRPr="00FE2D97">
        <w:t xml:space="preserve"> Rozdział 2 – artykuł 4 – ustęp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EFFE6D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39179F2" w14:textId="77777777">
            <w:pPr>
              <w:keepNext/>
            </w:pPr>
          </w:p>
        </w:tc>
      </w:tr>
      <w:tr w14:paraId="6437CA8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A47D392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08C5F7B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ED6D29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624708" w14:textId="77777777">
            <w:pPr>
              <w:pStyle w:val="Normal6a"/>
            </w:pPr>
            <w:r w:rsidRPr="00FE2D97">
              <w:rPr>
                <w:b/>
                <w:i/>
              </w:rPr>
              <w:t>e)</w:t>
            </w:r>
            <w:r w:rsidRPr="00FE2D97">
              <w:rPr>
                <w:b/>
                <w:i/>
              </w:rPr>
              <w:tab/>
              <w:t>obliczenia maksymalnej kwoty marginesu na nieprzewidziane wydatki, o którym mowa w art. 7 ust. 1 lit. c);</w:t>
            </w:r>
          </w:p>
        </w:tc>
        <w:tc>
          <w:tcPr>
            <w:tcW w:w="4876" w:type="dxa"/>
          </w:tcPr>
          <w:p w:rsidR="00251551" w:rsidRPr="00FE2D97" w:rsidP="00B1367C" w14:paraId="144BE682" w14:textId="77777777">
            <w:pPr>
              <w:pStyle w:val="Normal6a"/>
              <w:rPr>
                <w:iCs/>
              </w:rPr>
            </w:pPr>
            <w:r w:rsidRPr="00FE2D97">
              <w:rPr>
                <w:b/>
                <w:i/>
              </w:rPr>
              <w:t>skreśla się</w:t>
            </w:r>
          </w:p>
        </w:tc>
      </w:tr>
    </w:tbl>
    <w:p w:rsidR="00251551" w:rsidRPr="00FE2D97" w:rsidP="00251551" w14:paraId="5259714C" w14:textId="77777777"/>
    <w:p w:rsidR="00251551" w:rsidRPr="00FE2D97" w:rsidP="00251551" w14:paraId="4C5C624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9</w:t>
      </w:r>
    </w:p>
    <w:p w:rsidR="00251551" w:rsidRPr="00FE2D97" w:rsidP="00251551" w14:paraId="0F330654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33867166" w14:textId="77777777">
      <w:r w:rsidRPr="00FE2D97">
        <w:t xml:space="preserve"> Rozdział 2 – artykuł 4 – ustęp 1- litera f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54CE2E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47B92853" w14:textId="77777777">
            <w:pPr>
              <w:keepNext/>
            </w:pPr>
          </w:p>
        </w:tc>
      </w:tr>
      <w:tr w14:paraId="7A74936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1AA71B9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52D96E98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643C6CD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5471275" w14:textId="77777777">
            <w:pPr>
              <w:pStyle w:val="Normal6a"/>
            </w:pPr>
            <w:r w:rsidRPr="00FE2D97">
              <w:t>f)</w:t>
            </w:r>
            <w:r w:rsidRPr="00FE2D97">
              <w:tab/>
              <w:t xml:space="preserve">obliczenia kwot, które mają zostać udostępnione na rzecz instrumentu elastyczności na podstawie art. 8 ust. 2 </w:t>
            </w:r>
            <w:r w:rsidRPr="00FE2D97">
              <w:rPr>
                <w:b/>
                <w:bCs/>
                <w:i/>
                <w:iCs/>
              </w:rPr>
              <w:t>akapit pierwszy lit. a) i b)</w:t>
            </w:r>
            <w:r w:rsidRPr="00FE2D97">
              <w:t>.</w:t>
            </w:r>
          </w:p>
        </w:tc>
        <w:tc>
          <w:tcPr>
            <w:tcW w:w="4876" w:type="dxa"/>
          </w:tcPr>
          <w:p w:rsidR="00251551" w:rsidRPr="00FE2D97" w:rsidP="00B1367C" w14:paraId="729BF615" w14:textId="77777777">
            <w:pPr>
              <w:pStyle w:val="Normal6a"/>
              <w:rPr>
                <w:iCs/>
              </w:rPr>
            </w:pPr>
            <w:r w:rsidRPr="00FE2D97">
              <w:t>f)</w:t>
            </w:r>
            <w:r w:rsidRPr="00FE2D97">
              <w:tab/>
              <w:t>obliczenia kwot, które mają zostać udostępnione na rzecz instrumentu elastyczności na podstawie art. 8 ust. 2;</w:t>
            </w:r>
          </w:p>
        </w:tc>
      </w:tr>
    </w:tbl>
    <w:p w:rsidR="00251551" w:rsidRPr="00FE2D97" w:rsidP="00251551" w14:paraId="7D27DBC0" w14:textId="77777777"/>
    <w:p w:rsidR="00251551" w:rsidRPr="00FE2D97" w:rsidP="00251551" w14:paraId="7D2653A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10</w:t>
      </w:r>
    </w:p>
    <w:p w:rsidR="00251551" w:rsidRPr="00FE2D97" w:rsidP="00251551" w14:paraId="426508A9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390A1C21" w14:textId="77777777">
      <w:pPr>
        <w:pStyle w:val="NormalBold"/>
      </w:pPr>
      <w:r w:rsidRPr="00FE2D97">
        <w:t>Rozdział 3 – artykuł 5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57E92E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3E5E492" w14:textId="77777777">
            <w:pPr>
              <w:keepNext/>
            </w:pPr>
          </w:p>
        </w:tc>
      </w:tr>
      <w:tr w14:paraId="42D1B8F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3D7586D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7682EA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68B549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2B0E952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57F39441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Artykuł 5a</w:t>
            </w:r>
          </w:p>
        </w:tc>
      </w:tr>
      <w:tr w14:paraId="25F8CEA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A37E5B7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6D74694E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Instrument EURI</w:t>
            </w:r>
          </w:p>
        </w:tc>
      </w:tr>
      <w:tr w14:paraId="4624149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51C6CC7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3E85EA28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1.</w:t>
            </w:r>
            <w:r w:rsidRPr="00FE2D97">
              <w:t xml:space="preserve"> </w:t>
            </w:r>
            <w:r w:rsidRPr="00FE2D97">
              <w:rPr>
                <w:b/>
                <w:i/>
              </w:rPr>
              <w:t xml:space="preserve">Instrument EURI uruchamia się w celu sfinansowania spłaty kwoty głównej i kosztów finansowania należnych w odniesieniu do środków finansowych pożyczonych na rynkach kapitałowych zgodnie z art. 5 ust. 2 decyzji (UE, </w:t>
            </w:r>
            <w:r w:rsidRPr="00FE2D97">
              <w:rPr>
                <w:b/>
                <w:i/>
              </w:rPr>
              <w:t>Euratom</w:t>
            </w:r>
            <w:r w:rsidRPr="00FE2D97">
              <w:rPr>
                <w:b/>
                <w:i/>
              </w:rPr>
              <w:t>) 2020/2053.</w:t>
            </w:r>
          </w:p>
          <w:p w:rsidR="00251551" w:rsidRPr="00FE2D97" w:rsidP="00B1367C" w14:paraId="3274CE88" w14:textId="77777777">
            <w:pPr>
              <w:pStyle w:val="Normal6a"/>
              <w:rPr>
                <w:szCs w:val="24"/>
              </w:rPr>
            </w:pPr>
          </w:p>
        </w:tc>
      </w:tr>
      <w:tr w14:paraId="21B1E31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137C9BC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0443376C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2.</w:t>
            </w:r>
            <w:r w:rsidRPr="00FE2D97">
              <w:t xml:space="preserve"> </w:t>
            </w:r>
            <w:r w:rsidRPr="00FE2D97">
              <w:rPr>
                <w:b/>
                <w:i/>
              </w:rPr>
              <w:t>Instrument EURI jest uruchamiany przez Parlament Europejski i Radę w ramach procedury budżetowej przewidzianej w art. 314 TFUE.</w:t>
            </w:r>
          </w:p>
        </w:tc>
      </w:tr>
    </w:tbl>
    <w:p w:rsidR="00251551" w:rsidRPr="00FE2D97" w:rsidP="00251551" w14:paraId="4062577A" w14:textId="77777777"/>
    <w:p w:rsidR="00251551" w:rsidRPr="00FE2D97" w:rsidP="00251551" w14:paraId="17C2C6E7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11</w:t>
      </w:r>
    </w:p>
    <w:p w:rsidR="00251551" w:rsidRPr="00FE2D97" w:rsidP="00251551" w14:paraId="26554EC2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31BB1CDA" w14:textId="77777777">
      <w:pPr>
        <w:pStyle w:val="NormalBold"/>
      </w:pPr>
      <w:r w:rsidRPr="00FE2D97">
        <w:t>Rozdział 3 – artykuł 6 – ustęp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FB99A2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724EAFC2" w14:textId="77777777">
            <w:pPr>
              <w:keepNext/>
            </w:pPr>
          </w:p>
        </w:tc>
      </w:tr>
      <w:tr w14:paraId="170592A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E5B29E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2A624534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4E2415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D85521" w14:textId="77777777">
            <w:pPr>
              <w:pStyle w:val="Normal6a"/>
            </w:pPr>
            <w:r w:rsidRPr="00FE2D97">
              <w:t>1. Rezerwa na rzecz Ukrainy może zostać uruchomiona wyłącznie w celu finansowania wydatków na rzecz Ukrainy na podstawie rozporządzenia (UE) [XXX/XX] [Globalny wymiar Europy].</w:t>
            </w:r>
          </w:p>
        </w:tc>
        <w:tc>
          <w:tcPr>
            <w:tcW w:w="4876" w:type="dxa"/>
          </w:tcPr>
          <w:p w:rsidR="00251551" w:rsidRPr="00FE2D97" w:rsidP="00B1367C" w14:paraId="4546B6DE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t>1. Rezerwa na rzecz Ukrainy może zostać uruchomiona wyłącznie w celu finansowania</w:t>
            </w:r>
            <w:r w:rsidRPr="00FE2D97">
              <w:rPr>
                <w:b/>
                <w:bCs/>
                <w:i/>
                <w:iCs/>
              </w:rPr>
              <w:t>:</w:t>
            </w:r>
          </w:p>
        </w:tc>
      </w:tr>
      <w:tr w14:paraId="7B416F3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6F230AD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044236EA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 xml:space="preserve">a) </w:t>
            </w:r>
            <w:r w:rsidRPr="00FE2D97">
              <w:t>wydatków na rzecz Ukrainy na podstawie rozporządzenia (UE) [XXX/XX] [Globalny wymiar Europy]</w:t>
            </w:r>
            <w:r w:rsidRPr="00FE2D97">
              <w:rPr>
                <w:b/>
                <w:bCs/>
                <w:i/>
                <w:iCs/>
              </w:rPr>
              <w:t>, a także wydatków na dotacje na spłatę odsetek i dotacje na pokrycie kosztów finansowania zewnętrznego na podstawie art. 23 i 34 rozporządzenia (UE) 2024/792 [Instrument na rzecz Ukrainy], art. 17 rozporządzenia (UE) 2022/2463 [MFA+], art. 6 decyzji (UE) 2022/1628 [MFA II] i art. 5 ust. 2 decyzji (UE) 2022/1201 [MFA I];</w:t>
            </w:r>
          </w:p>
        </w:tc>
      </w:tr>
      <w:tr w14:paraId="00464A7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854AABC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0326BDA6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 xml:space="preserve">b) </w:t>
            </w:r>
            <w:r w:rsidRPr="00FE2D97">
              <w:rPr>
                <w:b/>
                <w:bCs/>
                <w:i/>
                <w:iCs/>
              </w:rPr>
              <w:t xml:space="preserve">wydatków na podstawie art. 22 rozporządzenia (UE) 2026/467 </w:t>
            </w:r>
            <w:r w:rsidRPr="00FE2D97">
              <w:rPr>
                <w:b/>
                <w:bCs/>
                <w:i/>
                <w:iCs/>
              </w:rPr>
              <w:t>[rozporządzenie w sprawie pożyczki na potrzeby wsparcia Ukrainy]</w:t>
            </w:r>
            <w:r w:rsidRPr="00FE2D97">
              <w:t>.</w:t>
            </w:r>
          </w:p>
        </w:tc>
      </w:tr>
      <w:tr w14:paraId="30A7206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3A49EAA" w14:textId="77777777">
            <w:pPr>
              <w:pStyle w:val="Normal6a"/>
            </w:pPr>
            <w:r w:rsidRPr="00FE2D97">
              <w:t xml:space="preserve">2. W okresie 2028–2034 rezerwa na rzecz Ukrainy </w:t>
            </w:r>
            <w:r w:rsidRPr="00FE2D97">
              <w:rPr>
                <w:b/>
                <w:bCs/>
                <w:i/>
                <w:iCs/>
              </w:rPr>
              <w:t>nie może przekroczyć kwoty</w:t>
            </w:r>
            <w:r w:rsidRPr="00FE2D97">
              <w:t xml:space="preserve"> 88,9 mld EUR w cenach z 2025 r. Roczna kwota uruchomiona </w:t>
            </w:r>
            <w:r w:rsidRPr="00FE2D97">
              <w:rPr>
                <w:b/>
                <w:bCs/>
                <w:i/>
                <w:iCs/>
              </w:rPr>
              <w:t>w ramach Rezerwy na rzecz Ukrainy</w:t>
            </w:r>
            <w:r w:rsidRPr="00FE2D97">
              <w:t xml:space="preserve"> w danym roku nie może przekroczyć 13,5 mld EUR w cenach z 2025 r. Niewykorzystaną część rocznej kwoty z danego roku można wykorzystać w kolejnych latach budżetowych, do roku 2034 r.</w:t>
            </w:r>
          </w:p>
          <w:p w:rsidR="00251551" w:rsidRPr="00FE2D97" w:rsidP="00B1367C" w14:paraId="7D67B6E4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0EE0424A" w14:textId="77777777">
            <w:pPr>
              <w:pStyle w:val="Normal6a"/>
              <w:rPr>
                <w:b/>
                <w:bCs/>
                <w:i/>
                <w:iCs/>
              </w:rPr>
            </w:pPr>
          </w:p>
          <w:p w:rsidR="00251551" w:rsidRPr="00FE2D97" w:rsidP="00B1367C" w14:paraId="4C5BD54B" w14:textId="77777777">
            <w:pPr>
              <w:pStyle w:val="Normal6a"/>
            </w:pPr>
            <w:r w:rsidRPr="00FE2D97">
              <w:t xml:space="preserve">2. W okresie 2028–2034 rezerwa na rzecz Ukrainy </w:t>
            </w:r>
            <w:r w:rsidRPr="00FE2D97">
              <w:rPr>
                <w:b/>
                <w:bCs/>
                <w:i/>
                <w:iCs/>
              </w:rPr>
              <w:t>obejmuje kwotę nieprzekraczającą</w:t>
            </w:r>
            <w:r w:rsidRPr="00FE2D97">
              <w:t xml:space="preserve"> 88,9 mld EUR w cenach z 2025 r.</w:t>
            </w:r>
            <w:r w:rsidRPr="00FE2D97">
              <w:rPr>
                <w:b/>
                <w:bCs/>
                <w:i/>
                <w:iCs/>
              </w:rPr>
              <w:t>, wyłącznie na wydatki, o których mowa w akapicie pierwszym lit. a)</w:t>
            </w:r>
            <w:r w:rsidRPr="00FE2D97">
              <w:t>.</w:t>
            </w:r>
            <w:r w:rsidRPr="00FE2D97">
              <w:rPr>
                <w:b/>
                <w:i/>
              </w:rPr>
              <w:t> </w:t>
            </w:r>
            <w:r w:rsidRPr="00FE2D97">
              <w:t>Roczna kwota uruchomiona w danym roku nie może przekroczyć 13,5 mld EUR w cenach z 2025 r. Niewykorzystaną część rocznej kwoty z danego roku można wykorzystać w kolejnych latach budżetowych, do roku 2034 r.</w:t>
            </w:r>
          </w:p>
          <w:p w:rsidR="00251551" w:rsidRPr="00FE2D97" w:rsidP="00B1367C" w14:paraId="7A1271DD" w14:textId="77777777">
            <w:pPr>
              <w:pStyle w:val="Normal6a"/>
              <w:rPr>
                <w:szCs w:val="24"/>
              </w:rPr>
            </w:pPr>
          </w:p>
        </w:tc>
      </w:tr>
      <w:tr w14:paraId="1D99C8E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692BF4D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16C1A313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3. Ponadto Rezerwa na rzecz Ukrainy obejmuje również kwotę 26,2 mld EUR w cenach z 2025 r. na lata 2028–2034, wyłącznie na wydatki, o których mowa w akapicie pierwszym lit. b). Jeżeli pozostałe dostępne środki w danym roku będą niewystarczające do pokrycia dotacji na pokrycie kosztów finansowania zewnętrznego, o którą Ukraina wystąpiła na podstawie art. 22 rozporządzenia (UE) 2026/467 [rozporządzenie w sprawie pożyczki na potrzeby wsparcia Ukrainy], dodatkowe wkłady uczestniczących państw członkowskich na podstawie tego samego rozporządzenia (UE) 2026/467 [rozporządzenie w sprawie pożyczki na potrzeby wsparcia Ukrainy] przydziela się w formie zewnętrznych dochodów przeznaczonych na określony cel.</w:t>
            </w:r>
          </w:p>
        </w:tc>
      </w:tr>
      <w:tr w14:paraId="13D4038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FBDE857" w14:textId="77777777">
            <w:pPr>
              <w:pStyle w:val="Normal6a"/>
            </w:pPr>
            <w:r w:rsidRPr="00FE2D97">
              <w:rPr>
                <w:b/>
                <w:i/>
              </w:rPr>
              <w:t>3.</w:t>
            </w:r>
            <w:r w:rsidRPr="00FE2D97">
              <w:t xml:space="preserve"> Rezerwa na rzecz Ukrainy może zostać uruchomiona przez Parlament Europejski i Radę w ramach procedury budżetowej przewidzianej w art. 314 TFUE.</w:t>
            </w:r>
          </w:p>
        </w:tc>
        <w:tc>
          <w:tcPr>
            <w:tcW w:w="4876" w:type="dxa"/>
          </w:tcPr>
          <w:p w:rsidR="00251551" w:rsidRPr="00FE2D97" w:rsidP="00B1367C" w14:paraId="23872CF2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 xml:space="preserve">4. </w:t>
            </w:r>
            <w:r w:rsidRPr="00FE2D97">
              <w:t>Rezerwa na rzecz Ukrainy może zostać uruchomiona przez Parlament Europejski i Radę w ramach procedury budżetowej przewidzianej w art. 314 TFUE.</w:t>
            </w:r>
          </w:p>
        </w:tc>
      </w:tr>
    </w:tbl>
    <w:p w:rsidR="00251551" w:rsidRPr="00FE2D97" w:rsidP="00251551" w14:paraId="47971932" w14:textId="77777777"/>
    <w:p w:rsidR="00251551" w:rsidRPr="00FE2D97" w:rsidP="00251551" w14:paraId="0AAE68E3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12</w:t>
      </w:r>
    </w:p>
    <w:p w:rsidR="00251551" w:rsidRPr="00FE2D97" w:rsidP="00251551" w14:paraId="5FFA7825" w14:textId="77777777">
      <w:pPr>
        <w:pStyle w:val="NormalBold12b"/>
        <w:keepNext/>
      </w:pPr>
      <w:r w:rsidRPr="00FE2D97">
        <w:t xml:space="preserve"> Wniosek dotyczący rozporządzenia</w:t>
      </w:r>
    </w:p>
    <w:p w:rsidR="00251551" w:rsidRPr="00FE2D97" w:rsidP="00251551" w14:paraId="26E01FAD" w14:textId="77777777">
      <w:pPr>
        <w:pStyle w:val="NormalBold"/>
        <w:rPr>
          <w:rStyle w:val="HideTWBExt"/>
        </w:rPr>
      </w:pPr>
      <w:r w:rsidRPr="00FE2D97">
        <w:t xml:space="preserve"> Rozdział 3 – artykuł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2A86E3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7F2BE977" w14:textId="77777777">
            <w:pPr>
              <w:keepNext/>
            </w:pPr>
          </w:p>
        </w:tc>
      </w:tr>
      <w:tr w14:paraId="170446B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2993B14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6B7C34D9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120719C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A19CB40" w14:textId="77777777">
            <w:pPr>
              <w:pStyle w:val="AmColumnHeading"/>
              <w:widowControl w:val="0"/>
              <w:rPr>
                <w:b/>
                <w:bCs/>
              </w:rPr>
            </w:pPr>
            <w:r w:rsidRPr="00FE2D97">
              <w:rPr>
                <w:b/>
              </w:rPr>
              <w:t>Artykuł 7</w:t>
            </w:r>
          </w:p>
          <w:p w:rsidR="00251551" w:rsidRPr="00FE2D97" w:rsidP="00B1367C" w14:paraId="6A9717E3" w14:textId="77777777">
            <w:pPr>
              <w:pStyle w:val="AmColumnHeading"/>
              <w:widowControl w:val="0"/>
              <w:rPr>
                <w:b/>
                <w:bCs/>
              </w:rPr>
            </w:pPr>
            <w:r w:rsidRPr="00FE2D97">
              <w:rPr>
                <w:b/>
              </w:rPr>
              <w:t>Jednolity margines</w:t>
            </w:r>
          </w:p>
          <w:p w:rsidR="00251551" w:rsidRPr="00FE2D97" w:rsidP="00B1367C" w14:paraId="417C3DCD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1.</w:t>
            </w:r>
            <w:r w:rsidRPr="00FE2D97">
              <w:rPr>
                <w:b/>
              </w:rPr>
              <w:tab/>
              <w:t>Jednolity margines obejmuje:</w:t>
            </w:r>
          </w:p>
          <w:p w:rsidR="00251551" w:rsidRPr="00FE2D97" w:rsidP="00B1367C" w14:paraId="565BAF3F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a)</w:t>
            </w:r>
            <w:r w:rsidRPr="00FE2D97">
              <w:rPr>
                <w:b/>
              </w:rPr>
              <w:tab/>
              <w:t>począwszy od 2029 r. – kwoty odpowiadające marginesom, które są nadal dostępne poniżej pułapów WRF dla środków na zobowiązania w roku n-1 i które mają zostać udostępnione poza pułapami WRF dla środków na zobowiązania na lata 2029–2034 („łączny margines na zobowiązania”);</w:t>
            </w:r>
          </w:p>
          <w:p w:rsidR="00251551" w:rsidRPr="00FE2D97" w:rsidP="00B1367C" w14:paraId="165EF28F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b)</w:t>
            </w:r>
            <w:r w:rsidRPr="00FE2D97">
              <w:rPr>
                <w:b/>
              </w:rPr>
              <w:tab/>
              <w:t xml:space="preserve">począwszy od 2029 r. – kwoty równoważne różnicy między wykonanymi płatnościami a pułapem płatności WRF na rok n-1 w celu dostosowania w górę pułapu płatności na lata 2029–2034 („łączny margines na płatności”); </w:t>
            </w:r>
          </w:p>
          <w:p w:rsidR="00251551" w:rsidRPr="00FE2D97" w:rsidP="00B1367C" w14:paraId="538C164A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c)</w:t>
            </w:r>
            <w:r w:rsidRPr="00FE2D97">
              <w:rPr>
                <w:b/>
              </w:rPr>
              <w:tab/>
              <w:t>jako instrument do wykorzystania w ostateczności – dodatkowe kwoty, które mogą zostać udostępnione poza pułapami WRF w danym roku dla środków na zobowiązania lub środków na płatności, lub dla obu tych rodzajów środków, w zależności od przypadku, pod warunkiem że będą one w pełni kompensowane: w odniesieniu do środków na zobowiązania – w marginesach jednego lub większej liczby działów WRF na bieżący rok budżetowy lub przyszłe lata budżetowe, oraz w odniesieniu do środków na płatności – w marginesach w ramach pułapu płatności na przyszłe lata budżetowe („margines na nieprzewidziane wydatki”).</w:t>
            </w:r>
          </w:p>
          <w:p w:rsidR="00251551" w:rsidRPr="00FE2D97" w:rsidP="00B1367C" w14:paraId="403FF384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2.</w:t>
            </w:r>
            <w:r w:rsidRPr="00FE2D97">
              <w:rPr>
                <w:b/>
              </w:rPr>
              <w:tab/>
              <w:t>Łączny margines na zobowiązania może zostać uruchomiony przez Parlament Europejski i Radę w ramach procedury budżetowej przewidzianej w art. 314 TFUE.</w:t>
            </w:r>
          </w:p>
          <w:p w:rsidR="00251551" w:rsidRPr="00FE2D97" w:rsidP="00B1367C" w14:paraId="706DF899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3.</w:t>
            </w:r>
            <w:r w:rsidRPr="00FE2D97">
              <w:rPr>
                <w:b/>
              </w:rPr>
              <w:tab/>
              <w:t xml:space="preserve">Dostosowań w górę, w ramach łącznego marginesu na płatności, </w:t>
            </w:r>
            <w:r w:rsidRPr="00FE2D97">
              <w:rPr>
                <w:b/>
              </w:rPr>
              <w:t>dokonuje Komisja począwszy od 2029 r. w ramach dostosowania technicznego, o którym mowa w art. 4.</w:t>
            </w:r>
          </w:p>
          <w:p w:rsidR="00251551" w:rsidRPr="00FE2D97" w:rsidP="00B1367C" w14:paraId="45E70A21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Wszelkie dostosowania w górę w ramach łącznego marginesu na płatności w pełni kompensuje się odpowiadającym im obniżeniem pułapu płatności na rok n-1.</w:t>
            </w:r>
          </w:p>
          <w:p w:rsidR="00251551" w:rsidRPr="00FE2D97" w:rsidP="00B1367C" w14:paraId="4B7C7A44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4.</w:t>
            </w:r>
            <w:r w:rsidRPr="00FE2D97">
              <w:rPr>
                <w:b/>
              </w:rPr>
              <w:tab/>
              <w:t>Margines na nieprzewidziane wydatki może zostać uruchomiony przez Parlament Europejski i Radę w ramach procedury budżetowej przewidzianej w art. 314 TFUE jako instrument do wykorzystania w ostateczności, w celu reagowania na nieprzewidziane okoliczności.</w:t>
            </w:r>
          </w:p>
          <w:p w:rsidR="00251551" w:rsidRPr="00FE2D97" w:rsidP="00B1367C" w14:paraId="016B5A39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Kwoty mogą być uruchamiane na podstawie marginesu na nieprzewidziane wydatki jedynie wtedy, gdy kwoty dostępne na podstawie ust. 1 lit. a) i b), stosownie do przypadku, są niewystarczające.</w:t>
            </w:r>
          </w:p>
          <w:p w:rsidR="00251551" w:rsidRPr="00FE2D97" w:rsidP="00B1367C" w14:paraId="0E70F62E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 xml:space="preserve">Margines na nieprzewidziane wydatki nie może przekraczać, w żadnym danym roku, 0,04 % dochodu narodowego brutto Unii, obliczonego w ramach rocznego dostosowania technicznego, o którym mowa w art. 4. </w:t>
            </w:r>
          </w:p>
          <w:p w:rsidR="00251551" w:rsidRPr="00FE2D97" w:rsidP="00B1367C" w14:paraId="1EA10267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Kwot kompensowanych nie uruchamia się w kontekście WRF.</w:t>
            </w:r>
          </w:p>
          <w:p w:rsidR="00251551" w:rsidRPr="00FE2D97" w:rsidP="00B1367C" w14:paraId="21E5F788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5.</w:t>
            </w:r>
            <w:r w:rsidRPr="00FE2D97">
              <w:rPr>
                <w:b/>
              </w:rPr>
              <w:tab/>
              <w:t>Wykorzystanie jednolitego marginesu w każdym danym roku musi być zgodne z pułapami zasobów własnych określonymi w decyzji w sprawie zasobów własnych</w:t>
            </w:r>
            <w:r w:rsidRPr="00FE2D97">
              <w:rPr>
                <w:i w:val="0"/>
              </w:rPr>
              <w:t>.</w:t>
            </w:r>
          </w:p>
        </w:tc>
        <w:tc>
          <w:tcPr>
            <w:tcW w:w="4876" w:type="dxa"/>
          </w:tcPr>
          <w:p w:rsidR="00251551" w:rsidRPr="00FE2D97" w:rsidP="00B1367C" w14:paraId="0E55F0E4" w14:textId="77777777">
            <w:pPr>
              <w:pStyle w:val="AmColumnHeading"/>
              <w:jc w:val="left"/>
              <w:rPr>
                <w:b/>
                <w:bCs/>
                <w:iCs/>
                <w:szCs w:val="24"/>
              </w:rPr>
            </w:pPr>
            <w:r w:rsidRPr="00FE2D97">
              <w:rPr>
                <w:b/>
              </w:rPr>
              <w:t>skreśla się</w:t>
            </w:r>
          </w:p>
        </w:tc>
      </w:tr>
    </w:tbl>
    <w:p w:rsidR="00251551" w:rsidRPr="00FE2D97" w:rsidP="00251551" w14:paraId="3575D428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13</w:t>
      </w:r>
    </w:p>
    <w:p w:rsidR="00251551" w:rsidRPr="00FE2D97" w:rsidP="00251551" w14:paraId="0458DC56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60098A49" w14:textId="77777777">
      <w:pPr>
        <w:pStyle w:val="NormalBold"/>
      </w:pPr>
      <w:r w:rsidRPr="00FE2D97">
        <w:t>Rozdział 3 – artykuł 8 – ustęp 2 – litera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3DDCE4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690AF174" w14:textId="77777777">
            <w:pPr>
              <w:keepNext/>
            </w:pPr>
          </w:p>
        </w:tc>
      </w:tr>
      <w:tr w14:paraId="63917EE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F402DAC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6C25072F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1F364D9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FBE1BE3" w14:textId="77777777">
            <w:pPr>
              <w:pStyle w:val="Normal6a"/>
            </w:pPr>
            <w:r w:rsidRPr="00FE2D97">
              <w:t>b)</w:t>
            </w:r>
            <w:r w:rsidRPr="00FE2D97">
              <w:tab/>
              <w:t xml:space="preserve">kwotę odpowiadającą umorzeniom środków innych niż zewnętrzne dochody przeznaczone na określony cel, dokonanym w roku n-2, z wyłączeniem kwot umorzeń </w:t>
            </w:r>
            <w:r w:rsidRPr="00FE2D97">
              <w:t xml:space="preserve">ponownie udostępnionych zgodnie z przepisami szczegółowymi dotyczącymi ponownego udostępniania środków, o którym mowa w art. 15 rozporządzenia (UE, </w:t>
            </w:r>
            <w:r w:rsidRPr="00FE2D97">
              <w:t>Euratom</w:t>
            </w:r>
            <w:r w:rsidRPr="00FE2D97">
              <w:t xml:space="preserve">) 2024/2509 </w:t>
            </w:r>
            <w:r w:rsidRPr="00FE2D97">
              <w:rPr>
                <w:b/>
                <w:bCs/>
                <w:i/>
                <w:iCs/>
              </w:rPr>
              <w:t xml:space="preserve">oraz </w:t>
            </w:r>
            <w:r w:rsidRPr="00FE2D97">
              <w:t>w rozporządzeniu [(UE) XXXX/XX] [Funduszu Partnerstwa Krajowego i Regionalnego].</w:t>
            </w:r>
          </w:p>
        </w:tc>
        <w:tc>
          <w:tcPr>
            <w:tcW w:w="4876" w:type="dxa"/>
          </w:tcPr>
          <w:p w:rsidR="00251551" w:rsidRPr="00FE2D97" w:rsidP="00B1367C" w14:paraId="1B40C79B" w14:textId="77777777">
            <w:pPr>
              <w:pStyle w:val="Normal6a"/>
              <w:rPr>
                <w:szCs w:val="24"/>
              </w:rPr>
            </w:pPr>
            <w:r w:rsidRPr="00FE2D97">
              <w:t>b)</w:t>
            </w:r>
            <w:r w:rsidRPr="00FE2D97">
              <w:tab/>
              <w:t xml:space="preserve">kwotę odpowiadającą umorzeniom środków innych niż zewnętrzne dochody przeznaczone na określony cel, dokonanym w roku n-2, z wyłączeniem kwot umorzeń </w:t>
            </w:r>
            <w:r w:rsidRPr="00FE2D97">
              <w:t xml:space="preserve">ponownie udostępnionych zgodnie z przepisami szczegółowymi dotyczącymi ponownego udostępniania środków, o którym mowa w art. 15 rozporządzenia (UE, </w:t>
            </w:r>
            <w:r w:rsidRPr="00FE2D97">
              <w:t>Euratom</w:t>
            </w:r>
            <w:r w:rsidRPr="00FE2D97">
              <w:t>) 2024/2509</w:t>
            </w:r>
            <w:r w:rsidRPr="00FE2D97">
              <w:rPr>
                <w:b/>
                <w:bCs/>
                <w:i/>
                <w:iCs/>
              </w:rPr>
              <w:t>,</w:t>
            </w:r>
            <w:r w:rsidRPr="00FE2D97">
              <w:t xml:space="preserve"> w rozporządzeniu [(UE) XXXX/XX] [Funduszu Partnerstwa Krajowego i Regionalnego]</w:t>
            </w:r>
            <w:r w:rsidRPr="00FE2D97">
              <w:rPr>
                <w:b/>
                <w:bCs/>
                <w:i/>
                <w:iCs/>
              </w:rPr>
              <w:t xml:space="preserve"> oraz w rozporządzeniu [(UE) XXXX/XX] [„Globalny wymiar Europy”]</w:t>
            </w:r>
            <w:r w:rsidRPr="00FE2D97">
              <w:t>.</w:t>
            </w:r>
          </w:p>
        </w:tc>
      </w:tr>
    </w:tbl>
    <w:p w:rsidR="00251551" w:rsidRPr="00FE2D97" w:rsidP="00251551" w14:paraId="014C64BE" w14:textId="77777777"/>
    <w:p w:rsidR="00251551" w:rsidRPr="00FE2D97" w:rsidP="00251551" w14:paraId="6AC1854B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14</w:t>
      </w:r>
    </w:p>
    <w:p w:rsidR="00251551" w:rsidRPr="00FE2D97" w:rsidP="00251551" w14:paraId="1D2377E6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74BB75D6" w14:textId="77777777">
      <w:pPr>
        <w:pStyle w:val="NormalBold"/>
      </w:pPr>
      <w:r w:rsidRPr="00FE2D97">
        <w:t xml:space="preserve"> Rozdział 3 – artykuł 8 – ustęp 2 – litera b a (nowa)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0D746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6A4974A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251551" w:rsidRPr="00FE2D97" w:rsidP="00B1367C" w14:paraId="034CD82A" w14:textId="77777777">
            <w:pPr>
              <w:pStyle w:val="AmColumnHeading"/>
              <w:keepNext/>
              <w:spacing w:after="0"/>
            </w:pPr>
          </w:p>
        </w:tc>
      </w:tr>
      <w:tr w14:paraId="335C2F4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D37BFFB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ECCD6E1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2670FA4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28ECA2D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</w:p>
          <w:p w:rsidR="00251551" w:rsidRPr="00FE2D97" w:rsidP="00B1367C" w14:paraId="6AEF0533" w14:textId="77777777">
            <w:pPr>
              <w:pStyle w:val="AmColumnHeading"/>
              <w:widowControl w:val="0"/>
              <w:spacing w:after="360"/>
              <w:jc w:val="left"/>
            </w:pPr>
          </w:p>
        </w:tc>
        <w:tc>
          <w:tcPr>
            <w:tcW w:w="4876" w:type="dxa"/>
          </w:tcPr>
          <w:p w:rsidR="00251551" w:rsidRPr="00FE2D97" w:rsidP="00B1367C" w14:paraId="6EA7623F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ba)</w:t>
            </w:r>
            <w:r w:rsidRPr="00FE2D97">
              <w:rPr>
                <w:b/>
              </w:rPr>
              <w:tab/>
              <w:t xml:space="preserve">kwotę odpowiadającą marginesom, które są nadal dostępne poniżej pułapów WRF dla środków na zobowiązania z poprzednich lat budżetowych; </w:t>
            </w:r>
          </w:p>
        </w:tc>
      </w:tr>
    </w:tbl>
    <w:p w:rsidR="00251551" w:rsidRPr="00FE2D97" w:rsidP="00251551" w14:paraId="573F6012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15</w:t>
      </w:r>
    </w:p>
    <w:p w:rsidR="00251551" w:rsidRPr="00FE2D97" w:rsidP="00251551" w14:paraId="3555754C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2A81A786" w14:textId="77777777">
      <w:pPr>
        <w:pStyle w:val="NormalBold"/>
      </w:pPr>
      <w:r w:rsidRPr="00FE2D97">
        <w:t xml:space="preserve"> Rozdział 3 – artykuł 8 – ustęp 2 – litera b </w:t>
      </w:r>
      <w:r w:rsidRPr="00FE2D97">
        <w:t>b</w:t>
      </w:r>
      <w:r w:rsidRPr="00FE2D97">
        <w:t xml:space="preserve"> (nowa)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310EDC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047B06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251551" w:rsidRPr="00FE2D97" w:rsidP="00B1367C" w14:paraId="05F069A1" w14:textId="77777777">
            <w:pPr>
              <w:pStyle w:val="AmColumnHeading"/>
              <w:keepNext/>
              <w:spacing w:after="0"/>
            </w:pPr>
          </w:p>
        </w:tc>
      </w:tr>
      <w:tr w14:paraId="3430422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B7FA0AB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A43C02D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45F058E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A66E122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251551" w:rsidRPr="00FE2D97" w:rsidP="00B1367C" w14:paraId="17D79EB6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bb</w:t>
            </w:r>
            <w:r w:rsidRPr="00FE2D97">
              <w:rPr>
                <w:b/>
              </w:rPr>
              <w:t>)</w:t>
            </w:r>
            <w:r w:rsidRPr="00FE2D97">
              <w:rPr>
                <w:b/>
              </w:rPr>
              <w:tab/>
              <w:t>w przypadku wystąpienia nadwyżki w roku n-1 – kwotę równoważną tej nadwyżce, z wyłączeniem dochodów, o których mowa w lit. a).</w:t>
            </w:r>
          </w:p>
        </w:tc>
      </w:tr>
    </w:tbl>
    <w:p w:rsidR="00251551" w:rsidRPr="00FE2D97" w:rsidP="00251551" w14:paraId="30904767" w14:textId="77777777"/>
    <w:p w:rsidR="00251551" w:rsidRPr="00FE2D97" w:rsidP="00251551" w14:paraId="2A1002F3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16</w:t>
      </w:r>
    </w:p>
    <w:p w:rsidR="00251551" w:rsidRPr="00FE2D97" w:rsidP="00251551" w14:paraId="434DF786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211DA1F4" w14:textId="77777777">
      <w:pPr>
        <w:pStyle w:val="NormalBold"/>
      </w:pPr>
      <w:r w:rsidRPr="00FE2D97">
        <w:t xml:space="preserve"> Rozdział 3 – artykuł 8 – ustęp 2 – akapit 1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FB4CEB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8DAD20E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251551" w:rsidRPr="00FE2D97" w:rsidP="00B1367C" w14:paraId="4DB91058" w14:textId="77777777">
            <w:pPr>
              <w:pStyle w:val="AmColumnHeading"/>
              <w:keepNext/>
              <w:spacing w:after="0"/>
            </w:pPr>
          </w:p>
        </w:tc>
      </w:tr>
      <w:tr w14:paraId="005DD6A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66B3F02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B5D2B95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5A0074F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AFFE716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251551" w:rsidRPr="00FE2D97" w:rsidP="00B1367C" w14:paraId="3650EF7E" w14:textId="77777777">
            <w:pPr>
              <w:pStyle w:val="AmColumnHeading"/>
              <w:widowControl w:val="0"/>
              <w:jc w:val="left"/>
            </w:pPr>
            <w:r w:rsidRPr="00FE2D97">
              <w:rPr>
                <w:b/>
              </w:rPr>
              <w:t xml:space="preserve">W razie potrzeby i w ostateczności Parlament Europejski i Rada mogą zwiększyć kwotę, o której mowa w akapicie pierwszym, o kwotę nieprzekraczającą w danym roku 0,04 % dochodu narodowego brutto Unii, obliczonego w ramach dostosowania technicznego, o którym mowa w art. 4, i w pełni kompensowaną w marginesie środków na zobowiązania lub środków na płatności – lub w obu tych marginesach – co najmniej jednego działu WRF na bieżący rok budżetowy lub przyszłe lata budżetowe. Kwoty kompensowane w ten sposób nie mogą być dalej uruchamiane w kontekście WRF i muszą być zgodne z pułapem zasobów własnych. </w:t>
            </w:r>
          </w:p>
        </w:tc>
      </w:tr>
    </w:tbl>
    <w:p w:rsidR="00251551" w:rsidRPr="00FE2D97" w:rsidP="00251551" w14:paraId="5E94DAEF" w14:textId="77777777"/>
    <w:p w:rsidR="00251551" w:rsidRPr="00FE2D97" w:rsidP="00251551" w14:paraId="0F9FF88A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17</w:t>
      </w:r>
    </w:p>
    <w:p w:rsidR="00251551" w:rsidRPr="00FE2D97" w:rsidP="00251551" w14:paraId="070E8753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536A2FAD" w14:textId="77777777">
      <w:pPr>
        <w:pStyle w:val="NormalBold"/>
      </w:pPr>
      <w:r w:rsidRPr="00FE2D97">
        <w:t xml:space="preserve"> Rozdział 3 – artykuł 8 – ustęp 2 – akapit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48D4F9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BB3E65A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251551" w:rsidRPr="00FE2D97" w:rsidP="00B1367C" w14:paraId="2F98D0C1" w14:textId="77777777">
            <w:pPr>
              <w:pStyle w:val="AmColumnHeading"/>
              <w:keepNext/>
              <w:spacing w:after="0"/>
            </w:pPr>
          </w:p>
        </w:tc>
      </w:tr>
      <w:tr w14:paraId="57DBE82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C32EE4F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8ED04C0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3D56DFF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A65248A" w14:textId="77777777">
            <w:pPr>
              <w:pStyle w:val="AmColumnHeading"/>
              <w:keepNext/>
              <w:jc w:val="left"/>
            </w:pPr>
            <w:r w:rsidRPr="00FE2D97">
              <w:rPr>
                <w:i w:val="0"/>
              </w:rPr>
              <w:t xml:space="preserve">Co roku, w ramach dostosowań technicznych, o których mowa w art. 4, Komisja oblicza kwoty dostępne na podstawie akapitu pierwszego </w:t>
            </w:r>
            <w:r w:rsidRPr="00FE2D97">
              <w:rPr>
                <w:b/>
              </w:rPr>
              <w:t>lit. a)</w:t>
            </w:r>
            <w:r w:rsidRPr="00FE2D97">
              <w:rPr>
                <w:i w:val="0"/>
              </w:rPr>
              <w:t xml:space="preserve"> i </w:t>
            </w:r>
            <w:r w:rsidRPr="00FE2D97">
              <w:rPr>
                <w:b/>
              </w:rPr>
              <w:t>b)</w:t>
            </w:r>
            <w:r w:rsidRPr="00FE2D97">
              <w:rPr>
                <w:i w:val="0"/>
              </w:rPr>
              <w:t xml:space="preserve"> niniejszego ustępu.</w:t>
            </w:r>
          </w:p>
        </w:tc>
        <w:tc>
          <w:tcPr>
            <w:tcW w:w="4876" w:type="dxa"/>
          </w:tcPr>
          <w:p w:rsidR="00251551" w:rsidRPr="00FE2D97" w:rsidP="00B1367C" w14:paraId="053780DA" w14:textId="77777777">
            <w:pPr>
              <w:pStyle w:val="Normal6a"/>
              <w:rPr>
                <w:szCs w:val="24"/>
              </w:rPr>
            </w:pPr>
            <w:r w:rsidRPr="00FE2D97">
              <w:t xml:space="preserve">Co roku, w ramach dostosowań technicznych, o których mowa w art. 4, Komisja oblicza kwoty dostępne na podstawie akapitu pierwszego i </w:t>
            </w:r>
            <w:r w:rsidRPr="00FE2D97">
              <w:rPr>
                <w:b/>
                <w:i/>
              </w:rPr>
              <w:t>drugiego</w:t>
            </w:r>
            <w:r w:rsidRPr="00FE2D97">
              <w:t xml:space="preserve"> niniejszego ustępu.</w:t>
            </w:r>
          </w:p>
        </w:tc>
      </w:tr>
    </w:tbl>
    <w:p w:rsidR="00251551" w:rsidRPr="00FE2D97" w:rsidP="00251551" w14:paraId="48DA1BF5" w14:textId="77777777"/>
    <w:p w:rsidR="00251551" w:rsidRPr="00FE2D97" w:rsidP="00251551" w14:paraId="726F660F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18</w:t>
      </w:r>
    </w:p>
    <w:p w:rsidR="00251551" w:rsidRPr="00FE2D97" w:rsidP="00251551" w14:paraId="36AB4868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64059A77" w14:textId="77777777">
      <w:pPr>
        <w:pStyle w:val="NormalBold"/>
      </w:pPr>
      <w:r w:rsidRPr="00FE2D97">
        <w:t xml:space="preserve"> Rozdział 3 – artykuł 8 a (nowy) </w:t>
      </w:r>
    </w:p>
    <w:p w:rsidR="00251551" w:rsidRPr="00FE2D97" w:rsidP="00251551" w14:paraId="4603BB85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21E516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83DB390" w14:textId="77777777">
            <w:pPr>
              <w:keepNext/>
            </w:pPr>
          </w:p>
        </w:tc>
      </w:tr>
      <w:tr w14:paraId="3A3F8CA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0260888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E2205A6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3A46374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3035987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228E63BD" w14:textId="77777777">
            <w:pPr>
              <w:pStyle w:val="AmColumnHeading"/>
              <w:rPr>
                <w:b/>
                <w:bCs/>
                <w:iCs/>
              </w:rPr>
            </w:pPr>
            <w:r w:rsidRPr="00FE2D97">
              <w:rPr>
                <w:b/>
              </w:rPr>
              <w:t>Artykuł 8a</w:t>
            </w:r>
          </w:p>
          <w:p w:rsidR="00251551" w:rsidRPr="00FE2D97" w:rsidP="00B1367C" w14:paraId="4B951F61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Rezerwa solidarnościowa na wypadek klęsk żywiołowych</w:t>
            </w:r>
          </w:p>
          <w:p w:rsidR="00251551" w:rsidRPr="00FE2D97" w:rsidP="00B1367C" w14:paraId="32E19E49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  <w:i w:val="0"/>
              </w:rPr>
              <w:t>1.</w:t>
            </w:r>
            <w:r w:rsidRPr="00FE2D97">
              <w:rPr>
                <w:b/>
                <w:i w:val="0"/>
              </w:rPr>
              <w:tab/>
            </w:r>
            <w:r w:rsidRPr="00FE2D97">
              <w:rPr>
                <w:b/>
              </w:rPr>
              <w:t xml:space="preserve">Rezerwa solidarnościowa na wypadek klęsk żywiołowych może zostać wykorzystana w ostateczności do sfinansowania działań mających na celu zaspokojenie konkretnych potrzeb w Unii w ramach działań w sytuacjach wyjątkowych i operacji w zakresie wsparcia w następstwie bezpośrednich szkód spowodowanych bezpośrednio przez klęskę żywiołową. </w:t>
            </w:r>
          </w:p>
          <w:p w:rsidR="00251551" w:rsidRPr="00FE2D97" w:rsidP="00B1367C" w14:paraId="14822C64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  <w:i w:val="0"/>
              </w:rPr>
              <w:t>2.</w:t>
            </w:r>
            <w:r w:rsidRPr="00FE2D97">
              <w:rPr>
                <w:b/>
                <w:i w:val="0"/>
              </w:rPr>
              <w:tab/>
            </w:r>
            <w:r w:rsidRPr="00FE2D97">
              <w:rPr>
                <w:b/>
              </w:rPr>
              <w:t xml:space="preserve">Rezerwa solidarnościowa na wypadek klęsk żywiołowych nie może przekraczać maksymalnej rocznej kwoty 4 mld EUR (w cenach z 2025 r.). Każda część rocznej kwoty, która nie została wykorzystana w roku n, może zostać wykorzystana w kolejnych latach do 2034 r. </w:t>
            </w:r>
          </w:p>
          <w:p w:rsidR="00251551" w:rsidRPr="00FE2D97" w:rsidP="00B1367C" w14:paraId="60EDB1F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1 października każdego roku co najmniej jedna czwarta rocznej kwoty rezerwy solidarnościowej na wypadek klęsk żywiołowych pozostaje dostępna na zaspokojenie potrzeb, które mogą powstać do końca tego roku.</w:t>
            </w:r>
          </w:p>
          <w:p w:rsidR="00251551" w:rsidRPr="00FE2D97" w:rsidP="00B1367C" w14:paraId="19D084E8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W wyjątkowych przypadkach i jeżeli pozostałe dostępne zasoby finansowe nie są wystarczające, aby pokryć kwoty uznane za niezbędne w roku wystąpienia zdarzenia, o którym mowa w ust. 1, Komisja może zaproponować, aby różnica została sfinansowana z kwoty rocznej, o której mowa w ust. 2, dostępnej w roku następnym, do maksymalnej kwoty 1 mld EUR (w cenach z 2025 r.).</w:t>
            </w:r>
          </w:p>
          <w:p w:rsidR="00251551" w:rsidRPr="00FE2D97" w:rsidP="00B1367C" w14:paraId="6F8772A6" w14:textId="77777777">
            <w:pPr>
              <w:pStyle w:val="Normal6a"/>
              <w:rPr>
                <w:szCs w:val="24"/>
              </w:rPr>
            </w:pPr>
            <w:r w:rsidRPr="00FE2D97">
              <w:rPr>
                <w:b/>
                <w:i/>
              </w:rPr>
              <w:t>3.</w:t>
            </w:r>
            <w:r w:rsidRPr="00FE2D97">
              <w:rPr>
                <w:b/>
                <w:i/>
              </w:rPr>
              <w:tab/>
              <w:t>Środki na rezerwę solidarnościową na wypadek klęsk żywiołowych zapisuje się w budżecie ogólnym Unii jako środki rezerwowe.</w:t>
            </w:r>
          </w:p>
        </w:tc>
      </w:tr>
    </w:tbl>
    <w:p w:rsidR="00251551" w:rsidRPr="00FE2D97" w:rsidP="00251551" w14:paraId="32C27049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19</w:t>
      </w:r>
    </w:p>
    <w:p w:rsidR="00251551" w:rsidRPr="00FE2D97" w:rsidP="00251551" w14:paraId="685A78C8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71D88FCF" w14:textId="77777777">
      <w:pPr>
        <w:pStyle w:val="NormalBold"/>
      </w:pPr>
      <w:r w:rsidRPr="00FE2D97">
        <w:t xml:space="preserve"> Rozdział 4 – artykuł 9 – nagłówek</w:t>
      </w:r>
    </w:p>
    <w:p w:rsidR="00251551" w:rsidRPr="00FE2D97" w:rsidP="00251551" w14:paraId="1C11DB68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7BB8D0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741AEB23" w14:textId="77777777">
            <w:pPr>
              <w:keepNext/>
            </w:pPr>
          </w:p>
        </w:tc>
      </w:tr>
      <w:tr w14:paraId="73623F5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11F4F4C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2931B7BB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6F54F56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B252A70" w14:textId="77777777">
            <w:pPr>
              <w:pStyle w:val="Normal6a"/>
              <w:jc w:val="center"/>
              <w:rPr>
                <w:i/>
              </w:rPr>
            </w:pPr>
            <w:r w:rsidRPr="00FE2D97">
              <w:rPr>
                <w:b/>
                <w:i/>
              </w:rPr>
              <w:t>Rewizja WRF w celu zapewnienia zgodności z pułapem zasobów własnych</w:t>
            </w:r>
          </w:p>
        </w:tc>
        <w:tc>
          <w:tcPr>
            <w:tcW w:w="4876" w:type="dxa"/>
          </w:tcPr>
          <w:p w:rsidR="00251551" w:rsidRPr="00FE2D97" w:rsidP="00B1367C" w14:paraId="7BD9D889" w14:textId="77777777">
            <w:pPr>
              <w:pStyle w:val="AmColumnHeading"/>
              <w:rPr>
                <w:b/>
                <w:bCs/>
                <w:iCs/>
              </w:rPr>
            </w:pPr>
            <w:r w:rsidRPr="00FE2D97">
              <w:rPr>
                <w:b/>
              </w:rPr>
              <w:t xml:space="preserve">Śródokresowy przegląd WRF </w:t>
            </w:r>
          </w:p>
        </w:tc>
      </w:tr>
    </w:tbl>
    <w:p w:rsidR="00251551" w:rsidRPr="00FE2D97" w:rsidP="00251551" w14:paraId="29577784" w14:textId="77777777"/>
    <w:p w:rsidR="00251551" w:rsidRPr="00FE2D97" w:rsidP="00251551" w14:paraId="1B90C99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20</w:t>
      </w:r>
    </w:p>
    <w:p w:rsidR="00251551" w:rsidRPr="00FE2D97" w:rsidP="00251551" w14:paraId="1C934A87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599EE340" w14:textId="77777777">
      <w:pPr>
        <w:pStyle w:val="NormalBold"/>
      </w:pPr>
      <w:r w:rsidRPr="00FE2D97">
        <w:t xml:space="preserve"> Rozdział 4 – artykuł 9 – ustęp 1 a (nowy)</w:t>
      </w:r>
    </w:p>
    <w:p w:rsidR="00251551" w:rsidRPr="00FE2D97" w:rsidP="00251551" w14:paraId="3F80EFA8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B5488E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076DEF7" w14:textId="77777777">
            <w:pPr>
              <w:keepNext/>
            </w:pPr>
          </w:p>
        </w:tc>
      </w:tr>
      <w:tr w14:paraId="7920FBC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5146087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29C802D2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4182F40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1687BDB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2064439F" w14:textId="77777777">
            <w:pPr>
              <w:pStyle w:val="AmColumnHeading"/>
              <w:jc w:val="left"/>
            </w:pPr>
            <w:r w:rsidRPr="00FE2D97">
              <w:rPr>
                <w:b/>
              </w:rPr>
              <w:t>1a.</w:t>
            </w:r>
            <w:r w:rsidRPr="00FE2D97">
              <w:rPr>
                <w:b/>
              </w:rPr>
              <w:tab/>
              <w:t>Najpóźniej do dnia 31 lipca 2031 r. Komisja przedstawi przegląd funkcjonowania WRF. W stosownych przypadkach temu obowiązkowemu przeglądowi towarzyszy wniosek ustawodawczy dotyczący zmiany niniejszego rozporządzenia. Pule środków finansowych wcześniej przydzielone poszczególnym krajom zgodnie z rozporządzeniem XXXX/2027 [w sprawie PPKR] nie mogą zostać w drodze takiej rewizji zmniejszone.</w:t>
            </w:r>
          </w:p>
        </w:tc>
      </w:tr>
    </w:tbl>
    <w:p w:rsidR="00251551" w:rsidRPr="00FE2D97" w:rsidP="00251551" w14:paraId="57D921B3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21</w:t>
      </w:r>
    </w:p>
    <w:p w:rsidR="00251551" w:rsidRPr="00FE2D97" w:rsidP="00251551" w14:paraId="3FEEAE23" w14:textId="77777777">
      <w:pPr>
        <w:pStyle w:val="NormalBold12b"/>
        <w:keepNext/>
      </w:pPr>
      <w:r w:rsidRPr="00FE2D97">
        <w:t>Wniosek dotyczący rozporządzenia</w:t>
      </w:r>
    </w:p>
    <w:p w:rsidR="00251551" w:rsidRPr="00FE2D97" w:rsidP="00251551" w14:paraId="429B53F3" w14:textId="77777777">
      <w:pPr>
        <w:pStyle w:val="NormalBold"/>
      </w:pPr>
      <w:r w:rsidRPr="00FE2D97">
        <w:t xml:space="preserve"> Rozdział 5 – artykuł 13 </w:t>
      </w:r>
    </w:p>
    <w:p w:rsidR="00251551" w:rsidRPr="00FE2D97" w:rsidP="00251551" w14:paraId="5BF065F2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D1542F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083D87F" w14:textId="77777777">
            <w:pPr>
              <w:keepNext/>
            </w:pPr>
          </w:p>
        </w:tc>
      </w:tr>
      <w:tr w14:paraId="726D1F3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3B72532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641AC7BA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>Zmiana</w:t>
            </w:r>
          </w:p>
        </w:tc>
      </w:tr>
      <w:tr w14:paraId="6903823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F541384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 xml:space="preserve">Do dnia 1 lipca </w:t>
            </w:r>
            <w:r w:rsidRPr="00FE2D97">
              <w:rPr>
                <w:b/>
              </w:rPr>
              <w:t>2033</w:t>
            </w:r>
            <w:r w:rsidRPr="00FE2D97">
              <w:rPr>
                <w:i w:val="0"/>
              </w:rPr>
              <w:t> r. Komisja przedstawi wniosek w sprawie nowych wieloletnich ram finansowych.</w:t>
            </w:r>
          </w:p>
        </w:tc>
        <w:tc>
          <w:tcPr>
            <w:tcW w:w="4876" w:type="dxa"/>
          </w:tcPr>
          <w:p w:rsidR="00251551" w:rsidRPr="00FE2D97" w:rsidP="00B1367C" w14:paraId="377D9D2C" w14:textId="77777777">
            <w:pPr>
              <w:pStyle w:val="Normal6a"/>
              <w:rPr>
                <w:szCs w:val="24"/>
              </w:rPr>
            </w:pPr>
            <w:r w:rsidRPr="00FE2D97">
              <w:t xml:space="preserve">Do dnia 1 lipca </w:t>
            </w:r>
            <w:r w:rsidRPr="00FE2D97">
              <w:rPr>
                <w:b/>
                <w:i/>
              </w:rPr>
              <w:t>2032</w:t>
            </w:r>
            <w:r w:rsidRPr="00FE2D97">
              <w:t> r. Komisja przedstawi wniosek w sprawie nowych wieloletnich ram finansowych.</w:t>
            </w:r>
          </w:p>
        </w:tc>
      </w:tr>
    </w:tbl>
    <w:p w:rsidR="00251551" w:rsidRPr="00FE2D97" w:rsidP="00251551" w14:paraId="46A85585" w14:textId="77777777">
      <w:pPr>
        <w:rPr>
          <w:b/>
          <w:bCs/>
        </w:rPr>
      </w:pPr>
    </w:p>
    <w:p w:rsidR="00251551" w:rsidRPr="00FE2D97" w:rsidP="00251551" w14:paraId="42E5B6B8" w14:textId="77777777">
      <w:pPr>
        <w:pStyle w:val="NormalHanging12a"/>
      </w:pPr>
    </w:p>
    <w:p w:rsidR="00251551" w:rsidRPr="00FE2D97" w:rsidP="00251551" w14:paraId="019F7DCD" w14:textId="77777777">
      <w:pPr>
        <w:ind w:left="360" w:hanging="360"/>
        <w:rPr>
          <w:b/>
          <w:bCs/>
          <w:u w:val="single"/>
        </w:rPr>
      </w:pPr>
      <w:r w:rsidRPr="00FE2D97">
        <w:rPr>
          <w:b/>
          <w:i/>
        </w:rPr>
        <w:t>Poprawki do porozumienia międzyinstytucjonalnego</w:t>
      </w:r>
    </w:p>
    <w:p w:rsidR="00251551" w:rsidRPr="00FE2D97" w:rsidP="00251551" w14:paraId="5EA9C37D" w14:textId="77777777"/>
    <w:p w:rsidR="00251551" w:rsidRPr="00FE2D97" w:rsidP="00251551" w14:paraId="31BD7E16" w14:textId="77777777">
      <w:pPr>
        <w:ind w:left="720" w:hanging="720"/>
        <w:jc w:val="both"/>
      </w:pPr>
      <w:r w:rsidRPr="00FE2D97">
        <w:t>129.</w:t>
      </w:r>
      <w:r w:rsidRPr="00FE2D97">
        <w:tab/>
        <w:t>podkreśla, że w wyniku negocjacji i przyjęcia nowego rozporządzenia w sprawie WRF we wniosku dotyczącym Porozumienia międzyinstytucjonalnego między Parlamentem Europejskim, Radą i Komisją w zakresie współpracy w kwestiach budżetowych i należytego zarządzania finansami należy wprowadzić następujące zmiany:</w:t>
      </w:r>
    </w:p>
    <w:p w:rsidR="00251551" w:rsidRPr="00FE2D97" w:rsidP="00251551" w14:paraId="4D9AD19B" w14:textId="77777777"/>
    <w:p w:rsidR="00251551" w:rsidRPr="00FE2D97" w:rsidP="00251551" w14:paraId="47680951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22</w:t>
      </w:r>
    </w:p>
    <w:p w:rsidR="00251551" w:rsidRPr="00FE2D97" w:rsidP="00251551" w14:paraId="7D3A3260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3CAB97CB" w14:textId="77777777">
      <w:pPr>
        <w:pStyle w:val="NormalBold"/>
        <w:rPr>
          <w:rStyle w:val="HideTWBExt"/>
        </w:rPr>
      </w:pPr>
      <w:r w:rsidRPr="00FE2D97">
        <w:t xml:space="preserve"> Tytuł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EF4FBA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DEB1799" w14:textId="77777777">
            <w:pPr>
              <w:keepNext/>
            </w:pPr>
          </w:p>
        </w:tc>
      </w:tr>
      <w:tr w14:paraId="79C14EE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7683DC4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7516763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5D1D9C8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7FBEB2D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>POROZUMIENIE MIĘDZYINSTYTUCJONALNE</w:t>
            </w:r>
          </w:p>
          <w:p w:rsidR="00251551" w:rsidRPr="00FE2D97" w:rsidP="00B1367C" w14:paraId="6679E44D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 xml:space="preserve">między Parlamentem Europejskim, Radą Unii Europejskiej i Komisją Europejską w sprawie </w:t>
            </w:r>
            <w:r w:rsidRPr="00FE2D97">
              <w:rPr>
                <w:b/>
              </w:rPr>
              <w:t>dyscypliny budżetowej,</w:t>
            </w:r>
            <w:r w:rsidRPr="00FE2D97">
              <w:rPr>
                <w:i w:val="0"/>
              </w:rPr>
              <w:t xml:space="preserve"> współpracy w kwestiach budżetowych i należytego zarządzania finansami</w:t>
            </w:r>
          </w:p>
        </w:tc>
        <w:tc>
          <w:tcPr>
            <w:tcW w:w="4876" w:type="dxa"/>
          </w:tcPr>
          <w:p w:rsidR="00251551" w:rsidRPr="00FE2D97" w:rsidP="00B1367C" w14:paraId="6D385EB2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>POROZUMIENIE MIĘDZYINSTYTUCJONALNE</w:t>
            </w:r>
          </w:p>
          <w:p w:rsidR="00251551" w:rsidRPr="00FE2D97" w:rsidP="00B1367C" w14:paraId="2695D51E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>między Parlamentem Europejskim, Radą Unii Europejskiej i Komisją Europejską w sprawie współpracy w kwestiach budżetowych i należytego zarządzania finansami</w:t>
            </w:r>
          </w:p>
        </w:tc>
      </w:tr>
    </w:tbl>
    <w:p w:rsidR="00251551" w:rsidRPr="00FE2D97" w:rsidP="00251551" w14:paraId="540A4BC5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23</w:t>
      </w:r>
    </w:p>
    <w:p w:rsidR="00251551" w:rsidRPr="00FE2D97" w:rsidP="00251551" w14:paraId="2A0999E9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4D625536" w14:textId="77777777">
      <w:pPr>
        <w:pStyle w:val="NormalBold"/>
        <w:rPr>
          <w:rStyle w:val="HideTWBExt"/>
        </w:rPr>
      </w:pPr>
      <w:r w:rsidRPr="00FE2D97">
        <w:t xml:space="preserve"> Motyw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5F3C777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06BE317" w14:textId="77777777">
            <w:pPr>
              <w:keepNext/>
            </w:pPr>
          </w:p>
        </w:tc>
      </w:tr>
      <w:tr w14:paraId="6AA2F72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437FF78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73504CE6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618EAD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8EFBCA1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>1.</w:t>
            </w:r>
            <w:r w:rsidRPr="00FE2D97">
              <w:rPr>
                <w:i w:val="0"/>
              </w:rPr>
              <w:tab/>
              <w:t>Celem niniejszego porozumienia, przyjętego zgodnie z art. 295 Traktatu o funkcjonowaniu Unii Europejskiej (TFUE) jest</w:t>
            </w:r>
            <w:r w:rsidRPr="00FE2D97">
              <w:rPr>
                <w:b/>
              </w:rPr>
              <w:t xml:space="preserve"> wdrożenie dyscypliny budżetowej oraz</w:t>
            </w:r>
            <w:r w:rsidRPr="00FE2D97">
              <w:rPr>
                <w:i w:val="0"/>
              </w:rPr>
              <w:t xml:space="preserve"> poprawa funkcjonowania corocznej procedury budżetowej i współpracy między instytucjami w kwestiach budżetowych, jak również zapewnienie należytego zarządzania finansami.</w:t>
            </w:r>
          </w:p>
        </w:tc>
        <w:tc>
          <w:tcPr>
            <w:tcW w:w="4876" w:type="dxa"/>
          </w:tcPr>
          <w:p w:rsidR="00251551" w:rsidRPr="00FE2D97" w:rsidP="00B1367C" w14:paraId="702427D4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>1.</w:t>
            </w:r>
            <w:r w:rsidRPr="00FE2D97">
              <w:rPr>
                <w:i w:val="0"/>
              </w:rPr>
              <w:tab/>
              <w:t>Celem niniejszego porozumienia, przyjętego zgodnie z art. 295 Traktatu o funkcjonowaniu Unii Europejskiej (TFUE)</w:t>
            </w:r>
            <w:r w:rsidRPr="00FE2D97">
              <w:rPr>
                <w:b/>
              </w:rPr>
              <w:t>,</w:t>
            </w:r>
            <w:r w:rsidRPr="00FE2D97">
              <w:rPr>
                <w:i w:val="0"/>
              </w:rPr>
              <w:t xml:space="preserve"> jest poprawa funkcjonowania corocznej procedury budżetowej i współpracy między instytucjami w kwestiach budżetowych, jak również zapewnienie należytego zarządzania finansami.</w:t>
            </w:r>
          </w:p>
        </w:tc>
      </w:tr>
    </w:tbl>
    <w:p w:rsidR="00251551" w:rsidRPr="00FE2D97" w:rsidP="00251551" w14:paraId="74F56F66" w14:textId="77777777"/>
    <w:p w:rsidR="00251551" w:rsidRPr="00FE2D97" w:rsidP="00251551" w14:paraId="06BF9897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24</w:t>
      </w:r>
    </w:p>
    <w:p w:rsidR="00251551" w:rsidRPr="00FE2D97" w:rsidP="00251551" w14:paraId="7F4D8822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5C6C71CB" w14:textId="77777777">
      <w:pPr>
        <w:pStyle w:val="NormalBold12b"/>
        <w:keepNext/>
        <w:spacing w:before="0"/>
      </w:pPr>
      <w:r w:rsidRPr="00FE2D97">
        <w:t xml:space="preserve"> Część I</w:t>
      </w:r>
    </w:p>
    <w:p w:rsidR="00251551" w:rsidRPr="00FE2D97" w:rsidP="00251551" w14:paraId="475652E2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Sekcja A – punkt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897CA3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5B695A5" w14:textId="77777777">
            <w:pPr>
              <w:keepNext/>
            </w:pPr>
          </w:p>
        </w:tc>
      </w:tr>
      <w:tr w14:paraId="26799D8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2354957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614B72A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2DAF804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29BF984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>7.</w:t>
            </w:r>
            <w:r w:rsidRPr="00FE2D97">
              <w:rPr>
                <w:i w:val="0"/>
              </w:rPr>
              <w:tab/>
              <w:t xml:space="preserve">Zgodnie z art. 312 ust. 5 TFUE instytucje podejmują wszelkie środki niezbędne do ułatwienia przyjęcia nowych WRF lub ich rewizji, zgodnie ze specjalną procedurą ustawodawczą, o której mowa w art. 312 ust. 2 TFUE. Takie środki </w:t>
            </w:r>
            <w:r w:rsidRPr="00FE2D97">
              <w:rPr>
                <w:b/>
              </w:rPr>
              <w:t>będą obejmować</w:t>
            </w:r>
            <w:r w:rsidRPr="00FE2D97">
              <w:rPr>
                <w:i w:val="0"/>
              </w:rPr>
              <w:t xml:space="preserve"> regularne spotkania i wymianę </w:t>
            </w:r>
            <w:r w:rsidRPr="00FE2D97">
              <w:rPr>
                <w:i w:val="0"/>
              </w:rPr>
              <w:t xml:space="preserve">informacji między Parlamentem Europejskim </w:t>
            </w:r>
            <w:r w:rsidRPr="00FE2D97">
              <w:rPr>
                <w:b/>
              </w:rPr>
              <w:t>i</w:t>
            </w:r>
            <w:r w:rsidRPr="00FE2D97">
              <w:rPr>
                <w:i w:val="0"/>
              </w:rPr>
              <w:t> Radą</w:t>
            </w:r>
            <w:r w:rsidRPr="00FE2D97">
              <w:rPr>
                <w:b/>
              </w:rPr>
              <w:t>, oraz,</w:t>
            </w:r>
            <w:r w:rsidRPr="00FE2D97">
              <w:rPr>
                <w:i w:val="0"/>
              </w:rPr>
              <w:t xml:space="preserve"> z inicjatywy Komisji, spotkania przewodniczących instytucji, jak określono w art. 324 TFUE, w celu popierania uzgodnień i zbliżania stanowisk instytucji. W przypadku przedstawienia wniosku w sprawie nowych WRF lub w sprawie ich istotnej rewizji</w:t>
            </w:r>
            <w:r w:rsidRPr="00FE2D97">
              <w:rPr>
                <w:b/>
              </w:rPr>
              <w:t>,</w:t>
            </w:r>
            <w:r w:rsidRPr="00FE2D97">
              <w:rPr>
                <w:i w:val="0"/>
              </w:rPr>
              <w:t xml:space="preserve"> instytucje </w:t>
            </w:r>
            <w:r w:rsidRPr="00FE2D97">
              <w:rPr>
                <w:b/>
              </w:rPr>
              <w:t>będą dążyć</w:t>
            </w:r>
            <w:r w:rsidRPr="00FE2D97">
              <w:rPr>
                <w:i w:val="0"/>
              </w:rPr>
              <w:t xml:space="preserve"> do dokonania szczegółowych ustaleń dotyczących ich współpracy i dialogu podczas całej procedury prowadzącej do jego przyjęcia</w:t>
            </w:r>
            <w:r w:rsidRPr="00FE2D97">
              <w:t>.</w:t>
            </w:r>
          </w:p>
        </w:tc>
        <w:tc>
          <w:tcPr>
            <w:tcW w:w="4876" w:type="dxa"/>
          </w:tcPr>
          <w:p w:rsidR="00251551" w:rsidRPr="00FE2D97" w:rsidP="00B1367C" w14:paraId="54BFF167" w14:textId="77777777">
            <w:pPr>
              <w:pStyle w:val="AmColumnHeading"/>
              <w:keepNext/>
              <w:jc w:val="left"/>
            </w:pPr>
            <w:r w:rsidRPr="00FE2D97">
              <w:rPr>
                <w:i w:val="0"/>
              </w:rPr>
              <w:t>7.</w:t>
            </w:r>
            <w:r w:rsidRPr="00FE2D97">
              <w:tab/>
            </w:r>
            <w:r w:rsidRPr="00FE2D97">
              <w:rPr>
                <w:i w:val="0"/>
              </w:rPr>
              <w:t xml:space="preserve">Zgodnie z art. 312 ust. 5 TFUE instytucje podejmują wszelkie środki niezbędne do ułatwienia przyjęcia nowych WRF lub ich rewizji, zgodnie ze specjalną procedurą ustawodawczą, o której mowa </w:t>
            </w:r>
            <w:r w:rsidRPr="00FE2D97">
              <w:rPr>
                <w:i w:val="0"/>
              </w:rPr>
              <w:t xml:space="preserve">w art. 312 ust. 2 TFUE. Takie środki </w:t>
            </w:r>
            <w:r w:rsidRPr="00FE2D97">
              <w:rPr>
                <w:b/>
              </w:rPr>
              <w:t>obejmują:</w:t>
            </w:r>
          </w:p>
          <w:p w:rsidR="00251551" w:rsidRPr="00FE2D97" w:rsidP="00B1367C" w14:paraId="629CDBF3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a)</w:t>
            </w:r>
            <w:r w:rsidRPr="00FE2D97">
              <w:rPr>
                <w:b/>
              </w:rPr>
              <w:tab/>
            </w:r>
            <w:r w:rsidRPr="00FE2D97">
              <w:rPr>
                <w:i w:val="0"/>
              </w:rPr>
              <w:t>regularne spotkania i wymianę informacji między Parlamentem Europejskim</w:t>
            </w:r>
            <w:r w:rsidRPr="00FE2D97">
              <w:rPr>
                <w:b/>
              </w:rPr>
              <w:t>,</w:t>
            </w:r>
            <w:r w:rsidRPr="00FE2D97">
              <w:rPr>
                <w:i w:val="0"/>
              </w:rPr>
              <w:t xml:space="preserve"> Radą </w:t>
            </w:r>
            <w:r w:rsidRPr="00FE2D97">
              <w:rPr>
                <w:b/>
              </w:rPr>
              <w:t>i Komisją na szczeblu politycznym i technicznym w trakcie całego procesu, w tym obecność przedstawicieli Parlamentu Europejskiego na formalnych i nieformalnych posiedzeniach Rady do Spraw Ogólnych, na których omawiane są WRF;</w:t>
            </w:r>
          </w:p>
          <w:p w:rsidR="00251551" w:rsidRPr="00FE2D97" w:rsidP="00B1367C" w14:paraId="36AEE9D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b)</w:t>
            </w:r>
            <w:r w:rsidRPr="00FE2D97">
              <w:rPr>
                <w:b/>
              </w:rPr>
              <w:tab/>
            </w:r>
            <w:r w:rsidRPr="00FE2D97">
              <w:rPr>
                <w:i w:val="0"/>
              </w:rPr>
              <w:t>z inicjatywy Komisji</w:t>
            </w:r>
            <w:r w:rsidRPr="00FE2D97">
              <w:rPr>
                <w:b/>
                <w:bCs/>
                <w:iCs/>
              </w:rPr>
              <w:t>, w tym na wniosek Parlamentu Europejskiego lub Rady,</w:t>
            </w:r>
            <w:r w:rsidRPr="00FE2D97">
              <w:rPr>
                <w:i w:val="0"/>
              </w:rPr>
              <w:t xml:space="preserve"> spotkania przewodniczących instytucji, jak określono w art. 324 TFUE, w celu popierania uzgodnień i zbliżania stanowisk instytucji</w:t>
            </w:r>
            <w:r w:rsidRPr="00FE2D97">
              <w:rPr>
                <w:b/>
                <w:bCs/>
                <w:iCs/>
              </w:rPr>
              <w:t>;</w:t>
            </w:r>
          </w:p>
          <w:p w:rsidR="00251551" w:rsidRPr="00FE2D97" w:rsidP="00B1367C" w14:paraId="6F4CF06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c)</w:t>
            </w:r>
            <w:r w:rsidRPr="00FE2D97">
              <w:rPr>
                <w:b/>
              </w:rPr>
              <w:tab/>
              <w:t>przekazywanie przez Komisję aktualnych danych i informacji, w tym na wniosek Parlamentu Europejskiego lub Rady, oraz organizowanie briefingów technicznych dla obu instytucji;</w:t>
            </w:r>
          </w:p>
          <w:p w:rsidR="00251551" w:rsidRPr="00FE2D97" w:rsidP="00B1367C" w14:paraId="75AECA4C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d)</w:t>
            </w:r>
            <w:r w:rsidRPr="00FE2D97">
              <w:rPr>
                <w:b/>
              </w:rPr>
              <w:tab/>
              <w:t>negocjacje trójstronne.</w:t>
            </w:r>
          </w:p>
          <w:p w:rsidR="00251551" w:rsidRPr="00FE2D97" w:rsidP="00B1367C" w14:paraId="4D93B8A0" w14:textId="77777777">
            <w:pPr>
              <w:pStyle w:val="AmColumnHeading"/>
              <w:keepNext/>
              <w:jc w:val="left"/>
            </w:pPr>
            <w:r w:rsidRPr="00FE2D97">
              <w:rPr>
                <w:i w:val="0"/>
              </w:rPr>
              <w:t xml:space="preserve">W przypadku przedstawienia wniosku w sprawie nowych WRF lub w sprawie ich istotnej rewizji instytucje </w:t>
            </w:r>
            <w:r w:rsidRPr="00FE2D97">
              <w:rPr>
                <w:b/>
              </w:rPr>
              <w:t>dążą</w:t>
            </w:r>
            <w:r w:rsidRPr="00FE2D97">
              <w:rPr>
                <w:i w:val="0"/>
              </w:rPr>
              <w:t xml:space="preserve"> do dokonania szczegółowych ustaleń dotyczących ich współpracy i dialogu podczas całej procedury prowadzącej do jego przyjęcia </w:t>
            </w:r>
            <w:r w:rsidRPr="00FE2D97">
              <w:rPr>
                <w:b/>
              </w:rPr>
              <w:t>na podstawie harmonogramu zaproponowanego przez Komisję, w tym w szczególności środków określonych w akapicie pierwszym</w:t>
            </w:r>
            <w:r w:rsidRPr="00FE2D97">
              <w:t>.</w:t>
            </w:r>
          </w:p>
          <w:p w:rsidR="00251551" w:rsidRPr="00FE2D97" w:rsidP="00B1367C" w14:paraId="371EA51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W przypadku opóźnień w harmonogramie, o którym mowa w akapicie drugim, stwarzających ryzyko, że rozporządzenie Rady określające nowe ramy finansowe nie zostanie przyjęte przed wygaśnięciem poprzednich ram finansowych, Komisja przedstawia Parlamentowi Europejskiemu i Radzie plan awaryjny.</w:t>
            </w:r>
          </w:p>
        </w:tc>
      </w:tr>
    </w:tbl>
    <w:p w:rsidR="00251551" w:rsidRPr="00FE2D97" w:rsidP="00251551" w14:paraId="40D9DEDE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25</w:t>
      </w:r>
    </w:p>
    <w:p w:rsidR="00251551" w:rsidRPr="00FE2D97" w:rsidP="00251551" w14:paraId="0147BCC6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3821AE67" w14:textId="77777777">
      <w:pPr>
        <w:pStyle w:val="NormalBold12b"/>
        <w:keepNext/>
        <w:spacing w:before="0"/>
      </w:pPr>
      <w:r w:rsidRPr="00FE2D97">
        <w:t xml:space="preserve"> Część I </w:t>
      </w:r>
    </w:p>
    <w:p w:rsidR="00251551" w:rsidRPr="00FE2D97" w:rsidP="00251551" w14:paraId="7F2C8147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B – punkt 9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91B291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6968809E" w14:textId="77777777">
            <w:pPr>
              <w:keepNext/>
            </w:pPr>
          </w:p>
        </w:tc>
      </w:tr>
      <w:tr w14:paraId="2760A37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204C66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C3B3B5A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160866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16B0549" w14:textId="77777777">
            <w:pPr>
              <w:pStyle w:val="AmColumnHeading"/>
              <w:keepNext/>
              <w:rPr>
                <w:b/>
                <w:bCs/>
              </w:rPr>
            </w:pPr>
            <w:r w:rsidRPr="00FE2D97">
              <w:t xml:space="preserve"> </w:t>
            </w:r>
            <w:r w:rsidRPr="00FE2D97">
              <w:rPr>
                <w:b/>
              </w:rPr>
              <w:t>Jednolity margines</w:t>
            </w:r>
          </w:p>
          <w:p w:rsidR="00251551" w:rsidRPr="00FE2D97" w:rsidP="00B1367C" w14:paraId="41B69630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>9.</w:t>
            </w:r>
            <w:r w:rsidRPr="00FE2D97">
              <w:rPr>
                <w:b/>
              </w:rPr>
              <w:tab/>
              <w:t>Komisja przedkłada wniosek o uruchomienie całości lub części kwot, o których mowa w art. 7 ust. 1 lit. c) rozporządzenia w sprawie WRF („margines na nieprzewidziane wydatki”), po upewnieniu się, że niezbędne środki na zobowiązania lub środki na płatności, w zależności od przypadku, nie mogą zostać sfinansowane w inny sposób. Taki wniosek można przedstawić w odniesieniu do projektu budżetu lub projektu budżetu korygującego.</w:t>
            </w:r>
          </w:p>
          <w:p w:rsidR="00251551" w:rsidRPr="00FE2D97" w:rsidP="00B1367C" w14:paraId="14AC9305" w14:textId="77777777">
            <w:pPr>
              <w:pStyle w:val="Normal6a"/>
              <w:rPr>
                <w:i/>
                <w:iCs/>
              </w:rPr>
            </w:pPr>
            <w:r w:rsidRPr="00FE2D97">
              <w:rPr>
                <w:b/>
              </w:rPr>
              <w:tab/>
            </w:r>
            <w:r w:rsidRPr="00FE2D97">
              <w:rPr>
                <w:b/>
                <w:i/>
              </w:rPr>
              <w:t>Margines na nieprzewidziane wydatki może zostać uruchomiony przez Parlament Europejski i Radę w ramach procedury budżetowej określonej w art. 314 TFUE.</w:t>
            </w:r>
          </w:p>
        </w:tc>
        <w:tc>
          <w:tcPr>
            <w:tcW w:w="4876" w:type="dxa"/>
          </w:tcPr>
          <w:p w:rsidR="00251551" w:rsidRPr="00FE2D97" w:rsidP="00B1367C" w14:paraId="3B90E9A7" w14:textId="77777777">
            <w:pPr>
              <w:pStyle w:val="Normal6a"/>
              <w:rPr>
                <w:i/>
                <w:iCs/>
                <w:szCs w:val="24"/>
              </w:rPr>
            </w:pPr>
            <w:r w:rsidRPr="00FE2D97">
              <w:rPr>
                <w:b/>
                <w:i/>
              </w:rPr>
              <w:t>skreśla się</w:t>
            </w:r>
          </w:p>
        </w:tc>
      </w:tr>
    </w:tbl>
    <w:p w:rsidR="00251551" w:rsidRPr="00FE2D97" w:rsidP="00251551" w14:paraId="2F111C59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26</w:t>
      </w:r>
    </w:p>
    <w:p w:rsidR="00251551" w:rsidRPr="00FE2D97" w:rsidP="00251551" w14:paraId="3E7950A2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4F172992" w14:textId="77777777">
      <w:pPr>
        <w:pStyle w:val="NormalBold12b"/>
        <w:keepNext/>
        <w:spacing w:before="0"/>
      </w:pPr>
      <w:r w:rsidRPr="00FE2D97">
        <w:t xml:space="preserve"> Część I</w:t>
      </w:r>
    </w:p>
    <w:p w:rsidR="00251551" w:rsidRPr="00FE2D97" w:rsidP="00251551" w14:paraId="46A2B442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Sekcja B – punkt 9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43CB3C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6AEA293B" w14:textId="77777777">
            <w:pPr>
              <w:keepNext/>
            </w:pPr>
          </w:p>
        </w:tc>
      </w:tr>
      <w:tr w14:paraId="562EB4B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7CA5A3A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8F410A0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114DDF7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8D8EF6F" w14:textId="77777777">
            <w:pPr>
              <w:pStyle w:val="AmColumnHeading"/>
              <w:jc w:val="left"/>
              <w:rPr>
                <w:b/>
                <w:bCs/>
                <w:iCs/>
              </w:rPr>
            </w:pPr>
          </w:p>
        </w:tc>
        <w:tc>
          <w:tcPr>
            <w:tcW w:w="4876" w:type="dxa"/>
          </w:tcPr>
          <w:p w:rsidR="00251551" w:rsidRPr="00FE2D97" w:rsidP="00B1367C" w14:paraId="15664C52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FE2D97">
              <w:rPr>
                <w:b/>
              </w:rPr>
              <w:t xml:space="preserve">Rezerwa solidarnościowa na wypadek klęsk żywiołowych </w:t>
            </w:r>
          </w:p>
          <w:p w:rsidR="00251551" w:rsidRPr="00FE2D97" w:rsidP="00B1367C" w14:paraId="108A94D9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9a.</w:t>
            </w:r>
            <w:r w:rsidRPr="00FE2D97">
              <w:rPr>
                <w:b/>
              </w:rPr>
              <w:tab/>
              <w:t xml:space="preserve">Jeżeli Komisja uzna, że spełnione są warunki uruchomienia rezerwy solidarnościowej na wypadek klęsk żywiołowych, przedkłada Parlamentowi Europejskiemu i Radzie wniosek dotyczący przesunięcia środków z tej rezerwy do odpowiednich linii </w:t>
            </w:r>
            <w:r w:rsidRPr="00FE2D97">
              <w:rPr>
                <w:b/>
              </w:rPr>
              <w:t>budżetowych zgodnie z rozporządzeniem finansowym.</w:t>
            </w:r>
          </w:p>
          <w:p w:rsidR="00251551" w:rsidRPr="00FE2D97" w:rsidP="00B1367C" w14:paraId="2F7CFF0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Decyzja w sprawie uruchomieniu kwot, o których mowa w art. 8a ust. 1 rozporządzenia w sprawie wieloletnich ram finansowych, jest podejmowana wspólnie przez Parlament Europejski i Radę na wniosek Komisji.</w:t>
            </w:r>
          </w:p>
          <w:p w:rsidR="00251551" w:rsidRPr="00FE2D97" w:rsidP="00B1367C" w14:paraId="694FAFB7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Przed przedstawieniem jakiegokolwiek wniosku o przesunięcie środków z rezerwy solidarnościowej na wypadek klęsk żywiołowych na pomoc Komisja bada możliwość realokacji środków.</w:t>
            </w:r>
          </w:p>
        </w:tc>
      </w:tr>
    </w:tbl>
    <w:p w:rsidR="00251551" w:rsidRPr="00FE2D97" w:rsidP="00251551" w14:paraId="08942872" w14:textId="77777777"/>
    <w:p w:rsidR="00251551" w:rsidRPr="00FE2D97" w:rsidP="00251551" w14:paraId="36E05D7B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27</w:t>
      </w:r>
    </w:p>
    <w:p w:rsidR="00251551" w:rsidRPr="00FE2D97" w:rsidP="00251551" w14:paraId="586EF6C6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33FDE186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2DC1921F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A – punkt 10 </w:t>
      </w:r>
      <w:r w:rsidRPr="00FE2D97">
        <w:t>–</w:t>
      </w:r>
      <w:r w:rsidRPr="00FE2D97">
        <w:rPr>
          <w:b w:val="0"/>
        </w:rPr>
        <w:t xml:space="preserve"> akapity 2 i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882305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760F6AD4" w14:textId="77777777">
            <w:pPr>
              <w:keepNext/>
            </w:pPr>
          </w:p>
        </w:tc>
      </w:tr>
      <w:tr w14:paraId="4A25A5A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586489C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B9C66EE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008156B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1500448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Parlament Europejski i Rada, oraz Komisja przy sporządzaniu projektu budżetu, zobowiązują się do niedopuszczenia przez cały okres trwania danego programu lub instrumentu do odstępstwa od tej kwoty o więcej niż </w:t>
            </w:r>
            <w:r w:rsidRPr="00FE2D97">
              <w:rPr>
                <w:b/>
              </w:rPr>
              <w:t>20</w:t>
            </w:r>
            <w:r w:rsidRPr="00FE2D97">
              <w:rPr>
                <w:i w:val="0"/>
              </w:rPr>
              <w:t> %, chyba że pojawią się nowe, należycie uzasadnione okoliczności, w tym odnoszące się do priorytetów politycznych Unii, z uwzględnieniem rezultatów uzyskanych przy realizacji danych programów i instrumentów.</w:t>
            </w:r>
          </w:p>
          <w:p w:rsidR="00251551" w:rsidRPr="00FE2D97" w:rsidP="00B1367C" w14:paraId="15C0FC20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</w:p>
          <w:p w:rsidR="00251551" w:rsidRPr="00FE2D97" w:rsidP="00B1367C" w14:paraId="2795136B" w14:textId="77777777">
            <w:pPr>
              <w:pStyle w:val="AmColumnHeading"/>
              <w:keepNext/>
              <w:spacing w:before="240"/>
              <w:jc w:val="left"/>
              <w:rPr>
                <w:i w:val="0"/>
                <w:iCs/>
              </w:rPr>
            </w:pPr>
          </w:p>
          <w:p w:rsidR="00251551" w:rsidRPr="00FE2D97" w:rsidP="00B1367C" w14:paraId="1D16C7C4" w14:textId="77777777">
            <w:pPr>
              <w:pStyle w:val="AmColumnHeading"/>
              <w:keepNext/>
              <w:spacing w:before="240" w:after="120"/>
              <w:jc w:val="left"/>
              <w:rPr>
                <w:i w:val="0"/>
                <w:iCs/>
              </w:rPr>
            </w:pPr>
          </w:p>
          <w:p w:rsidR="00251551" w:rsidRPr="00FE2D97" w:rsidP="00B1367C" w14:paraId="0DFA6028" w14:textId="77777777">
            <w:pPr>
              <w:pStyle w:val="AmColumnHeading"/>
              <w:spacing w:after="360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>Niniejszy punkt nie ma zastosowania do środków wstępnie przydzielonych poszczególnym państwom członkowskim na podstawie rozporządzenia [(UE) XXXX/XX] [Fundusz Partnerstwa Krajowego i Regionalnego].</w:t>
            </w:r>
          </w:p>
        </w:tc>
        <w:tc>
          <w:tcPr>
            <w:tcW w:w="4876" w:type="dxa"/>
          </w:tcPr>
          <w:p w:rsidR="00251551" w:rsidRPr="00FE2D97" w:rsidP="00B1367C" w14:paraId="5947899D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Parlament Europejski i Rada, oraz Komisja przy sporządzaniu projektu budżetu, zobowiązują się do niedopuszczenia przez cały okres trwania danego programu lub instrumentu do odstępstwa od tej kwoty o więcej niż </w:t>
            </w:r>
            <w:r w:rsidRPr="00FE2D97">
              <w:rPr>
                <w:b/>
              </w:rPr>
              <w:t>5</w:t>
            </w:r>
            <w:r w:rsidRPr="00FE2D97">
              <w:rPr>
                <w:i w:val="0"/>
              </w:rPr>
              <w:t xml:space="preserve"> %, chyba że pojawią się nowe, należycie uzasadnione okoliczności, w tym odnoszące się do priorytetów politycznych Unii, z uwzględnieniem rezultatów uzyskanych przy realizacji danych programów i instrumentów. </w:t>
            </w:r>
            <w:r w:rsidRPr="00FE2D97">
              <w:rPr>
                <w:b/>
              </w:rPr>
              <w:t>Zwiększenie wynikające z tego rodzaju zmian nie wykracza poza pułap wyznaczony dla danego działu, bez uszczerbku dla wykorzystania instrumentów, o których mowa w rozporządzeniu w sprawie WRF oraz w niniejszym porozumieniu.</w:t>
            </w:r>
          </w:p>
          <w:p w:rsidR="00251551" w:rsidRPr="00FE2D97" w:rsidP="00B1367C" w14:paraId="287736E2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FE2D97">
              <w:rPr>
                <w:i w:val="0"/>
              </w:rPr>
              <w:t>Niniejszy punkt nie ma zastosowania do środków wstępnie przydzielonych poszczególnym państwom członkowskim na podstawie rozporządzenia [(UE) XXXX/XX] [Fundusz Partnerstwa Krajowego i Regionalnego].</w:t>
            </w:r>
          </w:p>
        </w:tc>
      </w:tr>
    </w:tbl>
    <w:p w:rsidR="00251551" w:rsidRPr="00FE2D97" w:rsidP="00251551" w14:paraId="7CE78EE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28</w:t>
      </w:r>
    </w:p>
    <w:p w:rsidR="00251551" w:rsidRPr="00FE2D97" w:rsidP="00251551" w14:paraId="5A631701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26765EF3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26256519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A – punkt 11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E814DC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3A43B3D" w14:textId="77777777">
            <w:pPr>
              <w:keepNext/>
            </w:pPr>
          </w:p>
        </w:tc>
      </w:tr>
      <w:tr w14:paraId="738DB80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190C09A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939A578" w14:textId="77777777">
            <w:pPr>
              <w:pStyle w:val="AmColumnHeading"/>
              <w:keepNext/>
              <w:rPr>
                <w:i w:val="0"/>
                <w:iCs/>
              </w:rPr>
            </w:pPr>
            <w:r w:rsidRPr="00FE2D97">
              <w:rPr>
                <w:i w:val="0"/>
              </w:rPr>
              <w:t>Zmiana</w:t>
            </w:r>
          </w:p>
        </w:tc>
      </w:tr>
      <w:tr w14:paraId="02B0C6D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EDA7AD4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11.</w:t>
            </w:r>
            <w:r w:rsidRPr="00FE2D97">
              <w:rPr>
                <w:i w:val="0"/>
              </w:rPr>
              <w:tab/>
              <w:t xml:space="preserve">W celu zapewnienia dokładnych i wiarygodnych prognoz wpływu na budżet aktów podstawowych w rozumieniu art. 2 ust. 4 rozporządzenia finansowego oraz wniosków ustawodawczych będących przedmiotem prac Komisja dołącza do projektu budżetu pełne orientacyjne programowanie finansowe dla </w:t>
            </w:r>
            <w:r w:rsidRPr="00FE2D97">
              <w:rPr>
                <w:b/>
              </w:rPr>
              <w:t>działów</w:t>
            </w:r>
            <w:r w:rsidRPr="00FE2D97">
              <w:rPr>
                <w:i w:val="0"/>
              </w:rPr>
              <w:t xml:space="preserve"> 2 </w:t>
            </w:r>
            <w:r w:rsidRPr="00FE2D97">
              <w:rPr>
                <w:i w:val="0"/>
              </w:rPr>
              <w:t xml:space="preserve">i 3 WRF. Programowanie to, uporządkowane według działów, obszarów polityki i linii budżetowych, </w:t>
            </w:r>
            <w:r w:rsidRPr="00FE2D97">
              <w:rPr>
                <w:b/>
              </w:rPr>
              <w:t>powinno określać</w:t>
            </w:r>
            <w:r w:rsidRPr="00FE2D97">
              <w:rPr>
                <w:i w:val="0"/>
              </w:rPr>
              <w:t>:</w:t>
            </w:r>
          </w:p>
          <w:p w:rsidR="00251551" w:rsidRPr="00FE2D97" w:rsidP="00B1367C" w14:paraId="3EA6E22B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251551" w:rsidRPr="00FE2D97" w:rsidP="00B1367C" w14:paraId="233F6C95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a) akty podstawowe, z rozróżnieniem na programy wieloletnie, akty prawne dotyczące ustanowienia agencji zdecentralizowanych lub powierzenia im zadań oraz działania roczne:</w:t>
            </w:r>
          </w:p>
          <w:p w:rsidR="00251551" w:rsidRPr="00FE2D97" w:rsidP="00B1367C" w14:paraId="53354541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1) w przypadku programów wieloletnich Komisja </w:t>
            </w:r>
            <w:r w:rsidRPr="00FE2D97">
              <w:rPr>
                <w:b/>
              </w:rPr>
              <w:t>powinna wskazać</w:t>
            </w:r>
            <w:r w:rsidRPr="00FE2D97">
              <w:rPr>
                <w:i w:val="0"/>
              </w:rPr>
              <w:t xml:space="preserve"> procedurę, zgodnie z którą zostały one przyjęte, okres trwania programów, całkowitą orientacyjną pulę środków finansowych oraz część przydzieloną na wydatki administracyjne;</w:t>
            </w:r>
          </w:p>
          <w:p w:rsidR="00251551" w:rsidRPr="00FE2D97" w:rsidP="00B1367C" w14:paraId="3DAEA023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2) w przypadku aktów prawnych dotyczących ustanowienia agencji zdecentralizowanych lub powierzenia im zadań Komisja </w:t>
            </w:r>
            <w:r w:rsidRPr="00FE2D97">
              <w:rPr>
                <w:b/>
              </w:rPr>
              <w:t>powinna wskazać</w:t>
            </w:r>
            <w:r w:rsidRPr="00FE2D97">
              <w:rPr>
                <w:i w:val="0"/>
              </w:rPr>
              <w:t xml:space="preserve"> podstawę prawną, na </w:t>
            </w:r>
            <w:r w:rsidRPr="00FE2D97">
              <w:rPr>
                <w:i w:val="0"/>
              </w:rPr>
              <w:t>podstawie</w:t>
            </w:r>
            <w:r w:rsidRPr="00FE2D97">
              <w:rPr>
                <w:i w:val="0"/>
              </w:rPr>
              <w:t xml:space="preserve"> której zostały one przyjęte, oraz </w:t>
            </w:r>
            <w:r w:rsidRPr="00FE2D97">
              <w:rPr>
                <w:b/>
              </w:rPr>
              <w:t>dostarczyć</w:t>
            </w:r>
            <w:r w:rsidRPr="00FE2D97">
              <w:rPr>
                <w:i w:val="0"/>
              </w:rPr>
              <w:t xml:space="preserve"> wieloletnie szacunki;</w:t>
            </w:r>
          </w:p>
          <w:p w:rsidR="00251551" w:rsidRPr="00FE2D97" w:rsidP="00B1367C" w14:paraId="6F422A2A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3) w przypadku działań rocznych (dotyczących projektów pilotażowych, działań przygotowawczych) oraz działań finansowanych w ramach uprawnień Komisji </w:t>
            </w:r>
            <w:r w:rsidRPr="00FE2D97">
              <w:rPr>
                <w:b/>
              </w:rPr>
              <w:t>powinna</w:t>
            </w:r>
            <w:r w:rsidRPr="00FE2D97">
              <w:rPr>
                <w:i w:val="0"/>
              </w:rPr>
              <w:t xml:space="preserve"> ona </w:t>
            </w:r>
            <w:r w:rsidRPr="00FE2D97">
              <w:rPr>
                <w:b/>
              </w:rPr>
              <w:t>dostarczyć</w:t>
            </w:r>
            <w:r w:rsidRPr="00FE2D97">
              <w:rPr>
                <w:i w:val="0"/>
              </w:rPr>
              <w:t xml:space="preserve"> szacunki wieloletnie;</w:t>
            </w:r>
          </w:p>
          <w:p w:rsidR="00251551" w:rsidRPr="00FE2D97" w:rsidP="00B1367C" w14:paraId="58588A16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b) wnioski ustawodawcze Komisji będące przedmiotem prac wraz z aktualną oceną ich potencjalnego wpływu na budżet i ewentualną wynikającą z niej potrzebą przeprogramowania w przypadku przyjęcia tych wniosków.</w:t>
            </w:r>
          </w:p>
          <w:p w:rsidR="00251551" w:rsidRPr="00FE2D97" w:rsidP="00B1367C" w14:paraId="57B65F82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251551" w:rsidRPr="00FE2D97" w:rsidP="00B1367C" w14:paraId="0A7ADF30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251551" w:rsidRPr="00FE2D97" w:rsidP="00B1367C" w14:paraId="26D0E990" w14:textId="77777777">
            <w:pPr>
              <w:pStyle w:val="AmColumnHeading"/>
              <w:spacing w:after="36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W orientacyjnym programowaniu finansowym przedstawia się w przejrzysty sposób nieprzydzielone rezerwy i bufory w ramach programów wieloletnich.</w:t>
            </w:r>
          </w:p>
          <w:p w:rsidR="00251551" w:rsidRPr="00FE2D97" w:rsidP="00B1367C" w14:paraId="379D0AD6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Komisja </w:t>
            </w:r>
            <w:r w:rsidRPr="00FE2D97">
              <w:rPr>
                <w:b/>
              </w:rPr>
              <w:t>powinna rozważyć sposoby powiązania programowania finansowego</w:t>
            </w:r>
            <w:r w:rsidRPr="00FE2D97">
              <w:rPr>
                <w:i w:val="0"/>
              </w:rPr>
              <w:t xml:space="preserve"> ze swoim programowaniem legislacyjnym, aby zapewnić bardziej precyzyjne i wiarygodne prognozy. W odniesieniu do każdego wniosku ustawodawczego Komisja </w:t>
            </w:r>
            <w:r w:rsidRPr="00FE2D97">
              <w:rPr>
                <w:b/>
              </w:rPr>
              <w:t>powinna wskazać</w:t>
            </w:r>
            <w:r w:rsidRPr="00FE2D97">
              <w:rPr>
                <w:i w:val="0"/>
              </w:rPr>
              <w:t xml:space="preserve">, czy jest on ujęty w programowaniu przedstawionym w tym samym czasie co przedstawienie projektu budżetu czy po ostatecznym przyjęciu budżetu. Komisja </w:t>
            </w:r>
            <w:r w:rsidRPr="00FE2D97">
              <w:rPr>
                <w:b/>
              </w:rPr>
              <w:t>powinna informować</w:t>
            </w:r>
            <w:r w:rsidRPr="00FE2D97">
              <w:rPr>
                <w:i w:val="0"/>
              </w:rPr>
              <w:t xml:space="preserve"> Parlament Europejski i Radę w szczególności o:</w:t>
            </w:r>
          </w:p>
          <w:p w:rsidR="00251551" w:rsidRPr="00FE2D97" w:rsidP="00B1367C" w14:paraId="1EB57F33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a) wszystkich nowych przyjętych aktach ustawodawczych oraz wszystkich wnioskach będących przedmiotem prac, lecz nieujętych w programowaniu przedstawionym w tym samym czasie co projekt budżetu lub po ostatecznym przyjęciu budżetu (wraz z odnośnymi kwotami);</w:t>
            </w:r>
          </w:p>
          <w:p w:rsidR="00251551" w:rsidRPr="00FE2D97" w:rsidP="00B1367C" w14:paraId="33DD77A2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b) prawodawstwie przewidzianym w rocznym programie działalności legislacyjnej Komisji ze wskazaniem, czy działania te mogą mieć skutki finansowe.</w:t>
            </w:r>
          </w:p>
          <w:p w:rsidR="00251551" w:rsidRPr="00FE2D97" w:rsidP="00B1367C" w14:paraId="52434CDB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W razie potrzeby Komisja </w:t>
            </w:r>
            <w:r w:rsidRPr="00FE2D97">
              <w:rPr>
                <w:b/>
              </w:rPr>
              <w:t>powinna wskazać</w:t>
            </w:r>
            <w:r w:rsidRPr="00FE2D97">
              <w:rPr>
                <w:i w:val="0"/>
              </w:rPr>
              <w:t xml:space="preserve"> zmiany w programowaniu, jakie pociągną za sobą nowe wnioski ustawodawcze.</w:t>
            </w:r>
          </w:p>
          <w:p w:rsidR="00251551" w:rsidRPr="00FE2D97" w:rsidP="00B1367C" w14:paraId="7AE84093" w14:textId="77777777">
            <w:pPr>
              <w:pStyle w:val="AmColumnHeading"/>
              <w:spacing w:after="120"/>
              <w:jc w:val="left"/>
            </w:pPr>
            <w:r w:rsidRPr="00FE2D97">
              <w:rPr>
                <w:i w:val="0"/>
              </w:rPr>
              <w:t>Po przyjęciu budżetu orientacyjne programowanie finansowe jest aktualizowane w celu uwzględnienia wyników procedury budżetowej oraz każdej innej stosownej decyzji.</w:t>
            </w:r>
          </w:p>
        </w:tc>
        <w:tc>
          <w:tcPr>
            <w:tcW w:w="4876" w:type="dxa"/>
          </w:tcPr>
          <w:p w:rsidR="00251551" w:rsidRPr="00FE2D97" w:rsidP="00B1367C" w14:paraId="3B02517F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11.</w:t>
            </w:r>
            <w:r w:rsidRPr="00FE2D97">
              <w:rPr>
                <w:i w:val="0"/>
              </w:rPr>
              <w:tab/>
              <w:t xml:space="preserve">W celu zapewnienia dokładnych i wiarygodnych prognoz wpływu na budżet aktów podstawowych w rozumieniu art. 2 ust. 4 rozporządzenia finansowego oraz wniosków ustawodawczych będących przedmiotem prac Komisja dołącza do projektu budżetu pełne orientacyjne programowanie finansowe dla </w:t>
            </w:r>
            <w:r w:rsidRPr="00FE2D97">
              <w:rPr>
                <w:b/>
              </w:rPr>
              <w:t>Instrumentu UE ustanowionego [rozporządzeniem w sprawie PPKR] oraz dla wszystkich programów w działach</w:t>
            </w:r>
            <w:r w:rsidRPr="00FE2D97">
              <w:rPr>
                <w:i w:val="0"/>
              </w:rPr>
              <w:t xml:space="preserve"> 2 i 3 WRF. Programowanie to, uporządkowane według działów, obszarów polityki i linii budżetowych, </w:t>
            </w:r>
            <w:r w:rsidRPr="00FE2D97">
              <w:rPr>
                <w:b/>
              </w:rPr>
              <w:t>określa</w:t>
            </w:r>
            <w:r w:rsidRPr="00FE2D97">
              <w:rPr>
                <w:i w:val="0"/>
              </w:rPr>
              <w:t>:</w:t>
            </w:r>
          </w:p>
          <w:p w:rsidR="00251551" w:rsidRPr="00FE2D97" w:rsidP="00B1367C" w14:paraId="62FD45FC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a) akty podstawowe, z rozróżnieniem na programy wieloletnie, akty prawne dotyczące ustanowienia agencji zdecentralizowanych lub powierzenia im zadań oraz działania roczne:</w:t>
            </w:r>
          </w:p>
          <w:p w:rsidR="00251551" w:rsidRPr="00FE2D97" w:rsidP="00B1367C" w14:paraId="2972AE03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 xml:space="preserve">1) w przypadku programów wieloletnich Komisja </w:t>
            </w:r>
            <w:r w:rsidRPr="00FE2D97">
              <w:rPr>
                <w:b/>
              </w:rPr>
              <w:t>wskazuje</w:t>
            </w:r>
            <w:r w:rsidRPr="00FE2D97">
              <w:rPr>
                <w:i w:val="0"/>
              </w:rPr>
              <w:t xml:space="preserve"> procedurę, zgodnie z którą zostały one przyjęte, okres trwania programów, całkowitą orientacyjną pulę środków finansowych oraz część przydzieloną na wydatki administracyjne;</w:t>
            </w:r>
          </w:p>
          <w:p w:rsidR="00251551" w:rsidRPr="00FE2D97" w:rsidP="00B1367C" w14:paraId="2F8A7E49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 xml:space="preserve">2) w przypadku aktów prawnych dotyczących ustanowienia agencji zdecentralizowanych lub powierzenia im zadań Komisja </w:t>
            </w:r>
            <w:r w:rsidRPr="00FE2D97">
              <w:rPr>
                <w:b/>
              </w:rPr>
              <w:t>wskazuje</w:t>
            </w:r>
            <w:r w:rsidRPr="00FE2D97">
              <w:rPr>
                <w:i w:val="0"/>
              </w:rPr>
              <w:t xml:space="preserve"> podstawę prawną, na </w:t>
            </w:r>
            <w:r w:rsidRPr="00FE2D97">
              <w:rPr>
                <w:i w:val="0"/>
              </w:rPr>
              <w:t>podstawie</w:t>
            </w:r>
            <w:r w:rsidRPr="00FE2D97">
              <w:rPr>
                <w:i w:val="0"/>
              </w:rPr>
              <w:t xml:space="preserve"> której zostały one przyjęte, oraz </w:t>
            </w:r>
            <w:r w:rsidRPr="00FE2D97">
              <w:rPr>
                <w:b/>
              </w:rPr>
              <w:t>dostarcza</w:t>
            </w:r>
            <w:r w:rsidRPr="00FE2D97">
              <w:rPr>
                <w:i w:val="0"/>
              </w:rPr>
              <w:t xml:space="preserve"> wieloletnie szacunki;</w:t>
            </w:r>
          </w:p>
          <w:p w:rsidR="00251551" w:rsidRPr="00FE2D97" w:rsidP="00B1367C" w14:paraId="6F1B7E26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 xml:space="preserve">3) w przypadku działań rocznych (dotyczących projektów pilotażowych, działań przygotowawczych) oraz działań finansowanych w ramach uprawnień Komisji </w:t>
            </w:r>
            <w:r w:rsidRPr="00FE2D97">
              <w:rPr>
                <w:b/>
              </w:rPr>
              <w:t>dostarcza</w:t>
            </w:r>
            <w:r w:rsidRPr="00FE2D97">
              <w:rPr>
                <w:i w:val="0"/>
              </w:rPr>
              <w:t xml:space="preserve"> ona szacunki wieloletnie;</w:t>
            </w:r>
          </w:p>
          <w:p w:rsidR="00251551" w:rsidRPr="00FE2D97" w:rsidP="00B1367C" w14:paraId="0CC36A86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b) wnioski ustawodawcze Komisji będące przedmiotem prac wraz z aktualną oceną ich potencjalnego wpływu na budżet i ewentualną wynikającą z niej potrzebą przeprogramowania w przypadku przyjęcia tych wniosków.</w:t>
            </w:r>
          </w:p>
          <w:p w:rsidR="00251551" w:rsidRPr="00FE2D97" w:rsidP="00B1367C" w14:paraId="3FDA4DC1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b/>
              </w:rPr>
              <w:t>Komisja dołącza również do projektu budżetu orientacyjne programowanie finansowe w podziale na główne cele funduszy objętych zarządzaniem dzielonym w dziale 1.</w:t>
            </w:r>
            <w:r w:rsidRPr="00FE2D97">
              <w:rPr>
                <w:b/>
                <w:i w:val="0"/>
              </w:rPr>
              <w:t xml:space="preserve"> </w:t>
            </w:r>
            <w:r w:rsidRPr="00FE2D97">
              <w:rPr>
                <w:i w:val="0"/>
              </w:rPr>
              <w:t>W orientacyjnym programowaniu finansowym przedstawia się w przejrzysty sposób nieprzydzielone rezerwy i bufory w ramach programów wieloletnich.</w:t>
            </w:r>
          </w:p>
          <w:p w:rsidR="00251551" w:rsidRPr="00FE2D97" w:rsidP="00B1367C" w14:paraId="34E5ABFF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 xml:space="preserve">Komisja </w:t>
            </w:r>
            <w:r w:rsidRPr="00FE2D97">
              <w:rPr>
                <w:b/>
              </w:rPr>
              <w:t>wiąże programowanie finansowe</w:t>
            </w:r>
            <w:r w:rsidRPr="00FE2D97">
              <w:rPr>
                <w:i w:val="0"/>
              </w:rPr>
              <w:t xml:space="preserve"> ze swoim programowaniem legislacyjnym, aby zapewnić bardziej precyzyjne i wiarygodne prognozy. W odniesieniu do każdego wniosku ustawodawczego Komisja </w:t>
            </w:r>
            <w:r w:rsidRPr="00FE2D97">
              <w:rPr>
                <w:b/>
              </w:rPr>
              <w:t>wskazuje</w:t>
            </w:r>
            <w:r w:rsidRPr="00FE2D97">
              <w:rPr>
                <w:i w:val="0"/>
              </w:rPr>
              <w:t>,</w:t>
            </w:r>
            <w:r w:rsidRPr="00FE2D97">
              <w:rPr>
                <w:i w:val="0"/>
              </w:rPr>
              <w:t xml:space="preserve"> czy jest on ujęty w programowaniu przedstawionym w tym samym czasie co przedstawienie projektu budżetu czy po ostatecznym przyjęciu budżetu. Komisja </w:t>
            </w:r>
            <w:r w:rsidRPr="00FE2D97">
              <w:rPr>
                <w:b/>
              </w:rPr>
              <w:t>informuje</w:t>
            </w:r>
            <w:r w:rsidRPr="00FE2D97">
              <w:rPr>
                <w:i w:val="0"/>
              </w:rPr>
              <w:t xml:space="preserve"> Parlament Europejski i Radę w szczególności o:</w:t>
            </w:r>
          </w:p>
          <w:p w:rsidR="00251551" w:rsidRPr="00FE2D97" w:rsidP="00B1367C" w14:paraId="6A042908" w14:textId="77777777">
            <w:pPr>
              <w:pStyle w:val="AmColumnHeading"/>
              <w:spacing w:after="0"/>
              <w:jc w:val="left"/>
              <w:rPr>
                <w:i w:val="0"/>
                <w:iCs/>
                <w:szCs w:val="24"/>
              </w:rPr>
            </w:pPr>
          </w:p>
          <w:p w:rsidR="00251551" w:rsidRPr="00FE2D97" w:rsidP="00B1367C" w14:paraId="3CA6F81D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a) wszystkich nowych przyjętych aktach ustawodawczych oraz wszystkich wnioskach będących przedmiotem prac, lecz nieujętych w programowaniu przedstawionym w tym samym czasie co projekt budżetu lub po ostatecznym przyjęciu budżetu (wraz z odnośnymi kwotami);</w:t>
            </w:r>
          </w:p>
          <w:p w:rsidR="00251551" w:rsidRPr="00FE2D97" w:rsidP="00B1367C" w14:paraId="6C895310" w14:textId="77777777">
            <w:pPr>
              <w:pStyle w:val="AmColumnHeading"/>
              <w:spacing w:before="120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b) prawodawstwie przewidzianym w rocznym programie działalności legislacyjnej Komisji ze wskazaniem, czy działania te mogą mieć skutki finansowe.</w:t>
            </w:r>
          </w:p>
          <w:p w:rsidR="00251551" w:rsidRPr="00FE2D97" w:rsidP="00B1367C" w14:paraId="6B44878B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 xml:space="preserve">W razie potrzeby Komisja </w:t>
            </w:r>
            <w:r w:rsidRPr="00FE2D97">
              <w:rPr>
                <w:b/>
              </w:rPr>
              <w:t>wskazuje</w:t>
            </w:r>
            <w:r w:rsidRPr="00FE2D97">
              <w:rPr>
                <w:i w:val="0"/>
              </w:rPr>
              <w:t xml:space="preserve"> zmiany w programowaniu, jakie pociągną za sobą nowe wnioski ustawodawcze.</w:t>
            </w:r>
          </w:p>
          <w:p w:rsidR="00251551" w:rsidRPr="00FE2D97" w:rsidP="00B1367C" w14:paraId="3F10CDB7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Po przyjęciu budżetu orientacyjne programowanie finansowe jest aktualizowane w celu uwzględnienia wyników procedury budżetowej oraz każdej innej stosownej decyzji.</w:t>
            </w:r>
            <w:r w:rsidRPr="00FE2D97">
              <w:rPr>
                <w:i w:val="0"/>
                <w:u w:val="single"/>
              </w:rPr>
              <w:t xml:space="preserve"> </w:t>
            </w:r>
            <w:r w:rsidRPr="00FE2D97">
              <w:rPr>
                <w:b/>
              </w:rPr>
              <w:t>Zawiera ono szczegółowy przegląd dla całego okresu programowania, szczegółowe wyjaśnienie zmian wprowadzonych w porównaniu z programowaniem finansowym na poprzedni rok oraz odstępstwa od głównej kwoty odniesienia, o której mowa w pkt 10.</w:t>
            </w:r>
            <w:r w:rsidRPr="00FE2D97">
              <w:rPr>
                <w:i w:val="0"/>
              </w:rPr>
              <w:t xml:space="preserve"> </w:t>
            </w:r>
          </w:p>
        </w:tc>
      </w:tr>
    </w:tbl>
    <w:p w:rsidR="00251551" w:rsidRPr="00FE2D97" w:rsidP="00251551" w14:paraId="52C7F187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29</w:t>
      </w:r>
    </w:p>
    <w:p w:rsidR="00251551" w:rsidRPr="00FE2D97" w:rsidP="00251551" w14:paraId="5B89AB53" w14:textId="77777777">
      <w:pPr>
        <w:pStyle w:val="NormalBold12b"/>
        <w:keepNext/>
      </w:pPr>
      <w:r w:rsidRPr="00FE2D97">
        <w:t>Wniosek dotyczący porozumienia międzyinstytucjonalnego</w:t>
      </w:r>
    </w:p>
    <w:p w:rsidR="00251551" w:rsidRPr="00FE2D97" w:rsidP="00251551" w14:paraId="4B7E737B" w14:textId="77777777">
      <w:pPr>
        <w:pStyle w:val="NormalBold"/>
      </w:pPr>
      <w:r w:rsidRPr="00FE2D97">
        <w:t>Część II</w:t>
      </w:r>
    </w:p>
    <w:p w:rsidR="00251551" w:rsidRPr="00FE2D97" w:rsidP="00251551" w14:paraId="4D2117D7" w14:textId="77777777">
      <w:r w:rsidRPr="00FE2D97">
        <w:t>Sekcja A – punkt 11 b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0C194F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99C6B00" w14:textId="77777777">
            <w:pPr>
              <w:keepNext/>
            </w:pPr>
          </w:p>
        </w:tc>
      </w:tr>
      <w:tr w14:paraId="03C8BEA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D7BFFBA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90E470F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2A0A21E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747BD7A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263CC7DD" w14:textId="77777777">
            <w:pPr>
              <w:pStyle w:val="Normal6a"/>
              <w:jc w:val="center"/>
              <w:rPr>
                <w:b/>
                <w:bCs/>
                <w:i/>
              </w:rPr>
            </w:pPr>
            <w:r w:rsidRPr="00FE2D97">
              <w:rPr>
                <w:b/>
                <w:i/>
              </w:rPr>
              <w:t>Dialog na temat zasobów własnych</w:t>
            </w:r>
          </w:p>
          <w:p w:rsidR="00251551" w:rsidRPr="00FE2D97" w:rsidP="00B1367C" w14:paraId="04CC3B43" w14:textId="77777777">
            <w:pPr>
              <w:pStyle w:val="Normal6a"/>
              <w:rPr>
                <w:szCs w:val="24"/>
              </w:rPr>
            </w:pPr>
            <w:r w:rsidRPr="00FE2D97">
              <w:rPr>
                <w:b/>
                <w:i/>
              </w:rPr>
              <w:t>11b.</w:t>
            </w:r>
            <w:r w:rsidRPr="00FE2D97">
              <w:rPr>
                <w:b/>
              </w:rPr>
              <w:tab/>
            </w:r>
            <w:r w:rsidRPr="00FE2D97">
              <w:rPr>
                <w:b/>
                <w:i/>
              </w:rPr>
              <w:t>Trzy instytucje będą prowadzić regularny międzyinstytucjonalny dialog na temat zasobów własnych, spotykając się co najmniej raz w trakcie każdej prezydencji Rady, a na wniosek jednej z instytucji – częściej.</w:t>
            </w:r>
          </w:p>
        </w:tc>
      </w:tr>
    </w:tbl>
    <w:p w:rsidR="00251551" w:rsidRPr="00FE2D97" w:rsidP="00251551" w14:paraId="61C2727A" w14:textId="77777777"/>
    <w:p w:rsidR="00251551" w:rsidRPr="00FE2D97" w:rsidP="00251551" w14:paraId="7BAEA5EE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30</w:t>
      </w:r>
    </w:p>
    <w:p w:rsidR="00251551" w:rsidRPr="00FE2D97" w:rsidP="00251551" w14:paraId="7620A613" w14:textId="77777777">
      <w:pPr>
        <w:pStyle w:val="NormalBold12b"/>
        <w:keepNext/>
      </w:pPr>
      <w:r w:rsidRPr="00FE2D97">
        <w:t>Wniosek dotyczący porozumienia międzyinstytucjonalnego</w:t>
      </w:r>
    </w:p>
    <w:p w:rsidR="00251551" w:rsidRPr="00FE2D97" w:rsidP="00251551" w14:paraId="5D90289A" w14:textId="77777777">
      <w:pPr>
        <w:pStyle w:val="NormalBold"/>
      </w:pPr>
      <w:r w:rsidRPr="00FE2D97">
        <w:t>Część II</w:t>
      </w:r>
    </w:p>
    <w:p w:rsidR="00251551" w:rsidRPr="00FE2D97" w:rsidP="00251551" w14:paraId="7E7285F7" w14:textId="77777777">
      <w:r w:rsidRPr="00FE2D97">
        <w:t>Sekcja A – punkt 11 c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808C53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A8A55C3" w14:textId="77777777">
            <w:pPr>
              <w:keepNext/>
            </w:pPr>
          </w:p>
        </w:tc>
      </w:tr>
      <w:tr w14:paraId="30577007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382FC12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530CE26E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1B4962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5717CC2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0DCBEB82" w14:textId="77777777">
            <w:pPr>
              <w:pStyle w:val="Normal6a"/>
              <w:jc w:val="center"/>
              <w:rPr>
                <w:b/>
                <w:bCs/>
                <w:i/>
              </w:rPr>
            </w:pPr>
            <w:r w:rsidRPr="00FE2D97">
              <w:rPr>
                <w:b/>
                <w:i/>
              </w:rPr>
              <w:t>Zobowiązania</w:t>
            </w:r>
          </w:p>
          <w:p w:rsidR="00251551" w:rsidRPr="00FE2D97" w:rsidP="00B1367C" w14:paraId="63168336" w14:textId="77777777">
            <w:pPr>
              <w:pStyle w:val="Normal6a"/>
              <w:rPr>
                <w:iCs/>
              </w:rPr>
            </w:pPr>
            <w:r w:rsidRPr="00FE2D97">
              <w:rPr>
                <w:b/>
                <w:i/>
              </w:rPr>
              <w:t>11c.</w:t>
            </w:r>
            <w:r w:rsidRPr="00FE2D97">
              <w:rPr>
                <w:b/>
              </w:rPr>
              <w:tab/>
            </w:r>
            <w:r w:rsidRPr="00FE2D97">
              <w:rPr>
                <w:b/>
                <w:i/>
              </w:rPr>
              <w:t>Przed ogłoszeniem zobowiązań finansowych na rzecz wsparcia państw trzecich Komisja informuje władzę budżetową o tych kwestiach i uwzględnia jej opinie wyrażone w tej sprawie; w każdym takim przypadku Komisja przedstawia szczegółowe i wyczerpujące informacje, w tym na temat źródła finansowania zobowiązań finansowych, tego, czy istniejące zasoby są przekierowywane lub czy mają zostać uruchomione nowe zasoby, w tym w przypadku pożyczek, a także wszelkiego wykorzystania instrumentów elastyczności, rezerw lub innych nieprzydzielonych kwot.</w:t>
            </w:r>
          </w:p>
        </w:tc>
      </w:tr>
      <w:tr w14:paraId="694E82D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7F1CA83" w14:textId="77777777">
            <w:pPr>
              <w:pStyle w:val="Normal6a"/>
            </w:pPr>
          </w:p>
        </w:tc>
        <w:tc>
          <w:tcPr>
            <w:tcW w:w="4876" w:type="dxa"/>
          </w:tcPr>
          <w:p w:rsidR="00251551" w:rsidRPr="00FE2D97" w:rsidP="00B1367C" w14:paraId="51F2C3CD" w14:textId="77777777">
            <w:pPr>
              <w:pStyle w:val="Normal6a"/>
              <w:rPr>
                <w:b/>
                <w:bCs/>
                <w:i/>
              </w:rPr>
            </w:pPr>
          </w:p>
        </w:tc>
      </w:tr>
    </w:tbl>
    <w:p w:rsidR="00251551" w:rsidRPr="00FE2D97" w:rsidP="00251551" w14:paraId="03FF27A3" w14:textId="77777777"/>
    <w:p w:rsidR="00251551" w:rsidRPr="00FE2D97" w:rsidP="00251551" w14:paraId="6EA0596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31</w:t>
      </w:r>
    </w:p>
    <w:p w:rsidR="00251551" w:rsidRPr="00FE2D97" w:rsidP="00251551" w14:paraId="18929F4F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4BF659EA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44E43309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B – tytuł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70C27F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186AF9F" w14:textId="77777777">
            <w:pPr>
              <w:keepNext/>
            </w:pPr>
          </w:p>
        </w:tc>
      </w:tr>
      <w:tr w14:paraId="6776F80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865702B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68CED44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044937A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A16B83E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B. AGENCJE ZDECENTRALIZOWANE I SZKOŁY EUROPEJSKIE</w:t>
            </w:r>
          </w:p>
        </w:tc>
        <w:tc>
          <w:tcPr>
            <w:tcW w:w="4876" w:type="dxa"/>
          </w:tcPr>
          <w:p w:rsidR="00251551" w:rsidRPr="00FE2D97" w:rsidP="00B1367C" w14:paraId="34A6F672" w14:textId="77777777">
            <w:pPr>
              <w:pStyle w:val="AmColumnHeading"/>
              <w:jc w:val="left"/>
              <w:rPr>
                <w:b/>
                <w:bCs/>
                <w:iCs/>
                <w:szCs w:val="24"/>
              </w:rPr>
            </w:pPr>
            <w:r w:rsidRPr="00FE2D97">
              <w:rPr>
                <w:b/>
              </w:rPr>
              <w:t xml:space="preserve">B. OCENA SKUTKÓW FINANSOWYCH </w:t>
            </w:r>
          </w:p>
        </w:tc>
      </w:tr>
    </w:tbl>
    <w:p w:rsidR="00251551" w:rsidRPr="00FE2D97" w:rsidP="00251551" w14:paraId="07E9AD89" w14:textId="77777777"/>
    <w:p w:rsidR="00251551" w:rsidRPr="00FE2D97" w:rsidP="00251551" w14:paraId="2AB3116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32</w:t>
      </w:r>
    </w:p>
    <w:p w:rsidR="00251551" w:rsidRPr="00FE2D97" w:rsidP="00251551" w14:paraId="32AF4B79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09EF3D7F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3A16F120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Sekcja B – punkt 12 – akapity 1–3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AA808E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D2D371D" w14:textId="77777777">
            <w:pPr>
              <w:keepNext/>
            </w:pPr>
          </w:p>
        </w:tc>
      </w:tr>
      <w:tr w14:paraId="6EDC8BB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B69AC87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00C9C7F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09737EF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DE94560" w14:textId="77777777">
            <w:pPr>
              <w:pStyle w:val="AmColumnHeading"/>
              <w:spacing w:after="60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12.</w:t>
            </w:r>
            <w:r w:rsidRPr="00FE2D97">
              <w:rPr>
                <w:i w:val="0"/>
              </w:rPr>
              <w:tab/>
              <w:t xml:space="preserve">Przed przedłożeniem wniosku dotyczącego utworzenia nowej agencji zdecentralizowanej i po rozważeniu możliwości przydzielenia planowanych zadań istniejącej instytucji, organowi, urzędowi lub agencji, Komisja </w:t>
            </w:r>
            <w:r w:rsidRPr="00FE2D97">
              <w:rPr>
                <w:b/>
              </w:rPr>
              <w:t>powinna sporządzić</w:t>
            </w:r>
            <w:r w:rsidRPr="00FE2D97">
              <w:rPr>
                <w:i w:val="0"/>
              </w:rPr>
              <w:t xml:space="preserve"> należytą, pełną i obiektywną ocenę skutków, biorąc między innymi pod uwagę niezbędną liczbę personelu i potrzebne kwalifikacje, aspekty dotyczące kosztów i korzyści, spójność, pomocniczość i proporcjonalność, wpływ na działania na poziomie unijnym oraz skutki budżetowe dla danego działu wydatków. Na podstawie tych informacji oraz bez uszczerbku dla procedur ustawodawczych </w:t>
            </w:r>
            <w:r w:rsidRPr="00FE2D97">
              <w:rPr>
                <w:b/>
              </w:rPr>
              <w:t>regulujących tworzenie agencji zdecentralizowanej</w:t>
            </w:r>
            <w:r w:rsidRPr="00FE2D97">
              <w:rPr>
                <w:i w:val="0"/>
              </w:rPr>
              <w:t xml:space="preserve"> Parlament Europejski i Rada zobowiązują się w ramach współpracy budżetowej osiągnąć na czas porozumienie </w:t>
            </w:r>
            <w:r w:rsidRPr="00FE2D97">
              <w:rPr>
                <w:b/>
              </w:rPr>
              <w:t>w sprawie finansowania agencji zdecentralizowanej, której dotyczy wniosek</w:t>
            </w:r>
            <w:r w:rsidRPr="00FE2D97">
              <w:rPr>
                <w:i w:val="0"/>
              </w:rPr>
              <w:t>.</w:t>
            </w:r>
          </w:p>
          <w:p w:rsidR="00251551" w:rsidRPr="00FE2D97" w:rsidP="00B1367C" w14:paraId="19172F72" w14:textId="77777777">
            <w:pPr>
              <w:pStyle w:val="AmColumnHeading"/>
              <w:spacing w:before="12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Stosuje się następującą procedurę:</w:t>
            </w:r>
          </w:p>
          <w:p w:rsidR="00251551" w:rsidRPr="00FE2D97" w:rsidP="00B1367C" w14:paraId="2983EB67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pierwsze, Komisja systematycznie przedstawia wszelkie wnioski dotyczące utworzenia nowej </w:t>
            </w:r>
            <w:r w:rsidRPr="00FE2D97">
              <w:rPr>
                <w:i w:val="0"/>
              </w:rPr>
              <w:t xml:space="preserve">agencji zdecentralizowanej podczas pierwszej rundy budżetowych rozmów trójstronnych po przyjęciu jej wniosku oraz przedstawia ocenę skutków finansowych dołączaną do wniosku ustawodawczego </w:t>
            </w:r>
            <w:r w:rsidRPr="00FE2D97">
              <w:rPr>
                <w:b/>
              </w:rPr>
              <w:t>dotyczącego utworzenia danej agencji zdecentralizowanej</w:t>
            </w:r>
            <w:r w:rsidRPr="00FE2D97">
              <w:rPr>
                <w:i w:val="0"/>
              </w:rPr>
              <w:t xml:space="preserve">, a także przedstawia konsekwencje </w:t>
            </w:r>
            <w:r w:rsidRPr="00FE2D97">
              <w:rPr>
                <w:b/>
              </w:rPr>
              <w:t>jej utworzenia</w:t>
            </w:r>
            <w:r w:rsidRPr="00FE2D97">
              <w:rPr>
                <w:i w:val="0"/>
              </w:rPr>
              <w:t xml:space="preserve"> dla pozostałego okresu programowania finansowego,</w:t>
            </w:r>
          </w:p>
          <w:p w:rsidR="00251551" w:rsidRPr="00FE2D97" w:rsidP="00B1367C" w14:paraId="44EA90BB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251551" w:rsidRPr="00FE2D97" w:rsidP="00B1367C" w14:paraId="75BF2641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drugie, w trakcie procesu ustawodawczego Komisja wspomaga prawodawcę w ocenie konsekwencji finansowych proponowanych zmian; te konsekwencje finansowe </w:t>
            </w:r>
            <w:r w:rsidRPr="00FE2D97">
              <w:rPr>
                <w:b/>
              </w:rPr>
              <w:t>powinny być wzięte</w:t>
            </w:r>
            <w:r w:rsidRPr="00FE2D97">
              <w:rPr>
                <w:i w:val="0"/>
              </w:rPr>
              <w:t xml:space="preserve"> pod uwagę podczas stosownych </w:t>
            </w:r>
            <w:r w:rsidRPr="00FE2D97">
              <w:rPr>
                <w:b/>
              </w:rPr>
              <w:t>etapów odpowiedniej procedury ustawodawczej</w:t>
            </w:r>
            <w:r w:rsidRPr="00FE2D97">
              <w:rPr>
                <w:i w:val="0"/>
              </w:rPr>
              <w:t>,</w:t>
            </w:r>
          </w:p>
          <w:p w:rsidR="00251551" w:rsidRPr="00FE2D97" w:rsidP="00B1367C" w14:paraId="412B8107" w14:textId="77777777">
            <w:pPr>
              <w:pStyle w:val="AmColumnHeading"/>
              <w:spacing w:after="60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trzecie, przed zakończeniem procesu ustawodawczego Komisja przedstawia uaktualnioną ocenę skutków finansowych, uwzględniającą ewentualne zmiany wprowadzane przez prawodawcę; </w:t>
            </w:r>
            <w:r w:rsidRPr="00FE2D97">
              <w:rPr>
                <w:b/>
              </w:rPr>
              <w:t>taka ostateczna ocena</w:t>
            </w:r>
            <w:r w:rsidRPr="00FE2D97">
              <w:rPr>
                <w:i w:val="0"/>
              </w:rPr>
              <w:t xml:space="preserve"> skutków finansowych </w:t>
            </w:r>
            <w:r w:rsidRPr="00FE2D97">
              <w:rPr>
                <w:b/>
              </w:rPr>
              <w:t>jest omawiana</w:t>
            </w:r>
            <w:r w:rsidRPr="00FE2D97">
              <w:rPr>
                <w:i w:val="0"/>
              </w:rPr>
              <w:t xml:space="preserve"> przed osiągnięciem ostatecznego porozumienia i formalnie </w:t>
            </w:r>
            <w:r w:rsidRPr="00FE2D97">
              <w:rPr>
                <w:b/>
              </w:rPr>
              <w:t>zatwierdzana przez prawodawcę</w:t>
            </w:r>
            <w:r w:rsidRPr="00FE2D97">
              <w:rPr>
                <w:i w:val="0"/>
              </w:rPr>
              <w:t>;</w:t>
            </w:r>
            <w:r w:rsidRPr="00FE2D97">
              <w:rPr>
                <w:b/>
              </w:rPr>
              <w:t xml:space="preserve"> </w:t>
            </w:r>
            <w:r w:rsidRPr="00FE2D97">
              <w:rPr>
                <w:i w:val="0"/>
              </w:rPr>
              <w:t xml:space="preserve">umieszcza się </w:t>
            </w:r>
            <w:r w:rsidRPr="00FE2D97">
              <w:rPr>
                <w:b/>
              </w:rPr>
              <w:t>ją</w:t>
            </w:r>
            <w:r w:rsidRPr="00FE2D97">
              <w:rPr>
                <w:i w:val="0"/>
              </w:rPr>
              <w:t xml:space="preserve"> również w porządku obrad następnej rundy budżetowych rozmów trójstronnych (w pilnych przypadkach w uproszczonej formie), z myślą o osiągnięciu porozumienia w sprawie finansowania,</w:t>
            </w:r>
          </w:p>
          <w:p w:rsidR="00251551" w:rsidRPr="00FE2D97" w:rsidP="00B1367C" w14:paraId="3D01B54C" w14:textId="77777777">
            <w:pPr>
              <w:pStyle w:val="AmColumnHeading"/>
              <w:spacing w:after="180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czwarte, osiągnięte porozumienie, z uwzględnieniem dokonanej przez Komisję oceny budżetowej w odniesieniu do treści procesu ustawodawczego, potwierdzane jest we wspólnym oświadczeniu; takie wspólne oświadczenie podlega zatwierdzeniu przez </w:t>
            </w:r>
            <w:r w:rsidRPr="00FE2D97">
              <w:rPr>
                <w:i w:val="0"/>
              </w:rPr>
              <w:t>Parlament Europejski i Radę zgodnie z ich regulaminami wewnętrznymi.</w:t>
            </w:r>
          </w:p>
          <w:p w:rsidR="00251551" w:rsidRPr="00FE2D97" w:rsidP="00B1367C" w14:paraId="0594F097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Taka sama procedura </w:t>
            </w:r>
            <w:r w:rsidRPr="00FE2D97">
              <w:rPr>
                <w:b/>
              </w:rPr>
              <w:t>powinna mieć</w:t>
            </w:r>
            <w:r w:rsidRPr="00FE2D97">
              <w:rPr>
                <w:i w:val="0"/>
              </w:rPr>
              <w:t xml:space="preserve"> zastosowanie w przypadku każdej zmiany aktu prawnego dotyczącego agencji zdecentralizowanej, która mogłaby mieć wpływ na zasoby danej agencji.</w:t>
            </w:r>
          </w:p>
        </w:tc>
        <w:tc>
          <w:tcPr>
            <w:tcW w:w="4876" w:type="dxa"/>
          </w:tcPr>
          <w:p w:rsidR="00251551" w:rsidRPr="00FE2D97" w:rsidP="00B1367C" w14:paraId="3DDE8B60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12.</w:t>
            </w:r>
            <w:r w:rsidRPr="00FE2D97">
              <w:rPr>
                <w:i w:val="0"/>
              </w:rPr>
              <w:tab/>
              <w:t>Przed przedłożeniem wniosku dotyczącego utworzenia nowej agencji zdecentralizowanej i</w:t>
            </w:r>
            <w:r w:rsidRPr="00FE2D97">
              <w:rPr>
                <w:b/>
                <w:bCs/>
                <w:iCs/>
              </w:rPr>
              <w:t>, w stosownych przypadka</w:t>
            </w:r>
            <w:r w:rsidRPr="00FE2D97">
              <w:rPr>
                <w:b/>
                <w:bCs/>
              </w:rPr>
              <w:t>ch,</w:t>
            </w:r>
            <w:r w:rsidRPr="00FE2D97">
              <w:t xml:space="preserve"> </w:t>
            </w:r>
            <w:r w:rsidRPr="00FE2D97">
              <w:rPr>
                <w:i w:val="0"/>
              </w:rPr>
              <w:t xml:space="preserve">po rozważeniu możliwości przydzielenia planowanych zadań istniejącej instytucji, organowi, urzędowi lub agencji, Komisja </w:t>
            </w:r>
            <w:r w:rsidRPr="00FE2D97">
              <w:rPr>
                <w:b/>
              </w:rPr>
              <w:t>sporządza</w:t>
            </w:r>
            <w:r w:rsidRPr="00FE2D97">
              <w:rPr>
                <w:i w:val="0"/>
              </w:rPr>
              <w:t xml:space="preserve"> należytą, pełną i obiektywną ocenę skutków, biorąc między innymi pod uwagę niezbędną liczbę personelu i potrzebne kwalifikacje, aspekty dotyczące kosztów i korzyści, spójność, pomocniczość i proporcjonalność, wpływ na działania na poziomie </w:t>
            </w:r>
            <w:r w:rsidRPr="00FE2D97">
              <w:rPr>
                <w:b/>
                <w:bCs/>
                <w:iCs/>
              </w:rPr>
              <w:t>krajowym i</w:t>
            </w:r>
            <w:r w:rsidRPr="00FE2D97">
              <w:rPr>
                <w:i w:val="0"/>
              </w:rPr>
              <w:t xml:space="preserve"> unijnym oraz skutki budżetowe dla danego działu wydatków.  Na podstawie tych informacji oraz bez uszczerbku dla </w:t>
            </w:r>
            <w:r w:rsidRPr="00FE2D97">
              <w:rPr>
                <w:b/>
              </w:rPr>
              <w:t>odnośnych</w:t>
            </w:r>
            <w:r w:rsidRPr="00FE2D97">
              <w:rPr>
                <w:i w:val="0"/>
              </w:rPr>
              <w:t xml:space="preserve"> procedur ustawodawczych Parlament Europejski i Rada zobowiązują się w ramach współpracy budżetowej osiągnąć na czas porozumienie.</w:t>
            </w:r>
          </w:p>
          <w:p w:rsidR="00251551" w:rsidRPr="00FE2D97" w:rsidP="00B1367C" w14:paraId="1D95B666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251551" w:rsidRPr="00FE2D97" w:rsidP="00B1367C" w14:paraId="13831656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Stosuje się następującą procedurę:</w:t>
            </w:r>
          </w:p>
          <w:p w:rsidR="00251551" w:rsidRPr="00FE2D97" w:rsidP="00B1367C" w14:paraId="26FCAC52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pierwsze, Komisja systematycznie przedstawia wszelkie wnioski dotyczące utworzenia nowej agencji zdecentralizowanej, podczas </w:t>
            </w:r>
            <w:r w:rsidRPr="00FE2D97">
              <w:rPr>
                <w:i w:val="0"/>
              </w:rPr>
              <w:t>pierwszej rundy budżetowych rozmów trójstronnych po przyjęciu jej wniosku oraz przedstawia ocenę skutków finansowych dołączaną do wniosku ustawodawczego, a także przedstawia jego konsekwencje dla pozostałego okresu programowania finansowego,</w:t>
            </w:r>
          </w:p>
          <w:p w:rsidR="00251551" w:rsidRPr="00FE2D97" w:rsidP="00B1367C" w14:paraId="466B9FC7" w14:textId="77777777">
            <w:pPr>
              <w:pStyle w:val="AmColumnHeading"/>
              <w:spacing w:after="48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drugie, w trakcie procesu ustawodawczego Komisja wspomaga prawodawcę w ocenie konsekwencji finansowych proponowanych zmian; te konsekwencje finansowe </w:t>
            </w:r>
            <w:r w:rsidRPr="00FE2D97">
              <w:rPr>
                <w:b/>
              </w:rPr>
              <w:t>bierze się</w:t>
            </w:r>
            <w:r w:rsidRPr="00FE2D97">
              <w:rPr>
                <w:i w:val="0"/>
              </w:rPr>
              <w:t xml:space="preserve"> pod uwagę podczas stosownych </w:t>
            </w:r>
            <w:r w:rsidRPr="00FE2D97">
              <w:rPr>
                <w:b/>
              </w:rPr>
              <w:t>ustawodawczych rozmów trójstronnych</w:t>
            </w:r>
            <w:r w:rsidRPr="00FE2D97">
              <w:rPr>
                <w:i w:val="0"/>
              </w:rPr>
              <w:t>;</w:t>
            </w:r>
          </w:p>
          <w:p w:rsidR="00251551" w:rsidRPr="00FE2D97" w:rsidP="00B1367C" w14:paraId="29DD74E7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 xml:space="preserve">po trzecie, przed zakończeniem procesu ustawodawczego Komisja przedstawia uaktualnioną ocenę skutków finansowych, uwzględniającą ewentualne zmiany wprowadzane przez prawodawcę; </w:t>
            </w:r>
            <w:r w:rsidRPr="00FE2D97">
              <w:rPr>
                <w:b/>
              </w:rPr>
              <w:t>prawodawca omawia tę zaktualizowaną ocenę</w:t>
            </w:r>
            <w:r w:rsidRPr="00FE2D97">
              <w:rPr>
                <w:i w:val="0"/>
              </w:rPr>
              <w:t xml:space="preserve"> skutków finansowych przed osiągnięciem ostatecznego porozumienia i formalnie </w:t>
            </w:r>
            <w:r w:rsidRPr="00FE2D97">
              <w:rPr>
                <w:b/>
              </w:rPr>
              <w:t>zatwierdza ostateczną ocenę skutków finansowych</w:t>
            </w:r>
            <w:r w:rsidRPr="00FE2D97">
              <w:rPr>
                <w:i w:val="0"/>
              </w:rPr>
              <w:t>;</w:t>
            </w:r>
            <w:r w:rsidRPr="00FE2D97">
              <w:t xml:space="preserve"> </w:t>
            </w:r>
            <w:r w:rsidRPr="00FE2D97">
              <w:rPr>
                <w:b/>
              </w:rPr>
              <w:t>tę ostateczną ocenę skutków finansowych</w:t>
            </w:r>
            <w:r w:rsidRPr="00FE2D97">
              <w:rPr>
                <w:i w:val="0"/>
              </w:rPr>
              <w:t xml:space="preserve"> umieszcza się również w porządku obrad następnej rundy budżetowych rozmów trójstronnych (w pilnych przypadkach w uproszczonej formie), z myślą o osiągnięciu porozumienia w sprawie finansowania,</w:t>
            </w:r>
          </w:p>
          <w:p w:rsidR="00251551" w:rsidRPr="00FE2D97" w:rsidP="00B1367C" w14:paraId="2FDA9311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–</w:t>
            </w:r>
            <w:r w:rsidRPr="00FE2D97">
              <w:rPr>
                <w:i w:val="0"/>
              </w:rPr>
              <w:tab/>
              <w:t>po czwarte, osiągnięte porozumienie, z uwzględnieniem dokonanej przez Komisję oceny budżetowej w odniesieniu do treści procesu ustawodawczego, potwierdzane jest we wspólnym oświadczeniu; takie wspólne oświadczenie podlega zatwierdzeniu przez Parlament Europejski i Radę zgodnie z ich regulaminami wewnętrznymi.</w:t>
            </w:r>
          </w:p>
          <w:p w:rsidR="00251551" w:rsidRPr="00FE2D97" w:rsidP="00B1367C" w14:paraId="6F48C226" w14:textId="77777777">
            <w:pPr>
              <w:pStyle w:val="AmColumnHeading"/>
              <w:widowControl w:val="0"/>
              <w:jc w:val="left"/>
              <w:rPr>
                <w:b/>
                <w:bCs/>
              </w:rPr>
            </w:pPr>
            <w:r w:rsidRPr="00FE2D97">
              <w:rPr>
                <w:b/>
              </w:rPr>
              <w:t>Wraz z projektem budżetu Komisja przedstawia skonsolidowany roczny przegląd wszystkich zmian wprowadzonych w programach i agencjach w porównaniu z poziomem bazowym WRF.</w:t>
            </w:r>
          </w:p>
          <w:p w:rsidR="00251551" w:rsidRPr="00FE2D97" w:rsidP="00B1367C" w14:paraId="554D16E0" w14:textId="77777777">
            <w:pPr>
              <w:pStyle w:val="AmColumnHeading"/>
              <w:widowControl w:val="0"/>
              <w:jc w:val="left"/>
              <w:rPr>
                <w:szCs w:val="24"/>
              </w:rPr>
            </w:pPr>
            <w:r w:rsidRPr="00FE2D97">
              <w:rPr>
                <w:i w:val="0"/>
              </w:rPr>
              <w:t xml:space="preserve">Taka sama procedura </w:t>
            </w:r>
            <w:r w:rsidRPr="00FE2D97">
              <w:rPr>
                <w:b/>
              </w:rPr>
              <w:t>ma</w:t>
            </w:r>
            <w:r w:rsidRPr="00FE2D97">
              <w:rPr>
                <w:i w:val="0"/>
              </w:rPr>
              <w:t xml:space="preserve"> zastosowanie w przypadku każdej zmiany aktu prawnego dotyczącego agencji zdecentralizowanej, która mogłaby mieć wpływ na zasoby danej agencji.</w:t>
            </w:r>
          </w:p>
        </w:tc>
      </w:tr>
    </w:tbl>
    <w:p w:rsidR="00251551" w:rsidRPr="00FE2D97" w:rsidP="00251551" w14:paraId="2ED9CF26" w14:textId="77777777"/>
    <w:p w:rsidR="00251551" w:rsidRPr="00FE2D97" w:rsidP="00251551" w14:paraId="74ECB859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33</w:t>
      </w:r>
    </w:p>
    <w:p w:rsidR="00251551" w:rsidRPr="00FE2D97" w:rsidP="00251551" w14:paraId="38691C7A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33764EC3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5CB84B88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B – punkt 13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BA4C0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25367F31" w14:textId="77777777">
            <w:pPr>
              <w:keepNext/>
            </w:pPr>
          </w:p>
        </w:tc>
      </w:tr>
      <w:tr w14:paraId="71D4FB7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403582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2F588437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54D0CB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2C0A528" w14:textId="77777777">
            <w:pPr>
              <w:pStyle w:val="AmColumnHeading"/>
              <w:jc w:val="left"/>
              <w:rPr>
                <w:i w:val="0"/>
              </w:rPr>
            </w:pPr>
            <w:r w:rsidRPr="00FE2D97">
              <w:rPr>
                <w:i w:val="0"/>
              </w:rPr>
              <w:t>13.</w:t>
            </w:r>
            <w:r w:rsidRPr="00FE2D97">
              <w:rPr>
                <w:i w:val="0"/>
              </w:rPr>
              <w:tab/>
              <w:t xml:space="preserve">Odpowiednie przepisy wspólnego podejścia załączonego do wspólnego oświadczenia Parlamentu Europejskiego, Rady Unii Europejskiej oraz Komisji Europejskiej w sprawie zdecentralizowanych agencji podpisanego w dniu 19 lipca 2012 r. </w:t>
            </w:r>
            <w:r w:rsidRPr="00FE2D97">
              <w:rPr>
                <w:b/>
              </w:rPr>
              <w:t>powinny zostać</w:t>
            </w:r>
            <w:r w:rsidRPr="00FE2D97">
              <w:rPr>
                <w:i w:val="0"/>
              </w:rPr>
              <w:t xml:space="preserve"> należycie </w:t>
            </w:r>
            <w:r w:rsidRPr="00FE2D97">
              <w:rPr>
                <w:b/>
              </w:rPr>
              <w:t>uwzględnione</w:t>
            </w:r>
            <w:r w:rsidRPr="00FE2D97">
              <w:rPr>
                <w:i w:val="0"/>
              </w:rPr>
              <w:t xml:space="preserve"> w procedurze budżetowej.</w:t>
            </w:r>
          </w:p>
          <w:p w:rsidR="00251551" w:rsidRPr="00FE2D97" w:rsidP="00B1367C" w14:paraId="038CB299" w14:textId="77777777">
            <w:pPr>
              <w:pStyle w:val="AmColumnHeading"/>
              <w:jc w:val="left"/>
              <w:rPr>
                <w:b/>
                <w:bCs/>
                <w:iCs/>
              </w:rPr>
            </w:pPr>
          </w:p>
        </w:tc>
        <w:tc>
          <w:tcPr>
            <w:tcW w:w="4876" w:type="dxa"/>
          </w:tcPr>
          <w:p w:rsidR="00251551" w:rsidRPr="00FE2D97" w:rsidP="00B1367C" w14:paraId="47AC3A80" w14:textId="77777777">
            <w:pPr>
              <w:pStyle w:val="AmColumnHeading"/>
              <w:widowControl w:val="0"/>
              <w:jc w:val="left"/>
              <w:rPr>
                <w:i w:val="0"/>
                <w:iCs/>
                <w:szCs w:val="24"/>
              </w:rPr>
            </w:pPr>
            <w:r w:rsidRPr="00FE2D97">
              <w:rPr>
                <w:i w:val="0"/>
              </w:rPr>
              <w:t>13.</w:t>
            </w:r>
            <w:r w:rsidRPr="00FE2D97">
              <w:rPr>
                <w:i w:val="0"/>
              </w:rPr>
              <w:tab/>
              <w:t xml:space="preserve">Odpowiednie przepisy wspólnego podejścia załączonego do wspólnego oświadczenia Parlamentu Europejskiego, Rady Unii Europejskiej oraz Komisji Europejskiej w sprawie zdecentralizowanych agencji podpisanego w dniu 19 lipca 2012 r. należycie </w:t>
            </w:r>
            <w:r w:rsidRPr="00FE2D97">
              <w:rPr>
                <w:b/>
              </w:rPr>
              <w:t>uwzględnia się</w:t>
            </w:r>
            <w:r w:rsidRPr="00FE2D97">
              <w:rPr>
                <w:i w:val="0"/>
              </w:rPr>
              <w:t xml:space="preserve"> w procedurze budżetowej.</w:t>
            </w:r>
          </w:p>
        </w:tc>
      </w:tr>
    </w:tbl>
    <w:p w:rsidR="00251551" w:rsidRPr="00FE2D97" w:rsidP="00251551" w14:paraId="67ED24D0" w14:textId="77777777"/>
    <w:p w:rsidR="00251551" w:rsidRPr="00FE2D97" w:rsidP="00251551" w14:paraId="0FAA2E1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34</w:t>
      </w:r>
    </w:p>
    <w:p w:rsidR="00251551" w:rsidRPr="00FE2D97" w:rsidP="00251551" w14:paraId="0EB6B266" w14:textId="77777777">
      <w:pPr>
        <w:pStyle w:val="NormalBold12b"/>
        <w:keepNext/>
      </w:pPr>
      <w:r w:rsidRPr="00FE2D97">
        <w:t>Wniosek dotyczący porozumienia międzyinstytucjonalnego</w:t>
      </w:r>
    </w:p>
    <w:p w:rsidR="00251551" w:rsidRPr="00FE2D97" w:rsidP="00251551" w14:paraId="11E6B392" w14:textId="77777777">
      <w:pPr>
        <w:pStyle w:val="NormalBold"/>
      </w:pPr>
      <w:r w:rsidRPr="00FE2D97">
        <w:t>Część III</w:t>
      </w:r>
    </w:p>
    <w:p w:rsidR="00251551" w:rsidRPr="00FE2D97" w:rsidP="00251551" w14:paraId="5A83AA93" w14:textId="77777777">
      <w:r w:rsidRPr="00FE2D97">
        <w:t>Sekcja B – punkt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1BF3F8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833AEA2" w14:textId="77777777">
            <w:pPr>
              <w:keepNext/>
            </w:pPr>
          </w:p>
        </w:tc>
      </w:tr>
      <w:tr w14:paraId="5F6A6667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0F55DEF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0217AA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13DB5FC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FE7572F" w14:textId="77777777">
            <w:pPr>
              <w:pStyle w:val="Normal6a"/>
            </w:pPr>
            <w:r w:rsidRPr="00FE2D97">
              <w:t>14.</w:t>
            </w:r>
            <w:r w:rsidRPr="00FE2D97">
              <w:tab/>
              <w:t xml:space="preserve">W </w:t>
            </w:r>
            <w:r w:rsidRPr="00FE2D97">
              <w:t>przypadku</w:t>
            </w:r>
            <w:r w:rsidRPr="00FE2D97">
              <w:t xml:space="preserve"> gdy Zarząd Szkół Europejskich planuje utworzenie nowej szkoły europejskiej</w:t>
            </w:r>
            <w:r w:rsidRPr="00FE2D97">
              <w:rPr>
                <w:b/>
                <w:bCs/>
                <w:i/>
                <w:iCs/>
              </w:rPr>
              <w:t xml:space="preserve">, należy odpowiednio zastosować podobną procedurę </w:t>
            </w:r>
            <w:r w:rsidRPr="00FE2D97">
              <w:rPr>
                <w:b/>
                <w:bCs/>
                <w:i/>
                <w:iCs/>
              </w:rPr>
              <w:t>w odniesieniu do skutków jej utworzenia dla budżetu Unii.</w:t>
            </w:r>
          </w:p>
        </w:tc>
        <w:tc>
          <w:tcPr>
            <w:tcW w:w="4876" w:type="dxa"/>
          </w:tcPr>
          <w:p w:rsidR="00251551" w:rsidRPr="00FE2D97" w:rsidP="00B1367C" w14:paraId="390870C7" w14:textId="77777777">
            <w:pPr>
              <w:pStyle w:val="Normal6a"/>
              <w:rPr>
                <w:szCs w:val="24"/>
              </w:rPr>
            </w:pPr>
            <w:r w:rsidRPr="00FE2D97">
              <w:t>14.</w:t>
            </w:r>
            <w:r w:rsidRPr="00FE2D97">
              <w:tab/>
            </w:r>
            <w:r w:rsidRPr="00FE2D97">
              <w:rPr>
                <w:b/>
                <w:bCs/>
                <w:i/>
                <w:iCs/>
              </w:rPr>
              <w:t>Komisja powiadamia Parlament Europejski i Radę,</w:t>
            </w:r>
            <w:r w:rsidRPr="00FE2D97">
              <w:t xml:space="preserve"> w </w:t>
            </w:r>
            <w:r w:rsidRPr="00FE2D97">
              <w:t>przypadku</w:t>
            </w:r>
            <w:r w:rsidRPr="00FE2D97">
              <w:t xml:space="preserve"> gdy Zarząd Szkół Europejskich planuje utworzenie </w:t>
            </w:r>
            <w:r w:rsidRPr="00FE2D97">
              <w:rPr>
                <w:b/>
                <w:bCs/>
                <w:i/>
                <w:iCs/>
              </w:rPr>
              <w:t>lub rozszerzenie</w:t>
            </w:r>
            <w:r w:rsidRPr="00FE2D97">
              <w:t xml:space="preserve"> nowej szkoły europejskiej </w:t>
            </w:r>
            <w:r w:rsidRPr="00FE2D97">
              <w:rPr>
                <w:b/>
                <w:bCs/>
                <w:i/>
                <w:iCs/>
              </w:rPr>
              <w:t xml:space="preserve">po raz pierwszy, za pomocą </w:t>
            </w:r>
            <w:r w:rsidRPr="00FE2D97">
              <w:rPr>
                <w:b/>
                <w:bCs/>
                <w:i/>
                <w:iCs/>
              </w:rPr>
              <w:t>sprawozdania zawierającego wstępne informacje na temat proponowanego utworzenia lub rozszerzenia szkoły, w tym ich wpływu na budżet.</w:t>
            </w:r>
            <w:r w:rsidRPr="00FE2D97">
              <w:rPr>
                <w:b/>
                <w:i/>
              </w:rPr>
              <w:t xml:space="preserve"> Niezwłocznie po podjęciu przez Zarząd decyzji o utworzeniu lub rozszerzeniu szkoły Komisja przedstawia Parlamentowi Europejskiemu i Radzie drugie sprawozdanie zawierające aktualne informacje na temat wpływu tej decyzji na budżet.</w:t>
            </w:r>
          </w:p>
        </w:tc>
      </w:tr>
    </w:tbl>
    <w:p w:rsidR="00251551" w:rsidRPr="00FE2D97" w:rsidP="00251551" w14:paraId="61F72FAF" w14:textId="77777777"/>
    <w:p w:rsidR="00251551" w:rsidRPr="00FE2D97" w:rsidP="00251551" w14:paraId="62ED4236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35</w:t>
      </w:r>
    </w:p>
    <w:p w:rsidR="00251551" w:rsidRPr="00FE2D97" w:rsidP="00251551" w14:paraId="4311F233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22856D8A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73C806E5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B – punkt 15 </w:t>
      </w:r>
    </w:p>
    <w:p w:rsidR="00251551" w:rsidRPr="00FE2D97" w:rsidP="00251551" w14:paraId="5BBD6F22" w14:textId="77777777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05C21A4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D5D5395" w14:textId="77777777">
            <w:pPr>
              <w:keepNext/>
            </w:pPr>
          </w:p>
        </w:tc>
      </w:tr>
      <w:tr w14:paraId="5F92098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983785A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3AD047D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832AAA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00852D69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>15.</w:t>
            </w:r>
            <w:r w:rsidRPr="00FE2D97">
              <w:rPr>
                <w:i w:val="0"/>
              </w:rPr>
              <w:tab/>
              <w:t xml:space="preserve">Jeżeli Komisja przedkłada wniosek w sprawie przyjęcia aktu Rady na podstawie art. 122 TFUE, który to akt może mieć istotny wpływ na budżet Unii, zastosowanie </w:t>
            </w:r>
            <w:r w:rsidRPr="00FE2D97">
              <w:rPr>
                <w:b/>
              </w:rPr>
              <w:t>mogą mieć</w:t>
            </w:r>
            <w:r w:rsidRPr="00FE2D97">
              <w:rPr>
                <w:i w:val="0"/>
              </w:rPr>
              <w:t xml:space="preserve"> następujące ustalenia dotyczące procedury kontroli budżetowej między Parlamentem Europejskim a Radą przy aktywnym wsparciu ze strony Komisji.</w:t>
            </w:r>
          </w:p>
        </w:tc>
        <w:tc>
          <w:tcPr>
            <w:tcW w:w="4876" w:type="dxa"/>
          </w:tcPr>
          <w:p w:rsidR="00251551" w:rsidRPr="00FE2D97" w:rsidP="00B1367C" w14:paraId="102BB7B1" w14:textId="77777777">
            <w:pPr>
              <w:pStyle w:val="AmColumnHeading"/>
              <w:jc w:val="left"/>
              <w:rPr>
                <w:szCs w:val="24"/>
              </w:rPr>
            </w:pPr>
            <w:r w:rsidRPr="00FE2D97">
              <w:rPr>
                <w:i w:val="0"/>
              </w:rPr>
              <w:t>15.</w:t>
            </w:r>
            <w:r w:rsidRPr="00FE2D97">
              <w:rPr>
                <w:i w:val="0"/>
              </w:rPr>
              <w:tab/>
              <w:t xml:space="preserve">Jeżeli Komisja przedkłada wniosek w sprawie przyjęcia aktu Rady na podstawie art. 122 TFUE, który to akt może mieć istotny wpływ na budżet Unii, zastosowanie </w:t>
            </w:r>
            <w:r w:rsidRPr="00FE2D97">
              <w:rPr>
                <w:b/>
              </w:rPr>
              <w:t>mają</w:t>
            </w:r>
            <w:r w:rsidRPr="00FE2D97">
              <w:rPr>
                <w:i w:val="0"/>
              </w:rPr>
              <w:t xml:space="preserve"> następujące ustalenia dotyczące procedury kontroli budżetowej między Parlamentem Europejskim a Radą przy aktywnym wsparciu ze strony Komisji.</w:t>
            </w:r>
          </w:p>
        </w:tc>
      </w:tr>
    </w:tbl>
    <w:p w:rsidR="00251551" w:rsidRPr="00FE2D97" w:rsidP="00251551" w14:paraId="4ACA04ED" w14:textId="77777777"/>
    <w:p w:rsidR="00251551" w:rsidRPr="00FE2D97" w:rsidP="00251551" w14:paraId="432BCD24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36</w:t>
      </w:r>
    </w:p>
    <w:p w:rsidR="00251551" w:rsidRPr="00FE2D97" w:rsidP="00251551" w14:paraId="0269BE24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2DB0194F" w14:textId="77777777">
      <w:pPr>
        <w:pStyle w:val="NormalBold12b"/>
        <w:keepNext/>
        <w:spacing w:before="0"/>
      </w:pPr>
      <w:r w:rsidRPr="00FE2D97">
        <w:t xml:space="preserve"> Część II</w:t>
      </w:r>
    </w:p>
    <w:p w:rsidR="00251551" w:rsidRPr="00FE2D97" w:rsidP="00251551" w14:paraId="57C7C850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B – punkt 16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61B4E7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265C8306" w14:textId="77777777">
            <w:pPr>
              <w:keepNext/>
            </w:pPr>
          </w:p>
        </w:tc>
      </w:tr>
      <w:tr w14:paraId="0DD51F9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09E7B3C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7AEA6943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07CF0E1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42974DD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16.</w:t>
            </w:r>
            <w:r w:rsidRPr="00FE2D97">
              <w:rPr>
                <w:i w:val="0"/>
              </w:rPr>
              <w:tab/>
              <w:t xml:space="preserve">Do każdego wniosku dotyczącego aktu Rady na podstawie art. 122 TFUE Komisja </w:t>
            </w:r>
            <w:r w:rsidRPr="00FE2D97">
              <w:rPr>
                <w:b/>
              </w:rPr>
              <w:t>będzie dołączać</w:t>
            </w:r>
            <w:r w:rsidRPr="00FE2D97">
              <w:rPr>
                <w:i w:val="0"/>
              </w:rPr>
              <w:t xml:space="preserve"> ocenę wpływu proponowanego aktu prawnego na budżet, wskazując, czy jej zdaniem dany akt może mieć istotny wpływ na budżet Unii. Na tej podstawie Parlament Europejski i Rada </w:t>
            </w:r>
            <w:r w:rsidRPr="00FE2D97">
              <w:rPr>
                <w:i w:val="0"/>
              </w:rPr>
              <w:t>mogą wystąpić z wnioskiem o wszczęcie procedury.</w:t>
            </w:r>
          </w:p>
          <w:p w:rsidR="00251551" w:rsidRPr="00FE2D97" w:rsidP="00B1367C" w14:paraId="0575250B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Procedura </w:t>
            </w:r>
            <w:r w:rsidRPr="00FE2D97">
              <w:rPr>
                <w:b/>
              </w:rPr>
              <w:t>będzie odbywać</w:t>
            </w:r>
            <w:r w:rsidRPr="00FE2D97">
              <w:rPr>
                <w:i w:val="0"/>
              </w:rPr>
              <w:t xml:space="preserve"> się w ramach wspólnego komitetu złożonego z przedstawicieli Parlamentu Europejskiego i Rady na odpowiednim szczeblu. W pracach wspólnego komitetu </w:t>
            </w:r>
            <w:r w:rsidRPr="00FE2D97">
              <w:rPr>
                <w:b/>
              </w:rPr>
              <w:t>uczestniczyć będzie</w:t>
            </w:r>
            <w:r w:rsidRPr="00FE2D97">
              <w:rPr>
                <w:i w:val="0"/>
              </w:rPr>
              <w:t xml:space="preserve"> Komisja.</w:t>
            </w:r>
          </w:p>
          <w:p w:rsidR="00251551" w:rsidRPr="00FE2D97" w:rsidP="00B1367C" w14:paraId="7A1AD9E7" w14:textId="77777777">
            <w:pPr>
              <w:pStyle w:val="AmColumnHeading"/>
              <w:spacing w:after="600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Bez uszczerbku dla uprawnień Rady na podstawie art. 122 TFUE Parlament Europejski i Rada </w:t>
            </w:r>
            <w:r w:rsidRPr="00FE2D97">
              <w:rPr>
                <w:b/>
              </w:rPr>
              <w:t>podejmą</w:t>
            </w:r>
            <w:r w:rsidRPr="00FE2D97">
              <w:rPr>
                <w:i w:val="0"/>
              </w:rPr>
              <w:t xml:space="preserve"> konstruktywny dialog z myślą o wypracowaniu wspólnego zrozumienia wpływu planowanego aktu prawnego na budżet, z należytym uwzględnieniem pilnego charakteru sprawy.</w:t>
            </w:r>
          </w:p>
          <w:p w:rsidR="00251551" w:rsidRPr="00FE2D97" w:rsidP="00B1367C" w14:paraId="73267AFC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 xml:space="preserve">Procedura </w:t>
            </w:r>
            <w:r w:rsidRPr="00FE2D97">
              <w:rPr>
                <w:b/>
              </w:rPr>
              <w:t>powinna odbyć</w:t>
            </w:r>
            <w:r w:rsidRPr="00FE2D97">
              <w:rPr>
                <w:i w:val="0"/>
              </w:rPr>
              <w:t xml:space="preserve"> się w okresie nieprzekraczającym dwóch miesięcy</w:t>
            </w:r>
            <w:r w:rsidRPr="00FE2D97">
              <w:rPr>
                <w:b/>
              </w:rPr>
              <w:t>, chyba że</w:t>
            </w:r>
            <w:r w:rsidRPr="00FE2D97">
              <w:rPr>
                <w:i w:val="0"/>
              </w:rPr>
              <w:t xml:space="preserve"> dany akt musi zostać przyjęty przed </w:t>
            </w:r>
            <w:r w:rsidRPr="00FE2D97">
              <w:rPr>
                <w:b/>
              </w:rPr>
              <w:t>określoną datą,</w:t>
            </w:r>
            <w:r w:rsidRPr="00FE2D97">
              <w:rPr>
                <w:i w:val="0"/>
              </w:rPr>
              <w:t xml:space="preserve"> </w:t>
            </w:r>
            <w:r w:rsidRPr="00FE2D97">
              <w:rPr>
                <w:i w:val="0"/>
              </w:rPr>
              <w:t>lub</w:t>
            </w:r>
            <w:r w:rsidRPr="00FE2D97">
              <w:rPr>
                <w:b/>
              </w:rPr>
              <w:t>,</w:t>
            </w:r>
            <w:r w:rsidRPr="00FE2D97">
              <w:rPr>
                <w:i w:val="0"/>
              </w:rPr>
              <w:t xml:space="preserve"> jeżeli wymaga tego pilny charakter sprawy,</w:t>
            </w:r>
            <w:r w:rsidRPr="00FE2D97">
              <w:t xml:space="preserve"> </w:t>
            </w:r>
            <w:r w:rsidRPr="00FE2D97">
              <w:rPr>
                <w:b/>
              </w:rPr>
              <w:t>w krótszym terminie ustalonym przez Radę</w:t>
            </w:r>
            <w:r w:rsidRPr="00FE2D97">
              <w:t>.</w:t>
            </w:r>
          </w:p>
        </w:tc>
        <w:tc>
          <w:tcPr>
            <w:tcW w:w="4876" w:type="dxa"/>
          </w:tcPr>
          <w:p w:rsidR="00251551" w:rsidRPr="00FE2D97" w:rsidP="00B1367C" w14:paraId="2649105B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>16.</w:t>
            </w:r>
            <w:r w:rsidRPr="00FE2D97">
              <w:rPr>
                <w:i w:val="0"/>
              </w:rPr>
              <w:tab/>
              <w:t xml:space="preserve">Do każdego wniosku dotyczącego aktu Rady na podstawie art. 122 TFUE Komisja </w:t>
            </w:r>
            <w:r w:rsidRPr="00FE2D97">
              <w:rPr>
                <w:b/>
              </w:rPr>
              <w:t>dołącza</w:t>
            </w:r>
            <w:r w:rsidRPr="00FE2D97">
              <w:rPr>
                <w:i w:val="0"/>
              </w:rPr>
              <w:t xml:space="preserve"> ocenę wpływu proponowanego aktu prawnego na budżet, wskazując, czy jej zdaniem dany akt może mieć istotny wpływ na budżet Unii. Na tej podstawie Parlament Europejski i Rada </w:t>
            </w:r>
            <w:r w:rsidRPr="00FE2D97">
              <w:rPr>
                <w:i w:val="0"/>
              </w:rPr>
              <w:t>mogą wystąpić z wnioskiem o wszczęcie procedury.</w:t>
            </w:r>
          </w:p>
          <w:p w:rsidR="00251551" w:rsidRPr="00FE2D97" w:rsidP="00B1367C" w14:paraId="5C0541CF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Procedura </w:t>
            </w:r>
            <w:r w:rsidRPr="00FE2D97">
              <w:rPr>
                <w:b/>
              </w:rPr>
              <w:t>odbywa</w:t>
            </w:r>
            <w:r w:rsidRPr="00FE2D97">
              <w:rPr>
                <w:i w:val="0"/>
              </w:rPr>
              <w:t xml:space="preserve"> się w ramach wspólnego komitetu złożonego z przedstawicieli Parlamentu Europejskiego i Rady na odpowiednim szczeblu. W pracach wspólnego komitetu </w:t>
            </w:r>
            <w:r w:rsidRPr="00FE2D97">
              <w:rPr>
                <w:b/>
              </w:rPr>
              <w:t>uczestniczy</w:t>
            </w:r>
            <w:r w:rsidRPr="00FE2D97">
              <w:rPr>
                <w:i w:val="0"/>
              </w:rPr>
              <w:t xml:space="preserve"> Komisja.</w:t>
            </w:r>
          </w:p>
          <w:p w:rsidR="00251551" w:rsidRPr="00FE2D97" w:rsidP="00B1367C" w14:paraId="50BA785E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FE2D97">
              <w:rPr>
                <w:i w:val="0"/>
              </w:rPr>
              <w:t xml:space="preserve">Bez uszczerbku dla uprawnień Rady na podstawie art. 122 TFUE Parlament Europejski i Rada </w:t>
            </w:r>
            <w:r w:rsidRPr="00FE2D97">
              <w:rPr>
                <w:b/>
              </w:rPr>
              <w:t>podejmują</w:t>
            </w:r>
            <w:r w:rsidRPr="00FE2D97">
              <w:rPr>
                <w:i w:val="0"/>
              </w:rPr>
              <w:t xml:space="preserve"> konstruktywny dialog z myślą o wypracowaniu </w:t>
            </w:r>
            <w:r w:rsidRPr="00FE2D97">
              <w:rPr>
                <w:b/>
              </w:rPr>
              <w:t>na piśmie</w:t>
            </w:r>
            <w:r w:rsidRPr="00FE2D97">
              <w:rPr>
                <w:i w:val="0"/>
              </w:rPr>
              <w:t xml:space="preserve"> wspólnego zrozumienia wpływu planowanego aktu prawnego na budżet, z należytym uwzględnieniem pilnego charakteru sprawy.</w:t>
            </w:r>
          </w:p>
          <w:p w:rsidR="00251551" w:rsidRPr="00FE2D97" w:rsidP="00B1367C" w14:paraId="1CA883A5" w14:textId="77777777">
            <w:pPr>
              <w:pStyle w:val="AmColumnHeading"/>
              <w:jc w:val="left"/>
              <w:rPr>
                <w:szCs w:val="24"/>
              </w:rPr>
            </w:pPr>
            <w:r w:rsidRPr="00FE2D97">
              <w:rPr>
                <w:i w:val="0"/>
              </w:rPr>
              <w:t xml:space="preserve">Procedura </w:t>
            </w:r>
            <w:r w:rsidRPr="00FE2D97">
              <w:rPr>
                <w:b/>
              </w:rPr>
              <w:t>odbywa</w:t>
            </w:r>
            <w:r w:rsidRPr="00FE2D97">
              <w:rPr>
                <w:i w:val="0"/>
              </w:rPr>
              <w:t xml:space="preserve"> się w okresie nieprzekraczającym dwóch miesięcy </w:t>
            </w:r>
            <w:r w:rsidRPr="00FE2D97">
              <w:rPr>
                <w:b/>
              </w:rPr>
              <w:t>od daty jej wszczęcia. Jeżeli</w:t>
            </w:r>
            <w:r w:rsidRPr="00FE2D97">
              <w:rPr>
                <w:i w:val="0"/>
              </w:rPr>
              <w:t xml:space="preserve"> dany akt musi zostać przyjęty przed </w:t>
            </w:r>
            <w:r w:rsidRPr="00FE2D97">
              <w:rPr>
                <w:b/>
              </w:rPr>
              <w:t>upływem tego dwumiesięcznego terminu</w:t>
            </w:r>
            <w:r w:rsidRPr="00FE2D97">
              <w:rPr>
                <w:i w:val="0"/>
              </w:rPr>
              <w:t xml:space="preserve"> lub jeżeli wymaga tego pilny charakter sprawy, </w:t>
            </w:r>
            <w:r w:rsidRPr="00FE2D97">
              <w:rPr>
                <w:b/>
              </w:rPr>
              <w:t>Parlament Europejski i Rada mogą za wspólnym porozumieniem skrócić ten termin</w:t>
            </w:r>
            <w:r w:rsidRPr="00FE2D97">
              <w:t>.</w:t>
            </w:r>
          </w:p>
        </w:tc>
      </w:tr>
    </w:tbl>
    <w:p w:rsidR="00251551" w:rsidRPr="00FE2D97" w:rsidP="00251551" w14:paraId="2D5C1DDD" w14:textId="77777777"/>
    <w:p w:rsidR="00251551" w:rsidRPr="00FE2D97" w:rsidP="00251551" w14:paraId="41F25FC8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37</w:t>
      </w:r>
    </w:p>
    <w:p w:rsidR="00251551" w:rsidRPr="00FE2D97" w:rsidP="00251551" w14:paraId="0A5153DA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6D0A7DA7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468356FE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Sekcja A – tytuł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BB19223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7AD3AB2" w14:textId="77777777">
            <w:pPr>
              <w:keepNext/>
            </w:pPr>
          </w:p>
        </w:tc>
      </w:tr>
      <w:tr w14:paraId="75C65CE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6400987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51BA5E74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53AAF7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5E634A6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 xml:space="preserve">A. WYKONANIE BUDŻETU, PŁATNOŚCI </w:t>
            </w:r>
            <w:r w:rsidRPr="00FE2D97">
              <w:rPr>
                <w:b/>
              </w:rPr>
              <w:t>I</w:t>
            </w:r>
            <w:r w:rsidRPr="00FE2D97">
              <w:t> </w:t>
            </w:r>
            <w:r w:rsidRPr="00FE2D97">
              <w:rPr>
                <w:i w:val="0"/>
              </w:rPr>
              <w:t>ZOBOWIĄZANIA POZOSTAJĄCE DO REALIZACJI (RAL)</w:t>
            </w:r>
          </w:p>
        </w:tc>
        <w:tc>
          <w:tcPr>
            <w:tcW w:w="4876" w:type="dxa"/>
          </w:tcPr>
          <w:p w:rsidR="00251551" w:rsidRPr="00FE2D97" w:rsidP="00B1367C" w14:paraId="7B7EA988" w14:textId="77777777">
            <w:pPr>
              <w:pStyle w:val="AmColumnHeading"/>
              <w:jc w:val="left"/>
              <w:rPr>
                <w:szCs w:val="24"/>
              </w:rPr>
            </w:pPr>
            <w:r w:rsidRPr="00FE2D97">
              <w:rPr>
                <w:i w:val="0"/>
              </w:rPr>
              <w:t>A. WYKONANIE BUDŻETU, PŁATNOŚCI</w:t>
            </w:r>
            <w:r w:rsidRPr="00FE2D97">
              <w:rPr>
                <w:b/>
              </w:rPr>
              <w:t>,</w:t>
            </w:r>
            <w:r w:rsidRPr="00FE2D97">
              <w:rPr>
                <w:i w:val="0"/>
              </w:rPr>
              <w:t xml:space="preserve"> ZOBOWIĄZANIA POZOSTAJĄCE DO REALIZACJI (RAL) </w:t>
            </w:r>
            <w:r w:rsidRPr="00FE2D97">
              <w:rPr>
                <w:b/>
              </w:rPr>
              <w:t>I ZOBOWIĄZANIA WARUNKOWE</w:t>
            </w:r>
          </w:p>
        </w:tc>
      </w:tr>
    </w:tbl>
    <w:p w:rsidR="00251551" w:rsidRPr="00FE2D97" w:rsidP="00251551" w14:paraId="7769E874" w14:textId="77777777"/>
    <w:p w:rsidR="00251551" w:rsidRPr="00FE2D97" w:rsidP="00251551" w14:paraId="350798E3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38</w:t>
      </w:r>
    </w:p>
    <w:p w:rsidR="00251551" w:rsidRPr="00FE2D97" w:rsidP="00251551" w14:paraId="7F8101EB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1333A330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3F082402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A – punkt 19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B18E5C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65A23B7" w14:textId="77777777">
            <w:pPr>
              <w:keepNext/>
            </w:pPr>
          </w:p>
        </w:tc>
      </w:tr>
      <w:tr w14:paraId="1A8DDE8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5346D12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7491A98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40CDB8A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F9EF2C7" w14:textId="77777777">
            <w:pPr>
              <w:pStyle w:val="AmColumnHeading"/>
              <w:jc w:val="left"/>
              <w:rPr>
                <w:iCs/>
              </w:rPr>
            </w:pPr>
            <w:r w:rsidRPr="00FE2D97">
              <w:rPr>
                <w:i w:val="0"/>
              </w:rPr>
              <w:t>19.</w:t>
            </w:r>
            <w:r w:rsidRPr="00FE2D97">
              <w:tab/>
            </w:r>
            <w:r w:rsidRPr="00FE2D97">
              <w:rPr>
                <w:b/>
              </w:rPr>
              <w:t>Z uwagi na potrzebę</w:t>
            </w:r>
            <w:r w:rsidRPr="00FE2D97">
              <w:rPr>
                <w:i w:val="0"/>
              </w:rPr>
              <w:t xml:space="preserve"> zapewnienia należytego rozłożenia w czasie całkowitych środków na płatności względem środków na zobowiązania, tak aby uniknąć wszelkich nieprawidłowych przeniesień zobowiązań pozostających do realizacji, instytucje uzgadniają, że będą ściśle monitorować prognozy dotyczące płatności i poziom zobowiązań pozostających do realizacji</w:t>
            </w:r>
            <w:r w:rsidRPr="00FE2D97">
              <w:rPr>
                <w:b/>
              </w:rPr>
              <w:t>, aby ograniczyć ryzyko utrudniania realizacji programów Unii z powodu braku środków na płatności pod koniec obowiązywania WRF</w:t>
            </w:r>
            <w:r w:rsidRPr="00FE2D97">
              <w:t>.</w:t>
            </w:r>
          </w:p>
          <w:p w:rsidR="00251551" w:rsidRPr="00FE2D97" w:rsidP="00B1367C" w14:paraId="1FD4A14C" w14:textId="77777777">
            <w:pPr>
              <w:pStyle w:val="AmColumnHeading"/>
              <w:jc w:val="left"/>
              <w:rPr>
                <w:iCs/>
              </w:rPr>
            </w:pPr>
          </w:p>
          <w:p w:rsidR="00251551" w:rsidRPr="00FE2D97" w:rsidP="00B1367C" w14:paraId="3B3CB4C1" w14:textId="77777777">
            <w:pPr>
              <w:pStyle w:val="AmColumnHeading"/>
              <w:spacing w:after="840"/>
              <w:jc w:val="left"/>
              <w:rPr>
                <w:b/>
                <w:bCs/>
                <w:iCs/>
              </w:rPr>
            </w:pPr>
          </w:p>
          <w:p w:rsidR="00251551" w:rsidRPr="00FE2D97" w:rsidP="00B1367C" w14:paraId="22EF2948" w14:textId="77777777">
            <w:pPr>
              <w:pStyle w:val="AmColumnHeading"/>
              <w:jc w:val="left"/>
              <w:rPr>
                <w:b/>
                <w:bCs/>
                <w:i w:val="0"/>
              </w:rPr>
            </w:pPr>
            <w:r w:rsidRPr="00FE2D97">
              <w:rPr>
                <w:i w:val="0"/>
              </w:rPr>
              <w:t>Podczas procedury budżetowej instytucje regularnie spotykają się, aby wspólnie ocenić aktualną sytuację i prognozy wykonania budżetu w bieżącym roku i w przyszłych latach budżetowych. Ocena ta przybiera formę specjalnych posiedzeń międzyinstytucjonalnych na odpowiednim szczeblu, przed którymi</w:t>
            </w:r>
            <w:r w:rsidRPr="00FE2D97">
              <w:rPr>
                <w:b/>
              </w:rPr>
              <w:t>, w stosownych przypadkach,</w:t>
            </w:r>
            <w:r w:rsidRPr="00FE2D97">
              <w:rPr>
                <w:i w:val="0"/>
              </w:rPr>
              <w:t xml:space="preserve"> Komisja przedstawia szczegółowo aktualną sytuację dotyczącą realizacji płatności, otrzymanych wniosków o płatność oraz zmienione prognozy, w tym również, w stosownych przypadkach, prognozy długoterminowe, a także </w:t>
            </w:r>
            <w:r w:rsidRPr="00FE2D97">
              <w:rPr>
                <w:b/>
              </w:rPr>
              <w:t>odpowiednie</w:t>
            </w:r>
            <w:r w:rsidRPr="00FE2D97">
              <w:rPr>
                <w:i w:val="0"/>
              </w:rPr>
              <w:t xml:space="preserve"> informacje dotyczące zobowiązań warunkowych.</w:t>
            </w:r>
          </w:p>
        </w:tc>
        <w:tc>
          <w:tcPr>
            <w:tcW w:w="4876" w:type="dxa"/>
          </w:tcPr>
          <w:p w:rsidR="00251551" w:rsidRPr="00FE2D97" w:rsidP="00B1367C" w14:paraId="4C0F687A" w14:textId="77777777">
            <w:pPr>
              <w:pStyle w:val="AmColumnHeading"/>
              <w:jc w:val="left"/>
              <w:rPr>
                <w:szCs w:val="24"/>
              </w:rPr>
            </w:pPr>
            <w:r w:rsidRPr="00FE2D97">
              <w:rPr>
                <w:i w:val="0"/>
              </w:rPr>
              <w:t>19</w:t>
            </w:r>
            <w:r w:rsidRPr="00FE2D97">
              <w:t>.</w:t>
            </w:r>
            <w:r w:rsidRPr="00FE2D97">
              <w:tab/>
            </w:r>
            <w:r w:rsidRPr="00FE2D97">
              <w:rPr>
                <w:b/>
              </w:rPr>
              <w:t>W celu dopilnowania, aby Unia była w stanie wypełnić swoje zobowiązania finansowe wynikające z istniejących i przyszłych zobowiązań zgodnie z art. 323 TFUE, oraz w celu</w:t>
            </w:r>
            <w:r w:rsidRPr="00FE2D97">
              <w:rPr>
                <w:i w:val="0"/>
              </w:rPr>
              <w:t xml:space="preserve"> zapewnienia należytego rozłożenia w czasie całkowitych środków na płatności względem środków na zobowiązania, tak aby uniknąć wszelkich nieprawidłowych przeniesień zobowiązań pozostających do realizacji, instytucje uzgadniają, że będą ściśle monitorować </w:t>
            </w:r>
            <w:r w:rsidRPr="00FE2D97">
              <w:rPr>
                <w:b/>
              </w:rPr>
              <w:t xml:space="preserve">operacje zaciągania i udzielania pożyczek oraz zobowiązania warunkowe, a także – aby ograniczyć ryzyko utrudniania realizacji programów Unii z powodu braku środków na płatności pod koniec obowiązywania WRF – </w:t>
            </w:r>
            <w:r w:rsidRPr="00FE2D97">
              <w:rPr>
                <w:i w:val="0"/>
              </w:rPr>
              <w:t xml:space="preserve"> prognozy dotyczące płatności i poziom zobowiązań pozostających do realizacji.</w:t>
            </w:r>
          </w:p>
          <w:p w:rsidR="00251551" w:rsidRPr="00FE2D97" w:rsidP="00B1367C" w14:paraId="0627E871" w14:textId="77777777">
            <w:pPr>
              <w:pStyle w:val="AmColumnHeading"/>
              <w:jc w:val="left"/>
              <w:rPr>
                <w:i w:val="0"/>
                <w:szCs w:val="24"/>
              </w:rPr>
            </w:pPr>
            <w:r w:rsidRPr="00FE2D97">
              <w:rPr>
                <w:i w:val="0"/>
              </w:rPr>
              <w:t xml:space="preserve">Podczas procedury budżetowej instytucje regularnie spotykają się, aby wspólnie ocenić aktualną sytuację i prognozy </w:t>
            </w:r>
            <w:r w:rsidRPr="00FE2D97">
              <w:rPr>
                <w:b/>
              </w:rPr>
              <w:t>w zakresie zaciągania i udzielania pożyczek oraz zobowiązań warunkowych, a także</w:t>
            </w:r>
            <w:r w:rsidRPr="00FE2D97">
              <w:rPr>
                <w:i w:val="0"/>
              </w:rPr>
              <w:t xml:space="preserve"> wykonania budżetu w bieżącym roku i w przyszłych latach budżetowych. Ocena ta przybiera formę specjalnych posiedzeń międzyinstytucjonalnych na odpowiednim szczeblu, przed którymi Komisja przedstawia szczegółowo aktualną sytuację dotyczącą realizacji płatności, </w:t>
            </w:r>
            <w:r w:rsidRPr="00FE2D97">
              <w:rPr>
                <w:b/>
              </w:rPr>
              <w:t>przesunięć środków</w:t>
            </w:r>
            <w:r w:rsidRPr="00FE2D97">
              <w:rPr>
                <w:i w:val="0"/>
              </w:rPr>
              <w:t xml:space="preserve">, otrzymanych wniosków o płatność oraz zmienione prognozy, w tym również, w stosownych przypadkach, prognozy długoterminowe, a także </w:t>
            </w:r>
            <w:r w:rsidRPr="00FE2D97">
              <w:rPr>
                <w:b/>
              </w:rPr>
              <w:t>pełne</w:t>
            </w:r>
            <w:r w:rsidRPr="00FE2D97">
              <w:rPr>
                <w:i w:val="0"/>
              </w:rPr>
              <w:t xml:space="preserve"> informacje dotyczące zobowiązań warunkowych </w:t>
            </w:r>
            <w:r w:rsidRPr="00FE2D97">
              <w:rPr>
                <w:b/>
              </w:rPr>
              <w:t xml:space="preserve">i odpowiadającego im pokrycia ze środków budżetowych, w tym prognozy długoterminowe, metody i aktualizacje w </w:t>
            </w:r>
            <w:r w:rsidRPr="00FE2D97">
              <w:rPr>
                <w:b/>
              </w:rPr>
              <w:t>odniesieniu do zaciągania i udzielania pożyczek</w:t>
            </w:r>
            <w:r w:rsidRPr="00FE2D97">
              <w:t>.</w:t>
            </w:r>
          </w:p>
        </w:tc>
      </w:tr>
    </w:tbl>
    <w:p w:rsidR="00251551" w:rsidRPr="00FE2D97" w:rsidP="00251551" w14:paraId="3C4F2895" w14:textId="77777777"/>
    <w:p w:rsidR="00251551" w:rsidRPr="00FE2D97" w:rsidP="00251551" w14:paraId="43D4A1B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39</w:t>
      </w:r>
    </w:p>
    <w:p w:rsidR="00251551" w:rsidRPr="00FE2D97" w:rsidP="00251551" w14:paraId="4F4D9FAF" w14:textId="77777777">
      <w:pPr>
        <w:pStyle w:val="NormalBold12b"/>
        <w:keepNext/>
      </w:pPr>
      <w:r w:rsidRPr="00FE2D97">
        <w:t>Wniosek dotyczący porozumienia międzyinstytucjonalnego</w:t>
      </w:r>
    </w:p>
    <w:p w:rsidR="00251551" w:rsidRPr="00FE2D97" w:rsidP="00251551" w14:paraId="6FF3D61C" w14:textId="77777777">
      <w:pPr>
        <w:pStyle w:val="NormalBold"/>
      </w:pPr>
      <w:r w:rsidRPr="00FE2D97">
        <w:t>Część III</w:t>
      </w:r>
    </w:p>
    <w:p w:rsidR="00251551" w:rsidRPr="00FE2D97" w:rsidP="00251551" w14:paraId="7869F2B2" w14:textId="77777777">
      <w:r w:rsidRPr="00FE2D97">
        <w:t>Sekcja B – punkt 20 – akapity 2–5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9A5BAA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39080B1" w14:textId="77777777">
            <w:pPr>
              <w:keepNext/>
            </w:pPr>
          </w:p>
        </w:tc>
      </w:tr>
      <w:tr w14:paraId="3A2616E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5F75769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CE14BD0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5286990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24A2397" w14:textId="77777777">
            <w:pPr>
              <w:pStyle w:val="Normal6a"/>
            </w:pPr>
            <w:r w:rsidRPr="00FE2D97">
              <w:t>Komisja zobowiązuje się regularnie informować Parlament Europejski o przygotowaniach, prowadzeniu i ukończeniu negocjacji dotyczących umów w sprawie połowów, z uwzględnieniem skutków tych umów dla budżetu.</w:t>
            </w:r>
          </w:p>
          <w:p w:rsidR="00251551" w:rsidRPr="00FE2D97" w:rsidP="00B1367C" w14:paraId="5144391D" w14:textId="77777777">
            <w:pPr>
              <w:pStyle w:val="Normal6a"/>
            </w:pPr>
            <w:r w:rsidRPr="00FE2D97">
              <w:t>Instytucje zobowiązują się podjąć wszelkie starania w trakcie procedury ustawodawczej odnoszącej się do umów w sprawie połowów, aby przeprowadzać wszelkie procedury możliwie najszybciej.</w:t>
            </w:r>
          </w:p>
          <w:p w:rsidR="00251551" w:rsidRPr="00FE2D97" w:rsidP="00B1367C" w14:paraId="414FDE88" w14:textId="77777777">
            <w:pPr>
              <w:pStyle w:val="Normal6a"/>
            </w:pPr>
          </w:p>
          <w:p w:rsidR="00251551" w:rsidRPr="00FE2D97" w:rsidP="00B1367C" w14:paraId="3018EECF" w14:textId="77777777">
            <w:pPr>
              <w:pStyle w:val="Normal6a"/>
            </w:pPr>
          </w:p>
          <w:p w:rsidR="00251551" w:rsidRPr="00FE2D97" w:rsidP="00B1367C" w14:paraId="478E4827" w14:textId="77777777">
            <w:pPr>
              <w:pStyle w:val="Normal6a"/>
            </w:pPr>
          </w:p>
          <w:p w:rsidR="00251551" w:rsidRPr="00FE2D97" w:rsidP="00B1367C" w14:paraId="3872C88D" w14:textId="77777777">
            <w:pPr>
              <w:pStyle w:val="Normal6a"/>
            </w:pPr>
          </w:p>
          <w:p w:rsidR="00251551" w:rsidRPr="00FE2D97" w:rsidP="00B1367C" w14:paraId="26848E89" w14:textId="77777777">
            <w:pPr>
              <w:pStyle w:val="Normal6a"/>
            </w:pPr>
          </w:p>
          <w:p w:rsidR="00251551" w:rsidRPr="00FE2D97" w:rsidP="00B1367C" w14:paraId="465CD1EB" w14:textId="77777777">
            <w:pPr>
              <w:pStyle w:val="Normal6a"/>
            </w:pPr>
          </w:p>
          <w:p w:rsidR="00251551" w:rsidRPr="00FE2D97" w:rsidP="00B1367C" w14:paraId="71EE0E64" w14:textId="77777777">
            <w:pPr>
              <w:pStyle w:val="Normal6a"/>
              <w:spacing w:after="240"/>
            </w:pPr>
          </w:p>
          <w:p w:rsidR="00251551" w:rsidRPr="00FE2D97" w:rsidP="00B1367C" w14:paraId="54AB135B" w14:textId="77777777">
            <w:pPr>
              <w:pStyle w:val="Normal6a"/>
            </w:pPr>
            <w:r w:rsidRPr="00FE2D97">
              <w:t xml:space="preserve">Kwoty przewidziane w budżecie na nowe umowy w sprawie połowów lub przedłużenie umów w sprawie połowów, które mają wejść w życie </w:t>
            </w:r>
            <w:r w:rsidRPr="00FE2D97">
              <w:rPr>
                <w:b/>
                <w:bCs/>
                <w:i/>
                <w:iCs/>
              </w:rPr>
              <w:t>lub zacząć być stosowane</w:t>
            </w:r>
            <w:r w:rsidRPr="00FE2D97">
              <w:t xml:space="preserve"> do dnia 1 stycznia danego roku budżetowego, zapisuje się w głównej operacyjnej linii budżetowej.</w:t>
            </w:r>
          </w:p>
          <w:p w:rsidR="00251551" w:rsidRPr="00FE2D97" w:rsidP="00B1367C" w14:paraId="42125BCE" w14:textId="77777777">
            <w:pPr>
              <w:pStyle w:val="Normal6a"/>
            </w:pPr>
            <w:r w:rsidRPr="00FE2D97">
              <w:t xml:space="preserve">Kwoty przewidziane w budżecie na nowe umowy w sprawie połowów lub przedłużenie umów w sprawie połowów, które wchodzą w życie </w:t>
            </w:r>
            <w:r w:rsidRPr="00FE2D97">
              <w:rPr>
                <w:b/>
                <w:bCs/>
                <w:i/>
                <w:iCs/>
              </w:rPr>
              <w:t>lub są tymczasowo stosowane</w:t>
            </w:r>
            <w:r w:rsidRPr="00FE2D97">
              <w:t xml:space="preserve"> po dniu 1 stycznia danego roku budżetowego, zapisuje się w rezerwie.</w:t>
            </w:r>
          </w:p>
        </w:tc>
        <w:tc>
          <w:tcPr>
            <w:tcW w:w="4876" w:type="dxa"/>
          </w:tcPr>
          <w:p w:rsidR="00251551" w:rsidRPr="00FE2D97" w:rsidP="00B1367C" w14:paraId="5558CE31" w14:textId="77777777">
            <w:pPr>
              <w:pStyle w:val="Normal6a"/>
            </w:pPr>
            <w:r w:rsidRPr="00FE2D97">
              <w:t>Komisja zobowiązuje się regularnie informować Parlament Europejski o przygotowaniach, prowadzeniu i ukończeniu negocjacji dotyczących umów w sprawie połowów, z uwzględnieniem skutków tych umów dla budżetu.</w:t>
            </w:r>
          </w:p>
          <w:p w:rsidR="00251551" w:rsidRPr="00FE2D97" w:rsidP="00B1367C" w14:paraId="4AEB1E45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t>Instytucje zobowiązują się podjąć wszelkie starania w trakcie procedury ustawodawczej odnoszącej się do umów w sprawie połowów, aby przeprowadzać wszelkie procedury możliwie najszybciej</w:t>
            </w:r>
            <w:r w:rsidRPr="00FE2D97">
              <w:rPr>
                <w:b/>
                <w:bCs/>
                <w:i/>
                <w:iCs/>
              </w:rPr>
              <w:t>, z pełnym poszanowaniem regulaminu wewnętrznego każdej instytucji.</w:t>
            </w:r>
          </w:p>
          <w:p w:rsidR="00251551" w:rsidRPr="00FE2D97" w:rsidP="00B1367C" w14:paraId="38F50932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Komisja zamierza terminowo zakończyć negocjacje w sprawie nowych umów w sprawie połowów lub odnowienia tych umów, aby uniknąć tymczasowego stosowania protokołów, w sytuacji, gdy Parlament Europejski nie wyraził jeszcze zgody na zawarcie tych umów lub protokołów.</w:t>
            </w:r>
          </w:p>
          <w:p w:rsidR="00251551" w:rsidRPr="00FE2D97" w:rsidP="00B1367C" w14:paraId="2B6E8B9F" w14:textId="77777777">
            <w:pPr>
              <w:pStyle w:val="Normal6a"/>
            </w:pPr>
            <w:r w:rsidRPr="00FE2D97">
              <w:t>Kwoty przewidziane w budżecie na nowe umowy w sprawie połowów lub przedłużenie umów w sprawie połowów, które mają wejść w życie do dnia 1 stycznia danego roku budżetowego, zapisuje się w głównej operacyjnej linii budżetowej.</w:t>
            </w:r>
          </w:p>
          <w:p w:rsidR="00251551" w:rsidRPr="00FE2D97" w:rsidP="00B1367C" w14:paraId="4AEF1F0A" w14:textId="77777777">
            <w:pPr>
              <w:pStyle w:val="Normal6a"/>
              <w:rPr>
                <w:szCs w:val="24"/>
              </w:rPr>
            </w:pPr>
            <w:r w:rsidRPr="00FE2D97">
              <w:t>Kwoty przewidziane w budżecie na nowe umowy w sprawie połowów lub przedłużenie umów w sprawie połowów, które wchodzą w życie po dniu 1 stycznia danego roku budżetowego, zapisuje się w rezerwie.</w:t>
            </w:r>
          </w:p>
        </w:tc>
      </w:tr>
    </w:tbl>
    <w:p w:rsidR="00251551" w:rsidRPr="00FE2D97" w:rsidP="00251551" w14:paraId="10A96595" w14:textId="77777777"/>
    <w:p w:rsidR="00251551" w:rsidRPr="00FE2D97" w:rsidP="00251551" w14:paraId="4DAAB5E8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40</w:t>
      </w:r>
    </w:p>
    <w:p w:rsidR="00251551" w:rsidRPr="00FE2D97" w:rsidP="00251551" w14:paraId="291168A3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1BE80983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2FC1A754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Sekcja C – punkt 22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9F347D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333D18F5" w14:textId="77777777">
            <w:pPr>
              <w:keepNext/>
            </w:pPr>
          </w:p>
        </w:tc>
      </w:tr>
      <w:tr w14:paraId="57FE552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518F9D3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7A34D5E3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6354D3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316BF52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i w:val="0"/>
              </w:rPr>
              <w:t>22.</w:t>
            </w:r>
            <w:r w:rsidRPr="00FE2D97">
              <w:rPr>
                <w:i w:val="0"/>
              </w:rPr>
              <w:tab/>
              <w:t xml:space="preserve">Łączną kwotę wydatków operacyjnych na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 zapisuje się w całości w jednym rozdziale budżetu zatytułowanym „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>”. Kwota ta obejmuje rzeczywiste przewidywalne potrzeby, oszacowane w ramach sporządzania projektu budżetu, na podstawie prognoz sporządzanych corocznie przez Wysokiego Przedstawiciela Unii do Spraw Zagranicznych i Polityki Bezpieczeństwa (zwanego dalej „Wysokim Przedstawicielem”). Dopuszcza się rozsądny margines na nieprzewidziane działania.</w:t>
            </w:r>
            <w:r w:rsidRPr="00FE2D97">
              <w:t xml:space="preserve"> </w:t>
            </w:r>
            <w:r w:rsidRPr="00FE2D97">
              <w:rPr>
                <w:b/>
              </w:rPr>
              <w:t>Żadnych środków nie można zapisać w rezerwie.</w:t>
            </w:r>
          </w:p>
        </w:tc>
        <w:tc>
          <w:tcPr>
            <w:tcW w:w="4876" w:type="dxa"/>
          </w:tcPr>
          <w:p w:rsidR="00251551" w:rsidRPr="00FE2D97" w:rsidP="00B1367C" w14:paraId="2AB67F10" w14:textId="77777777">
            <w:pPr>
              <w:pStyle w:val="AmColumnHeading"/>
              <w:jc w:val="left"/>
              <w:rPr>
                <w:i w:val="0"/>
                <w:szCs w:val="24"/>
              </w:rPr>
            </w:pPr>
            <w:r w:rsidRPr="00FE2D97">
              <w:rPr>
                <w:i w:val="0"/>
              </w:rPr>
              <w:t>22.</w:t>
            </w:r>
            <w:r w:rsidRPr="00FE2D97">
              <w:rPr>
                <w:i w:val="0"/>
              </w:rPr>
              <w:tab/>
              <w:t xml:space="preserve">Łączną kwotę wydatków operacyjnych na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 zapisuje się w całości w jednym rozdziale budżetu zatytułowanym „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”. Kwota ta obejmuje rzeczywiste przewidywalne potrzeby, oszacowane w ramach sporządzania projektu budżetu, na podstawie prognoz sporządzanych corocznie przez Wysokiego Przedstawiciela Unii do Spraw Zagranicznych i Polityki Bezpieczeństwa (zwanego dalej „Wysokim Przedstawicielem”). Dopuszcza się rozsądny margines na nieprzewidziane działania. </w:t>
            </w:r>
          </w:p>
        </w:tc>
      </w:tr>
    </w:tbl>
    <w:p w:rsidR="00251551" w:rsidRPr="00FE2D97" w:rsidP="00251551" w14:paraId="35E05754" w14:textId="77777777"/>
    <w:p w:rsidR="00251551" w:rsidRPr="00FE2D97" w:rsidP="00251551" w14:paraId="7A830043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41</w:t>
      </w:r>
    </w:p>
    <w:p w:rsidR="00251551" w:rsidRPr="00FE2D97" w:rsidP="00251551" w14:paraId="0EAE06E0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454A6EA8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5383EE1C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Sekcja C – punkt 24 – akapity 1 i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3583E82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752822A" w14:textId="77777777">
            <w:pPr>
              <w:keepNext/>
            </w:pPr>
          </w:p>
        </w:tc>
      </w:tr>
      <w:tr w14:paraId="6421570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B62AC02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36DBE10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48C520C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E14CB55" w14:textId="77777777">
            <w:pPr>
              <w:pStyle w:val="AmColumnHeading"/>
              <w:jc w:val="left"/>
            </w:pPr>
            <w:r w:rsidRPr="00FE2D97">
              <w:rPr>
                <w:i w:val="0"/>
              </w:rPr>
              <w:t>24.</w:t>
            </w:r>
            <w:r w:rsidRPr="00FE2D97">
              <w:rPr>
                <w:i w:val="0"/>
              </w:rPr>
              <w:tab/>
              <w:t xml:space="preserve">Każdego roku Wysoki Przedstawiciel konsultuje się z Parlamentem Europejskim w sprawie dokumentu perspektywicznego, który zostaje przekazany do dnia 15 czerwca danego roku i określa główne aspekty i podstawowe wybory w zakresie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, łącznie ze skutkami finansowymi dla budżetu ogólnego Unii, oceną środków wprowadzonych w roku n-1 oraz oceną koordynacji i komplementarności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 z innymi zewnętrznymi instrumentami finansowymi Unii. Ponadto Wysoki Przedstawiciel zapewnia regularne informowanie Parlamentu Europejskiego</w:t>
            </w:r>
            <w:r w:rsidRPr="00FE2D97">
              <w:t xml:space="preserve"> </w:t>
            </w:r>
            <w:r w:rsidRPr="00FE2D97">
              <w:rPr>
                <w:b/>
              </w:rPr>
              <w:t xml:space="preserve">poprzez wspólne spotkania konsultacyjne </w:t>
            </w:r>
            <w:r w:rsidRPr="00FE2D97">
              <w:rPr>
                <w:b/>
              </w:rPr>
              <w:t>organizowane co najmniej trzy razy w roku,</w:t>
            </w:r>
            <w:r w:rsidRPr="00FE2D97">
              <w:rPr>
                <w:i w:val="0"/>
              </w:rPr>
              <w:t xml:space="preserve"> w ramach regularnego dialogu politycznego dotyczącego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>,</w:t>
            </w:r>
            <w:r w:rsidRPr="00FE2D97">
              <w:t xml:space="preserve"> </w:t>
            </w:r>
            <w:r w:rsidRPr="00FE2D97">
              <w:rPr>
                <w:b/>
              </w:rPr>
              <w:t>uzgadniane najpóźniej w dniu 30 listopada każdego roku. Udział w takich spotkaniach określają, odpowiednio, Parlament Europejski i Rada, z uwzględnieniem celu i charakteru informacji wymienianych podczas tych spotkań.</w:t>
            </w:r>
          </w:p>
          <w:p w:rsidR="00251551" w:rsidRPr="00FE2D97" w:rsidP="00B1367C" w14:paraId="2EC97EA1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FE2D97">
              <w:rPr>
                <w:b/>
              </w:rPr>
              <w:t>Komisja jest zapraszana do udziału w tych spotkaniach.</w:t>
            </w:r>
          </w:p>
        </w:tc>
        <w:tc>
          <w:tcPr>
            <w:tcW w:w="4876" w:type="dxa"/>
          </w:tcPr>
          <w:p w:rsidR="00251551" w:rsidRPr="00FE2D97" w:rsidP="00B1367C" w14:paraId="030BBEFC" w14:textId="77777777">
            <w:pPr>
              <w:pStyle w:val="AmColumnHeading"/>
              <w:jc w:val="left"/>
              <w:rPr>
                <w:iCs/>
                <w:szCs w:val="24"/>
              </w:rPr>
            </w:pPr>
            <w:r w:rsidRPr="00FE2D97">
              <w:rPr>
                <w:i w:val="0"/>
              </w:rPr>
              <w:t>24.</w:t>
            </w:r>
            <w:r w:rsidRPr="00FE2D97">
              <w:rPr>
                <w:i w:val="0"/>
              </w:rPr>
              <w:tab/>
              <w:t xml:space="preserve">Każdego roku Wysoki Przedstawiciel konsultuje się z Parlamentem Europejskim w sprawie dokumentu perspektywicznego, który zostaje przekazany do dnia 15 czerwca danego roku i określa główne aspekty i podstawowe wybory w zakresie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, łącznie ze skutkami finansowymi dla budżetu ogólnego Unii, oceną środków wprowadzonych w roku n-1 oraz oceną koordynacji i komplementarności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 z innymi zewnętrznymi instrumentami finansowymi Unii. Ponadto Wysoki Przedstawiciel zapewnia regularne informowanie Parlamentu Europejskiego w ramach regularnego dialogu </w:t>
            </w:r>
            <w:r w:rsidRPr="00FE2D97">
              <w:rPr>
                <w:b/>
              </w:rPr>
              <w:t>finansowego i</w:t>
            </w:r>
            <w:r w:rsidRPr="00FE2D97">
              <w:rPr>
                <w:i w:val="0"/>
              </w:rPr>
              <w:t xml:space="preserve"> politycznego dotyczącego </w:t>
            </w:r>
            <w:r w:rsidRPr="00FE2D97">
              <w:rPr>
                <w:i w:val="0"/>
              </w:rPr>
              <w:t>WPZiB</w:t>
            </w:r>
            <w:r w:rsidRPr="00FE2D97">
              <w:rPr>
                <w:i w:val="0"/>
              </w:rPr>
              <w:t xml:space="preserve">, </w:t>
            </w:r>
            <w:r w:rsidRPr="00FE2D97">
              <w:rPr>
                <w:b/>
              </w:rPr>
              <w:t>jak określono w pkt 24a</w:t>
            </w:r>
            <w:r w:rsidRPr="00FE2D97">
              <w:t xml:space="preserve">. </w:t>
            </w:r>
          </w:p>
          <w:p w:rsidR="00251551" w:rsidRPr="00FE2D97" w:rsidP="00B1367C" w14:paraId="74AA6A83" w14:textId="77777777">
            <w:pPr>
              <w:pStyle w:val="AmColumnHeading"/>
              <w:jc w:val="left"/>
              <w:rPr>
                <w:szCs w:val="24"/>
              </w:rPr>
            </w:pPr>
          </w:p>
        </w:tc>
      </w:tr>
    </w:tbl>
    <w:p w:rsidR="00251551" w:rsidRPr="00FE2D97" w:rsidP="00251551" w14:paraId="4D881098" w14:textId="77777777"/>
    <w:p w:rsidR="00251551" w:rsidRPr="00FE2D97" w:rsidP="00251551" w14:paraId="77F172EE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42</w:t>
      </w:r>
    </w:p>
    <w:p w:rsidR="00251551" w:rsidRPr="00FE2D97" w:rsidP="00251551" w14:paraId="04D2FAE4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2CEFBBFF" w14:textId="77777777">
      <w:pPr>
        <w:pStyle w:val="NormalBold12b"/>
        <w:keepNext/>
        <w:spacing w:before="0"/>
      </w:pPr>
      <w:r w:rsidRPr="00FE2D97">
        <w:t xml:space="preserve"> Część III</w:t>
      </w:r>
    </w:p>
    <w:p w:rsidR="00251551" w:rsidRPr="00FE2D97" w:rsidP="00251551" w14:paraId="040BDDD6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Część C – punkt 24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3637CC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64A170F" w14:textId="77777777">
            <w:pPr>
              <w:keepNext/>
            </w:pPr>
          </w:p>
        </w:tc>
      </w:tr>
      <w:tr w14:paraId="0FA897D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AB5DDF1" w14:textId="77777777">
            <w:pPr>
              <w:pStyle w:val="AmColumnHeading"/>
              <w:keepNext/>
            </w:pPr>
            <w:bookmarkStart w:id="17" w:name="_Hlk215560265"/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3E103AB2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C412C4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1D57FB3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251551" w:rsidRPr="00FE2D97" w:rsidP="00B1367C" w14:paraId="0690CE26" w14:textId="77777777">
            <w:pPr>
              <w:pStyle w:val="AmColumnHeading"/>
              <w:jc w:val="left"/>
            </w:pPr>
            <w:r w:rsidRPr="00FE2D97">
              <w:rPr>
                <w:b/>
              </w:rPr>
              <w:t>24a.</w:t>
            </w:r>
            <w:r w:rsidRPr="00FE2D97">
              <w:rPr>
                <w:b/>
              </w:rPr>
              <w:tab/>
              <w:t xml:space="preserve">Regularny dialog finansowy i polityczny na temat </w:t>
            </w:r>
            <w:r w:rsidRPr="00FE2D97">
              <w:rPr>
                <w:b/>
              </w:rPr>
              <w:t>WPZiB</w:t>
            </w:r>
            <w:r w:rsidRPr="00FE2D97">
              <w:rPr>
                <w:b/>
              </w:rPr>
              <w:t xml:space="preserve"> dotyczy wszystkich działań Unii, które wynikają z wykonania rozdziału dotyczącego </w:t>
            </w:r>
            <w:r w:rsidRPr="00FE2D97">
              <w:rPr>
                <w:b/>
              </w:rPr>
              <w:t>WPZiB</w:t>
            </w:r>
            <w:r w:rsidRPr="00FE2D97">
              <w:rPr>
                <w:b/>
              </w:rPr>
              <w:t xml:space="preserve">, w szczególności działań wiążących się z wydatkami lub zobowiązaniami finansowymi dla budżetu Unii. Odbywa się on co najmniej pięć razy w roku, w terminach uzgadnianych najpóźniej do 30 listopada roku n-1. W kontekście tego dialogu Wysoki Przedstawiciel konsultuje się z Parlamentem Europejskim zgodnie z art. 36 TUE, jak opisano w pkt 22, 23 i 24 niniejszego porozumienia, i zapewnia należyte uwzględnienie jego poglądów. W dialogu mogą uczestniczyć specjalni przedstawiciele Unii Europejskiej </w:t>
            </w:r>
            <w:r w:rsidRPr="00FE2D97">
              <w:rPr>
                <w:b/>
              </w:rPr>
              <w:t>lub,</w:t>
            </w:r>
            <w:r w:rsidRPr="00FE2D97">
              <w:rPr>
                <w:b/>
              </w:rPr>
              <w:t xml:space="preserve"> w stosownych przypadkach, komisarze. Jest on prowadzony zgodnie z przepisami bezpieczeństwa mającymi zastosowanie do wymiany informacji.</w:t>
            </w:r>
          </w:p>
        </w:tc>
      </w:tr>
      <w:bookmarkEnd w:id="17"/>
    </w:tbl>
    <w:p w:rsidR="00251551" w:rsidRPr="00FE2D97" w:rsidP="00251551" w14:paraId="6B4D24B1" w14:textId="77777777"/>
    <w:p w:rsidR="00251551" w:rsidRPr="00FE2D97" w:rsidP="00251551" w14:paraId="0985866D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43</w:t>
      </w:r>
    </w:p>
    <w:p w:rsidR="00251551" w:rsidRPr="00FE2D97" w:rsidP="00251551" w14:paraId="6282BB45" w14:textId="77777777">
      <w:pPr>
        <w:pStyle w:val="NormalBold12b"/>
        <w:keepNext/>
      </w:pPr>
      <w:r w:rsidRPr="00FE2D97">
        <w:t>Wniosek dotyczący Porozumienia międzyinstytucjonalnego</w:t>
      </w:r>
    </w:p>
    <w:p w:rsidR="00251551" w:rsidRPr="00FE2D97" w:rsidP="00251551" w14:paraId="4C571E55" w14:textId="77777777">
      <w:pPr>
        <w:pStyle w:val="NormalBold"/>
      </w:pPr>
      <w:r w:rsidRPr="00FE2D97">
        <w:t>Część IV (nowa)</w:t>
      </w:r>
    </w:p>
    <w:p w:rsidR="00251551" w:rsidRPr="00FE2D97" w:rsidP="00251551" w14:paraId="45337BAB" w14:textId="77777777">
      <w:r w:rsidRPr="00FE2D97">
        <w:rPr>
          <w:b/>
          <w:i/>
        </w:rPr>
        <w:t>WSPÓŁPRACA MIĘDZYINSTYTUCJONALNA NA RZECZ WARUNKOWOŚCI W ZAKRESIE PRAWORZĄDNOŚCI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BC386D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631C3253" w14:textId="77777777">
            <w:pPr>
              <w:keepNext/>
            </w:pPr>
          </w:p>
        </w:tc>
      </w:tr>
      <w:tr w14:paraId="4515E2A9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71A085B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2CBF61C1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FDB229B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73A5340D" w14:textId="77777777">
            <w:pPr>
              <w:pStyle w:val="Normal6a"/>
            </w:pPr>
            <w:r w:rsidRPr="00FE2D97">
              <w:t xml:space="preserve"> </w:t>
            </w:r>
          </w:p>
        </w:tc>
        <w:tc>
          <w:tcPr>
            <w:tcW w:w="4876" w:type="dxa"/>
          </w:tcPr>
          <w:p w:rsidR="00251551" w:rsidRPr="00FE2D97" w:rsidP="00B1367C" w14:paraId="23CABB94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WSPÓŁPRACA MIĘDZYINSTYTUCJONALNA NA RZECZ WARUNKOWOŚCI W ZAKRESIE PRAWORZĄDNOŚCI</w:t>
            </w:r>
          </w:p>
          <w:p w:rsidR="00251551" w:rsidRPr="00FE2D97" w:rsidP="00B1367C" w14:paraId="338AE320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 xml:space="preserve">Część A. Współpraca </w:t>
            </w:r>
          </w:p>
          <w:p w:rsidR="00251551" w:rsidRPr="00FE2D97" w:rsidP="00B1367C" w14:paraId="72380B9A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</w:rPr>
              <w:t xml:space="preserve">25. (nowy) </w:t>
            </w:r>
            <w:r w:rsidRPr="00FE2D97">
              <w:rPr>
                <w:b/>
                <w:i/>
              </w:rPr>
              <w:t>Komisja zapewnia Parlamentowi i Radzie systematyczny, terminowy, uporządkowany i bezpieczny dostęp do informacji w kontekście wdrażania rozporządzenia (UE) 2020/2092 oraz innych przepisów związanych z Kartą praw podstawowych i warunkowością w zakresie praworządności, w tym:</w:t>
            </w:r>
          </w:p>
          <w:p w:rsidR="00251551" w:rsidRPr="00FE2D97" w:rsidP="00B1367C" w14:paraId="6B221000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a.</w:t>
            </w:r>
            <w:r w:rsidRPr="00FE2D97">
              <w:rPr>
                <w:b/>
                <w:i/>
              </w:rPr>
              <w:tab/>
              <w:t>pisemnego powiadomienia wysłanego do państwa członkowskiego;</w:t>
            </w:r>
          </w:p>
          <w:p w:rsidR="00251551" w:rsidRPr="00FE2D97" w:rsidP="00B1367C" w14:paraId="14CCAFFC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b.</w:t>
            </w:r>
            <w:r w:rsidRPr="00FE2D97">
              <w:rPr>
                <w:b/>
                <w:i/>
              </w:rPr>
              <w:tab/>
              <w:t>wniosków o przekazanie dodatkowych informacji;</w:t>
            </w:r>
          </w:p>
          <w:p w:rsidR="00251551" w:rsidRPr="00FE2D97" w:rsidP="00B1367C" w14:paraId="0B882440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c.</w:t>
            </w:r>
            <w:r w:rsidRPr="00FE2D97">
              <w:rPr>
                <w:b/>
                <w:i/>
              </w:rPr>
              <w:tab/>
              <w:t>korespondencji między służbami Komisji a państwami członkowskimi;</w:t>
            </w:r>
          </w:p>
          <w:p w:rsidR="00251551" w:rsidRPr="00FE2D97" w:rsidP="00B1367C" w14:paraId="00E36C97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d.</w:t>
            </w:r>
            <w:r w:rsidRPr="00FE2D97">
              <w:rPr>
                <w:b/>
                <w:i/>
              </w:rPr>
              <w:tab/>
              <w:t>uwag i sprawozdań przedstawionych przez państwa członkowskie;</w:t>
            </w:r>
          </w:p>
          <w:p w:rsidR="00251551" w:rsidRPr="00FE2D97" w:rsidP="00B1367C" w14:paraId="2FC99F51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e.</w:t>
            </w:r>
            <w:r w:rsidRPr="00FE2D97">
              <w:rPr>
                <w:b/>
                <w:i/>
              </w:rPr>
              <w:tab/>
              <w:t xml:space="preserve">wszystkich dokumentów wewnętrznych zawierających analizy prawne, oceny lub inne istotne dokumenty Komisji – w tym istotne informacje otrzymane przez Komisję od ostatecznych odbiorców – prowadzących do przyjęcia środków, przedłużenia, zmiany lub zniesienia środków lub niewszczęcia mających zastosowanie procedur. </w:t>
            </w:r>
          </w:p>
          <w:p w:rsidR="00251551" w:rsidRPr="00FE2D97" w:rsidP="00B1367C" w14:paraId="64F1C4AF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26. (nowy)</w:t>
            </w:r>
            <w:r w:rsidRPr="00FE2D97">
              <w:rPr>
                <w:b/>
                <w:i/>
              </w:rPr>
              <w:tab/>
              <w:t>W razie potrzeby uzgadnia się bezpieczny kanał komunikacji w celu ochrony poufności.</w:t>
            </w:r>
          </w:p>
          <w:p w:rsidR="00251551" w:rsidRPr="00FE2D97" w:rsidP="00B1367C" w14:paraId="2A13663F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Część B. Konsultacje i dialog</w:t>
            </w:r>
          </w:p>
          <w:p w:rsidR="00251551" w:rsidRPr="00FE2D97" w:rsidP="00B1367C" w14:paraId="45465A00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27. (nowy)</w:t>
            </w:r>
            <w:r w:rsidRPr="00FE2D97">
              <w:rPr>
                <w:b/>
                <w:i/>
              </w:rPr>
              <w:tab/>
              <w:t>Komisja informuje Parlament Europejski i Radę, zanim przedstawi jakikolwiek wniosek dotyczący przyjęcia, przedłużenia, zmiany lub zniesienia środków, oraz uwzględnia opinie wyrażone w tym kontekście.</w:t>
            </w:r>
          </w:p>
          <w:p w:rsidR="00251551" w:rsidRPr="00FE2D97" w:rsidP="00B1367C" w14:paraId="36F7870B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28.</w:t>
            </w:r>
            <w:r w:rsidRPr="00FE2D97">
              <w:rPr>
                <w:b/>
                <w:i/>
              </w:rPr>
              <w:tab/>
              <w:t>Komisja prowadzi kwartalny zorganizowany dialog z odpowiednimi komisjami Parlamentu Europejskiego, aby zagwarantować przepływ informacji w czasie rzeczywistym i wzmocnić nadzór demokratyczny.</w:t>
            </w:r>
          </w:p>
          <w:p w:rsidR="00251551" w:rsidRPr="00FE2D97" w:rsidP="00B1367C" w14:paraId="5104910E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29.</w:t>
            </w:r>
            <w:r w:rsidRPr="00FE2D97">
              <w:rPr>
                <w:b/>
                <w:i/>
              </w:rPr>
              <w:tab/>
              <w:t>Instytucje organizują regularne spotkania na wysokim szczeblu, aby poprawić koordynację w zakresie zestawu narzędzi na rzecz praworządności.</w:t>
            </w:r>
          </w:p>
          <w:p w:rsidR="00251551" w:rsidRPr="00FE2D97" w:rsidP="00B1367C" w14:paraId="373D9AAE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FE2D97">
              <w:rPr>
                <w:b/>
                <w:i/>
              </w:rPr>
              <w:t>Część C. Przejrzystość i sprawozdawczość roczna</w:t>
            </w:r>
          </w:p>
          <w:p w:rsidR="00251551" w:rsidRPr="00FE2D97" w:rsidP="00B1367C" w14:paraId="5163E1D2" w14:textId="77777777">
            <w:pPr>
              <w:pStyle w:val="Normal6a"/>
              <w:rPr>
                <w:szCs w:val="24"/>
              </w:rPr>
            </w:pPr>
            <w:r w:rsidRPr="00FE2D97">
              <w:rPr>
                <w:b/>
                <w:i/>
              </w:rPr>
              <w:t>30.</w:t>
            </w:r>
            <w:r w:rsidRPr="00FE2D97">
              <w:rPr>
                <w:b/>
                <w:i/>
              </w:rPr>
              <w:tab/>
              <w:t>Komisja przekazuje Parlamentowi Europejskiemu i Radzie skonsolidowany roczny wykaz wszystkich decyzji związanych z warunkowością we wszystkich działach budżetu w kontekście rocznej procedury budżetowej.</w:t>
            </w:r>
          </w:p>
        </w:tc>
      </w:tr>
    </w:tbl>
    <w:p w:rsidR="00251551" w:rsidRPr="00FE2D97" w:rsidP="00251551" w14:paraId="14CB950A" w14:textId="77777777"/>
    <w:p w:rsidR="00251551" w:rsidRPr="00FE2D97" w:rsidP="00251551" w14:paraId="61215681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44</w:t>
      </w:r>
    </w:p>
    <w:p w:rsidR="00251551" w:rsidRPr="00FE2D97" w:rsidP="00251551" w14:paraId="570083B4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49C97F5C" w14:textId="77777777">
      <w:pPr>
        <w:pStyle w:val="NormalBold12b"/>
        <w:keepNext/>
        <w:spacing w:before="0"/>
      </w:pPr>
      <w:r w:rsidRPr="00FE2D97">
        <w:t xml:space="preserve"> Załącznik</w:t>
      </w:r>
    </w:p>
    <w:p w:rsidR="00251551" w:rsidRPr="00FE2D97" w:rsidP="00251551" w14:paraId="5227C6A2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Część A – punkt 1 a (nowy)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6CBBFEF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5AFC295D" w14:textId="77777777">
            <w:pPr>
              <w:keepNext/>
            </w:pPr>
          </w:p>
        </w:tc>
      </w:tr>
      <w:tr w14:paraId="5051039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218F03ED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696553F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2C72798D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4F02958F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251551" w:rsidRPr="00FE2D97" w:rsidP="00B1367C" w14:paraId="31307E85" w14:textId="77777777">
            <w:pPr>
              <w:pStyle w:val="AmColumnHeading"/>
              <w:jc w:val="left"/>
            </w:pPr>
            <w:r w:rsidRPr="00FE2D97">
              <w:rPr>
                <w:b/>
              </w:rPr>
              <w:t>1a.</w:t>
            </w:r>
            <w:r w:rsidRPr="00FE2D97">
              <w:rPr>
                <w:b/>
              </w:rPr>
              <w:tab/>
              <w:t>W celu dopilnowania, aby Parlament Europejski i Rada mogły skutecznie wykonywać swoje prerogatywy budżetowe, stanowiska w sprawie budżetu, przesunięcia środków lub inne powiadomienia skutkujące rozpoczęciem biegu terminów przedkładane są z uwzględnieniem wszelkich okresów przerw, których daty instytucje przekazały sobie nawzajem w odpowiednim czasie za pośrednictwem ich odpowiednich służb.</w:t>
            </w:r>
          </w:p>
        </w:tc>
      </w:tr>
    </w:tbl>
    <w:p w:rsidR="00251551" w:rsidRPr="00FE2D97" w:rsidP="00251551" w14:paraId="3EADE9C5" w14:textId="77777777"/>
    <w:p w:rsidR="00251551" w:rsidRPr="00FE2D97" w:rsidP="00251551" w14:paraId="30EDF259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45</w:t>
      </w:r>
    </w:p>
    <w:p w:rsidR="00251551" w:rsidRPr="00FE2D97" w:rsidP="00251551" w14:paraId="33771A9F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7B451AE1" w14:textId="77777777">
      <w:pPr>
        <w:pStyle w:val="NormalBold12b"/>
        <w:keepNext/>
        <w:spacing w:before="0"/>
      </w:pPr>
      <w:r w:rsidRPr="00FE2D97">
        <w:t xml:space="preserve"> Załącznik</w:t>
      </w:r>
    </w:p>
    <w:p w:rsidR="00251551" w:rsidRPr="00FE2D97" w:rsidP="00251551" w14:paraId="252510C4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Część B – punkt 2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3604CB5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1A00FFC1" w14:textId="77777777">
            <w:pPr>
              <w:keepNext/>
            </w:pPr>
          </w:p>
        </w:tc>
      </w:tr>
      <w:tr w14:paraId="3EC7CBEC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06B7B12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065D27AD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3AB88DD8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11E6FFCB" w14:textId="77777777">
            <w:pPr>
              <w:pStyle w:val="AmColumnHeading"/>
              <w:keepNext/>
              <w:jc w:val="left"/>
            </w:pPr>
            <w:r w:rsidRPr="00FE2D97">
              <w:rPr>
                <w:i w:val="0"/>
              </w:rPr>
              <w:t>2.</w:t>
            </w:r>
            <w:r w:rsidRPr="00FE2D97">
              <w:rPr>
                <w:i w:val="0"/>
              </w:rPr>
              <w:tab/>
              <w:t xml:space="preserve">Z odpowiednim wyprzedzeniem przed przyjęciem projektu budżetu przez Komisję zwołuje się budżetowe rozmowy trójstronne w celu omówienia priorytetów finansowania w budżecie na nadchodzący rok budżetowy. W dyskusjach </w:t>
            </w:r>
            <w:r w:rsidRPr="00FE2D97">
              <w:rPr>
                <w:b/>
              </w:rPr>
              <w:t>uwzględnione zostaną</w:t>
            </w:r>
            <w:r w:rsidRPr="00FE2D97">
              <w:rPr>
                <w:i w:val="0"/>
              </w:rPr>
              <w:t xml:space="preserve"> priorytety polityczne Unii określone przez </w:t>
            </w:r>
            <w:r w:rsidRPr="00FE2D97">
              <w:rPr>
                <w:b/>
              </w:rPr>
              <w:t>instytucje w </w:t>
            </w:r>
            <w:r w:rsidRPr="00FE2D97">
              <w:rPr>
                <w:i w:val="0"/>
              </w:rPr>
              <w:t xml:space="preserve">odpowiednich dokumentach, a celem dyskusji </w:t>
            </w:r>
            <w:r w:rsidRPr="00FE2D97">
              <w:rPr>
                <w:b/>
              </w:rPr>
              <w:t>będzie</w:t>
            </w:r>
            <w:r w:rsidRPr="00FE2D97">
              <w:rPr>
                <w:i w:val="0"/>
              </w:rPr>
              <w:t xml:space="preserve"> dostarczenie informacji na potrzeby procedury budżetowej i przeanalizowanie, w jaki sposób priorytety te można najlepiej odzwierciedlić w kolejnym budżecie.</w:t>
            </w:r>
          </w:p>
        </w:tc>
        <w:tc>
          <w:tcPr>
            <w:tcW w:w="4876" w:type="dxa"/>
          </w:tcPr>
          <w:p w:rsidR="00251551" w:rsidRPr="00FE2D97" w:rsidP="00B1367C" w14:paraId="65EFC72A" w14:textId="77777777">
            <w:pPr>
              <w:pStyle w:val="Normal6a"/>
              <w:rPr>
                <w:szCs w:val="24"/>
              </w:rPr>
            </w:pPr>
            <w:r w:rsidRPr="00FE2D97">
              <w:t>2.</w:t>
            </w:r>
            <w:r w:rsidRPr="00FE2D97">
              <w:tab/>
              <w:t xml:space="preserve">Z odpowiednim wyprzedzeniem przed przyjęciem projektu budżetu przez Komisję zwołuje się budżetowe rozmowy trójstronne w celu omówienia </w:t>
            </w:r>
            <w:r w:rsidRPr="00FE2D97">
              <w:rPr>
                <w:b/>
                <w:i/>
              </w:rPr>
              <w:t xml:space="preserve">możliwych </w:t>
            </w:r>
            <w:r w:rsidRPr="00FE2D97">
              <w:t xml:space="preserve">priorytetów finansowania w budżecie na nadchodzący rok budżetowy. W dyskusjach </w:t>
            </w:r>
            <w:r w:rsidRPr="00FE2D97">
              <w:rPr>
                <w:b/>
                <w:i/>
              </w:rPr>
              <w:t>uwzględnia się</w:t>
            </w:r>
            <w:r w:rsidRPr="00FE2D97">
              <w:t xml:space="preserve"> priorytety polityczne Unii określone przez </w:t>
            </w:r>
            <w:r w:rsidRPr="00FE2D97">
              <w:rPr>
                <w:b/>
                <w:i/>
              </w:rPr>
              <w:t xml:space="preserve">Parlament Europejski i Radę, jako władzę budżetową, w </w:t>
            </w:r>
            <w:r w:rsidRPr="00FE2D97">
              <w:t xml:space="preserve">odpowiednich dokumentach, a celem dyskusji </w:t>
            </w:r>
            <w:r w:rsidRPr="00FE2D97">
              <w:rPr>
                <w:b/>
                <w:i/>
              </w:rPr>
              <w:t>jest</w:t>
            </w:r>
            <w:r w:rsidRPr="00FE2D97">
              <w:t xml:space="preserve"> dostarczenie informacji na potrzeby procedury budżetowej i przeanalizowanie, w jaki sposób priorytety te można najlepiej odzwierciedlić w kolejnym budżecie.</w:t>
            </w:r>
          </w:p>
        </w:tc>
      </w:tr>
    </w:tbl>
    <w:p w:rsidR="00251551" w:rsidRPr="00FE2D97" w:rsidP="00251551" w14:paraId="55266D69" w14:textId="77777777"/>
    <w:p w:rsidR="00251551" w:rsidRPr="00FE2D97" w:rsidP="00251551" w14:paraId="3E403C19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46</w:t>
      </w:r>
    </w:p>
    <w:p w:rsidR="00251551" w:rsidRPr="00FE2D97" w:rsidP="00251551" w14:paraId="414E5496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750FDF99" w14:textId="77777777">
      <w:pPr>
        <w:pStyle w:val="NormalBold12b"/>
        <w:keepNext/>
        <w:spacing w:before="0"/>
      </w:pPr>
      <w:r w:rsidRPr="00FE2D97">
        <w:t xml:space="preserve"> Załącznik</w:t>
      </w:r>
    </w:p>
    <w:p w:rsidR="00251551" w:rsidRPr="00FE2D97" w:rsidP="00251551" w14:paraId="7D01DA01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>Część D – punkt 13</w:t>
      </w:r>
    </w:p>
    <w:p w:rsidR="00251551" w:rsidRPr="00FE2D97" w:rsidP="00251551" w14:paraId="4B154815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0A903A6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0A7B20E1" w14:textId="77777777">
            <w:pPr>
              <w:keepNext/>
            </w:pPr>
          </w:p>
        </w:tc>
      </w:tr>
      <w:tr w14:paraId="5F76C731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EFDBBB6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47172F1A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5DD50117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6AC49F54" w14:textId="77777777">
            <w:pPr>
              <w:pStyle w:val="Normal6a"/>
              <w:rPr>
                <w:iCs/>
              </w:rPr>
            </w:pPr>
            <w:r w:rsidRPr="00FE2D97">
              <w:t>13.</w:t>
            </w:r>
            <w:r w:rsidRPr="00FE2D97">
              <w:tab/>
              <w:t>Budżetowe rozmowy trójstronne można zwołać przed głosowaniem na posiedzeniu plenarnym Parlamentu Europejskiego.</w:t>
            </w:r>
          </w:p>
        </w:tc>
        <w:tc>
          <w:tcPr>
            <w:tcW w:w="4876" w:type="dxa"/>
          </w:tcPr>
          <w:p w:rsidR="00251551" w:rsidRPr="00FE2D97" w:rsidP="00B1367C" w14:paraId="14215560" w14:textId="77777777">
            <w:pPr>
              <w:pStyle w:val="Normal6a"/>
              <w:rPr>
                <w:iCs/>
              </w:rPr>
            </w:pPr>
            <w:r w:rsidRPr="00FE2D97">
              <w:rPr>
                <w:i/>
              </w:rPr>
              <w:t>(Nie dotyczy polskiej wersji językowej)</w:t>
            </w:r>
            <w:r w:rsidRPr="00FE2D97">
              <w:tab/>
              <w:t xml:space="preserve">Budżetowe rozmowy trójstronne </w:t>
            </w:r>
            <w:r w:rsidRPr="00FE2D97">
              <w:rPr>
                <w:b/>
                <w:i/>
              </w:rPr>
              <w:t>można</w:t>
            </w:r>
            <w:r w:rsidRPr="00FE2D97">
              <w:t xml:space="preserve"> zwołać przed głosowaniem na posiedzeniu plenarnym Parlamentu Europejskiego.</w:t>
            </w:r>
          </w:p>
        </w:tc>
      </w:tr>
    </w:tbl>
    <w:p w:rsidR="00251551" w:rsidRPr="00FE2D97" w:rsidP="00251551" w14:paraId="4F97B88E" w14:textId="77777777"/>
    <w:p w:rsidR="00251551" w:rsidRPr="00FE2D97" w:rsidP="00251551" w14:paraId="0A8FFA54" w14:textId="77777777">
      <w:pPr>
        <w:pStyle w:val="AmNumberTabs"/>
        <w:keepNext/>
      </w:pPr>
      <w:r w:rsidRPr="00FE2D97">
        <w:t>Zmiana</w:t>
      </w:r>
      <w:r w:rsidRPr="00FE2D97">
        <w:tab/>
      </w:r>
      <w:r w:rsidRPr="00FE2D97">
        <w:tab/>
        <w:t>47</w:t>
      </w:r>
    </w:p>
    <w:p w:rsidR="00251551" w:rsidRPr="00FE2D97" w:rsidP="00251551" w14:paraId="50831AB8" w14:textId="77777777">
      <w:pPr>
        <w:pStyle w:val="NormalBold12b"/>
        <w:keepNext/>
      </w:pPr>
      <w:r w:rsidRPr="00FE2D97">
        <w:t xml:space="preserve"> Wniosek dotyczący porozumienia międzyinstytucjonalnego</w:t>
      </w:r>
    </w:p>
    <w:p w:rsidR="00251551" w:rsidRPr="00FE2D97" w:rsidP="00251551" w14:paraId="50A4D325" w14:textId="77777777">
      <w:pPr>
        <w:pStyle w:val="NormalBold12b"/>
        <w:keepNext/>
        <w:spacing w:before="0"/>
      </w:pPr>
      <w:r w:rsidRPr="00FE2D97">
        <w:t xml:space="preserve"> Załącznik</w:t>
      </w:r>
    </w:p>
    <w:p w:rsidR="00251551" w:rsidRPr="00FE2D97" w:rsidP="00251551" w14:paraId="5E450529" w14:textId="77777777">
      <w:pPr>
        <w:pStyle w:val="NormalBold12b"/>
        <w:keepNext/>
        <w:spacing w:before="0"/>
      </w:pPr>
      <w:r w:rsidRPr="00FE2D97">
        <w:t xml:space="preserve"> </w:t>
      </w:r>
      <w:r w:rsidRPr="00FE2D97">
        <w:rPr>
          <w:b w:val="0"/>
        </w:rPr>
        <w:t xml:space="preserve">Część E – punkt 15 </w:t>
      </w:r>
    </w:p>
    <w:p w:rsidR="00251551" w:rsidRPr="00FE2D97" w:rsidP="00251551" w14:paraId="18E3E41E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524F5B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51551" w:rsidRPr="00FE2D97" w:rsidP="00B1367C" w14:paraId="79B30DCA" w14:textId="77777777">
            <w:pPr>
              <w:keepNext/>
            </w:pPr>
          </w:p>
        </w:tc>
      </w:tr>
      <w:tr w14:paraId="7D86D67E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55F46180" w14:textId="77777777">
            <w:pPr>
              <w:pStyle w:val="AmColumnHeading"/>
              <w:keepNext/>
            </w:pPr>
            <w:r w:rsidRPr="00FE2D97">
              <w:t>Tekst proponowany przez Komisję</w:t>
            </w:r>
          </w:p>
        </w:tc>
        <w:tc>
          <w:tcPr>
            <w:tcW w:w="4876" w:type="dxa"/>
          </w:tcPr>
          <w:p w:rsidR="00251551" w:rsidRPr="00FE2D97" w:rsidP="00B1367C" w14:paraId="1B4D3F6C" w14:textId="77777777">
            <w:pPr>
              <w:pStyle w:val="AmColumnHeading"/>
              <w:keepNext/>
            </w:pPr>
            <w:r w:rsidRPr="00FE2D97">
              <w:t>Zmiana</w:t>
            </w:r>
          </w:p>
        </w:tc>
      </w:tr>
      <w:tr w14:paraId="74133550" w14:textId="77777777" w:rsidTr="00B1367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51551" w:rsidRPr="00FE2D97" w:rsidP="00B1367C" w14:paraId="38DF8BD2" w14:textId="77777777">
            <w:pPr>
              <w:pStyle w:val="Normal6a"/>
            </w:pPr>
            <w:r w:rsidRPr="00FE2D97">
              <w:t>15.</w:t>
            </w:r>
            <w:r w:rsidRPr="00FE2D97">
              <w:tab/>
              <w:t xml:space="preserve">Jeżeli Rada nie może wyrazić zgody na wszystkie poprawki przyjęte przez Parlament Europejski, </w:t>
            </w:r>
            <w:r w:rsidRPr="00FE2D97">
              <w:rPr>
                <w:b/>
                <w:i/>
              </w:rPr>
              <w:t>powinna potwierdzić</w:t>
            </w:r>
            <w:r w:rsidRPr="00FE2D97">
              <w:t xml:space="preserve"> swoje stanowisko w piśmie przesłanym przed zaplanowanym terminem pierwszego posiedzenia podczas okresu pojednawczego. W takim przypadku komitet pojednawczy postępuje zgodnie z warunkami określonymi w kolejnych punktach niniejszego załącznika.</w:t>
            </w:r>
          </w:p>
        </w:tc>
        <w:tc>
          <w:tcPr>
            <w:tcW w:w="4876" w:type="dxa"/>
          </w:tcPr>
          <w:p w:rsidR="00251551" w:rsidRPr="00FE2D97" w:rsidP="00B1367C" w14:paraId="7303CE6E" w14:textId="77777777">
            <w:pPr>
              <w:pStyle w:val="Normal6a"/>
              <w:rPr>
                <w:iCs/>
              </w:rPr>
            </w:pPr>
            <w:r w:rsidRPr="00FE2D97">
              <w:t>15.</w:t>
            </w:r>
            <w:r w:rsidRPr="00FE2D97">
              <w:tab/>
              <w:t xml:space="preserve">Jeżeli Rada nie może wyrazić zgody na wszystkie poprawki przyjęte przez Parlament Europejski, </w:t>
            </w:r>
            <w:r w:rsidRPr="00FE2D97">
              <w:rPr>
                <w:b/>
                <w:i/>
              </w:rPr>
              <w:t>potwierdza</w:t>
            </w:r>
            <w:r w:rsidRPr="00FE2D97">
              <w:t xml:space="preserve"> swoje stanowisko w piśmie przesłanym przed zaplanowanym terminem pierwszego posiedzenia podczas okresu pojednawczego. W takim przypadku komitet pojednawczy postępuje zgodnie z warunkami określonymi w kolejnych punktach niniejszego załącznika.</w:t>
            </w:r>
          </w:p>
        </w:tc>
      </w:tr>
    </w:tbl>
    <w:p w:rsidR="00251551" w:rsidRPr="00FE2D97" w:rsidP="00251551" w14:paraId="1FF138DF" w14:textId="77777777"/>
    <w:p w:rsidR="00251551" w:rsidRPr="00FE2D97" w:rsidP="00251551" w14:paraId="041F91C4" w14:textId="77777777"/>
    <w:p w:rsidR="00251551" w:rsidRPr="00FE2D97" w:rsidP="00251551" w14:paraId="4A27BC02" w14:textId="77777777"/>
    <w:p w:rsidR="00251551" w:rsidRPr="00FE2D97" w:rsidP="00251551" w14:paraId="71646E38" w14:textId="77777777">
      <w:pPr>
        <w:jc w:val="center"/>
      </w:pPr>
      <w:r w:rsidRPr="00FE2D97">
        <w:t>°</w:t>
      </w:r>
    </w:p>
    <w:p w:rsidR="00251551" w:rsidRPr="00FE2D97" w:rsidP="00251551" w14:paraId="34E53DD9" w14:textId="77777777">
      <w:pPr>
        <w:jc w:val="center"/>
      </w:pPr>
      <w:r w:rsidRPr="00FE2D97">
        <w:t>°         °</w:t>
      </w:r>
    </w:p>
    <w:p w:rsidR="00251551" w:rsidRPr="00FE2D97" w:rsidP="00251551" w14:paraId="59829010" w14:textId="77777777"/>
    <w:p w:rsidR="00251551" w:rsidRPr="00FE2D97" w:rsidP="00251551" w14:paraId="00DD94AD" w14:textId="77777777">
      <w:r w:rsidRPr="00FE2D97">
        <w:t>130.</w:t>
      </w:r>
      <w:r w:rsidRPr="00FE2D97">
        <w:tab/>
        <w:t>zobowiązuje swoją przewodniczącą do przekazania niniejszej rezolucji Radzie i Komisji.</w:t>
      </w:r>
    </w:p>
    <w:p w:rsidR="00251551" w:rsidRPr="00FE2D97" w:rsidP="00251551" w14:paraId="4F9D62AD" w14:textId="77777777"/>
    <w:p w:rsidR="00251551" w:rsidRPr="00FE2D97" w:rsidP="00251551" w14:paraId="2832F0FA" w14:textId="61CC142A">
      <w:pPr>
        <w:sectPr w:rsidSect="00FE2D9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51551" w:rsidRPr="00FE2D97" w:rsidP="00251551" w14:paraId="4553629D" w14:textId="77777777">
      <w:pPr>
        <w:rPr>
          <w:b/>
          <w:bCs/>
          <w:u w:val="single"/>
        </w:rPr>
      </w:pPr>
      <w:r w:rsidRPr="00FE2D97">
        <w:rPr>
          <w:b/>
          <w:u w:val="single"/>
        </w:rPr>
        <w:t>Załącznik I: Stanowisko Parlamentu Europejskiego w sprawie danych liczbowych (ceny bieżące i ceny stałe z 2025 r.) z wyłączeniem kosztów obsługi zadłużenia w ramach NGEU</w:t>
      </w:r>
    </w:p>
    <w:p w:rsidR="00251551" w:rsidRPr="00FE2D97" w:rsidP="00251551" w14:paraId="2AFAF8ED" w14:textId="77777777">
      <w:pPr>
        <w:rPr>
          <w:b/>
          <w:bCs/>
          <w:u w:val="single"/>
        </w:rPr>
      </w:pPr>
    </w:p>
    <w:tbl>
      <w:tblPr>
        <w:tblW w:w="14009" w:type="dxa"/>
        <w:tblInd w:w="-10" w:type="dxa"/>
        <w:tblLook w:val="04A0"/>
      </w:tblPr>
      <w:tblGrid>
        <w:gridCol w:w="5055"/>
        <w:gridCol w:w="1040"/>
        <w:gridCol w:w="1040"/>
        <w:gridCol w:w="1040"/>
        <w:gridCol w:w="1040"/>
        <w:gridCol w:w="1040"/>
        <w:gridCol w:w="1040"/>
        <w:gridCol w:w="1040"/>
        <w:gridCol w:w="1674"/>
      </w:tblGrid>
      <w:tr w14:paraId="3A142598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1400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251551" w:rsidRPr="00FE2D97" w:rsidP="00B1367C" w14:paraId="792C7868" w14:textId="77777777">
            <w:r w:rsidRPr="00FE2D97">
              <w:t xml:space="preserve">w mln EUR – ceny bieżące z zastosowaniem </w:t>
            </w:r>
            <w:r w:rsidRPr="00FE2D97">
              <w:t>deflatora</w:t>
            </w:r>
            <w:r w:rsidRPr="00FE2D97">
              <w:t xml:space="preserve"> 2 %</w:t>
            </w:r>
          </w:p>
        </w:tc>
      </w:tr>
      <w:tr w14:paraId="459536FC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1F2FCC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ZOBOWIĄZANIA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51D83FD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2028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701654B3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2029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23BC544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2030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0AFB292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6066777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2032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5601CFD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2033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1E8F737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51551" w:rsidRPr="00FE2D97" w:rsidP="00B1367C" w14:paraId="004DD94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Ogółem</w:t>
            </w:r>
          </w:p>
        </w:tc>
      </w:tr>
      <w:tr w14:paraId="4DCBF192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1551" w:rsidRPr="00FE2D97" w:rsidP="00B1367C" w14:paraId="086B3240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137374CE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4F54B51D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7FB4EECD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5B3A236F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606E47FE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01CCBFFB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1551" w:rsidRPr="00FE2D97" w:rsidP="00B1367C" w14:paraId="26EDB875" w14:textId="77777777">
            <w:pPr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1551" w:rsidRPr="00FE2D97" w:rsidP="00B1367C" w14:paraId="08CA23C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2028–2034</w:t>
            </w:r>
          </w:p>
        </w:tc>
      </w:tr>
      <w:tr w14:paraId="16A42A89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51551" w:rsidRPr="00FE2D97" w:rsidP="00B1367C" w14:paraId="23FF4B2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 xml:space="preserve">1. Spójność gospodarcza, społeczna i terytorialna, rolnictwo, obszary wiejskie i polityka morska, dobrobyt i bezpieczeństwo 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3F3CEB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155 131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B4E4CB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152 647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55E233E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149 516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1EE88A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146 740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6FC3C3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143 070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59DE403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129 536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5413A7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120 725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626D500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997 366</w:t>
            </w:r>
          </w:p>
        </w:tc>
      </w:tr>
      <w:tr w14:paraId="276EA197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300854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2. Konkurencyjność, dobrobyt i bezpieczeństwo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36053DB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74 825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21DA8A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90 966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6DB6B8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93 066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AB8EC9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97 694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535A3A5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99 148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77C3C3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101 491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41F27C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102 507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A45EBA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659 697</w:t>
            </w:r>
          </w:p>
        </w:tc>
      </w:tr>
      <w:tr w14:paraId="1B8379A3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5A39E69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3. Globalny wymiar Europy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A50D6D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27 300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A4E229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27 936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290B3E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28 438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345334C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34 023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71BD003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39 758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108059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40 516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BCC420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41 288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560F141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239 259</w:t>
            </w:r>
          </w:p>
        </w:tc>
      </w:tr>
      <w:tr w14:paraId="493D1585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1DDE1CF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4. Administracja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D09CC6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14 945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BF4613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15 584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594353E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16 281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6F595B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16 870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67E339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17 466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28D65E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18 062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58BC83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18 669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5E8C58F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117 877</w:t>
            </w:r>
          </w:p>
        </w:tc>
      </w:tr>
      <w:tr w14:paraId="4BFC872C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476F632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ZOBOWIĄZANIA OGÓŁEM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173BFF8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272 201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73C78E0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287 134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49A0792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287 301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2C54F2D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295 327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51F4C68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299 442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3670C0C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289 605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1EA11BD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283 189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25B5D6C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2 014 198</w:t>
            </w:r>
          </w:p>
        </w:tc>
      </w:tr>
      <w:tr w14:paraId="013C6313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1DA93C1" w14:textId="77777777">
            <w:pPr>
              <w:rPr>
                <w:b/>
                <w:bCs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296314C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591FE81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381761C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740E8AD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6CF271B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2C01581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4A9E3A4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32DDB2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</w:tr>
      <w:tr w14:paraId="2CE358A6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04B17A7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PŁATNOŚCI OGÓŁEM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27B3E14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271 032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3AD7238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305 040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6A7B5A8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300 920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194C08A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296 118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14F4462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279 007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7A3355E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275 902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1E743B3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267 875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6C0F956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1 995 894</w:t>
            </w:r>
          </w:p>
        </w:tc>
      </w:tr>
      <w:tr w14:paraId="50708063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1400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251551" w:rsidRPr="00FE2D97" w:rsidP="00B1367C" w14:paraId="28CCB60B" w14:textId="77777777">
            <w:r w:rsidRPr="00FE2D97">
              <w:t>w mln EUR – ceny z 2025 r.</w:t>
            </w:r>
          </w:p>
        </w:tc>
      </w:tr>
      <w:tr w14:paraId="13200898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06FA3F3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ZOBOWIĄZANIA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4958E8D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2028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72EA611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2029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249BA46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2030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01FE860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1C69153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2032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251551" w:rsidRPr="00FE2D97" w:rsidP="00B1367C" w14:paraId="065E86F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2033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36C88D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2034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51551" w:rsidRPr="00FE2D97" w:rsidP="00B1367C" w14:paraId="25CBB65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Ogółem</w:t>
            </w:r>
          </w:p>
        </w:tc>
      </w:tr>
      <w:tr w14:paraId="4823765E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1551" w:rsidRPr="00FE2D97" w:rsidP="00B1367C" w14:paraId="4EF67DE5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61488964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36CB9AF1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3C03F2AE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7E81E2F6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57ECEAD5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551" w:rsidRPr="00FE2D97" w:rsidP="00B1367C" w14:paraId="36F9C3C6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1551" w:rsidRPr="00FE2D97" w:rsidP="00B1367C" w14:paraId="26D846F7" w14:textId="77777777">
            <w:pPr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1551" w:rsidRPr="00FE2D97" w:rsidP="00B1367C" w14:paraId="522748D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2028–2034</w:t>
            </w:r>
          </w:p>
        </w:tc>
      </w:tr>
      <w:tr w14:paraId="14CC2C41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51551" w:rsidRPr="00FE2D97" w:rsidP="00B1367C" w14:paraId="1380C87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 xml:space="preserve">1. Spójność gospodarcza, społeczna i terytorialna, rolnictwo, obszary wiejskie i polityka morska, dobrobyt i bezpieczeństwo 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E967E2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146 152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E72759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140 992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0816BA8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135 392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AFF041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130 273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544CDCE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124 525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3C2FE7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110 534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0AA88A0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100 996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EC2DE0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888 864</w:t>
            </w:r>
          </w:p>
        </w:tc>
      </w:tr>
      <w:tr w14:paraId="15C7EBBE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7CA633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2. Konkurencyjność, dobrobyt i bezpieczeństwo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A4C6E1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70 508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5128958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84 037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CFCBA0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84 291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679668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86 747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A5FF80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86 312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6EBBF9D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86 619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3C6C954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85 771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2CA6CB0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584 288</w:t>
            </w:r>
          </w:p>
        </w:tc>
      </w:tr>
      <w:tr w14:paraId="4552E88F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31AB98D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3. Globalny wymiar Europy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F13282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25 727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3CF834EA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25 810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912B93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25 758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E5771E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30 214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BB89FD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34 615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4D9433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34 583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DF55B4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34 551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58BC27E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211 260</w:t>
            </w:r>
          </w:p>
        </w:tc>
      </w:tr>
      <w:tr w14:paraId="01D10D85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18B09F8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4. Administracja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AE4AEE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14 083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216718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14 397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720DA52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14 746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084A41B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14 980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4B984D7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15 205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2CDFB34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15 415</w:t>
            </w:r>
          </w:p>
        </w:tc>
        <w:tc>
          <w:tcPr>
            <w:tcW w:w="1040" w:type="dxa"/>
            <w:noWrap/>
            <w:vAlign w:val="center"/>
            <w:hideMark/>
          </w:tcPr>
          <w:p w:rsidR="00251551" w:rsidRPr="00FE2D97" w:rsidP="00B1367C" w14:paraId="1CED92B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15 621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6122743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104 449</w:t>
            </w:r>
          </w:p>
        </w:tc>
      </w:tr>
      <w:tr w14:paraId="3BC4AB91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4C0048E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ZOBOWIĄZANIA OGÓŁEM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41F8EE5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256 472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05DBF06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265 237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61A2316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260 189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264E06A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262 215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1A62CE8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260 657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5B9AB76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247 151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597C10B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236 939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079A0BD5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1 788 861</w:t>
            </w:r>
          </w:p>
        </w:tc>
      </w:tr>
      <w:tr w14:paraId="68BDFA33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02F6B49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4D79DED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5765BDFC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7536570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40B538E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0355BB56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0B00808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51551" w:rsidRPr="00FE2D97" w:rsidP="00B1367C" w14:paraId="2D505E7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F43D7E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</w:tr>
      <w:tr w14:paraId="570DF844" w14:textId="77777777" w:rsidTr="00B1367C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5B34758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ŚRODKI NA PŁATNOŚCI OGÓŁEM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068DB7A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255 399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05CC367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281 809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0651A203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272 552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04C10477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262 944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7BD5059F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242 892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36458E09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235 479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2566D10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224 145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51551" w:rsidRPr="00FE2D97" w:rsidP="00B1367C" w14:paraId="746EBB22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1 775 220</w:t>
            </w:r>
          </w:p>
        </w:tc>
      </w:tr>
    </w:tbl>
    <w:p w:rsidR="00251551" w:rsidRPr="00FE2D97" w:rsidP="00251551" w14:paraId="4DFA3EB7" w14:textId="77777777">
      <w:pPr>
        <w:rPr>
          <w:b/>
          <w:bCs/>
          <w:u w:val="single"/>
        </w:rPr>
      </w:pPr>
    </w:p>
    <w:p w:rsidR="00251551" w:rsidRPr="00FE2D97" w:rsidP="00251551" w14:paraId="1444CF8B" w14:textId="77777777">
      <w:pPr>
        <w:pStyle w:val="ListParagraph"/>
        <w:ind w:left="0"/>
        <w:rPr>
          <w:b/>
          <w:bCs/>
          <w:u w:val="single"/>
        </w:rPr>
      </w:pPr>
    </w:p>
    <w:p w:rsidR="00251551" w:rsidRPr="00FE2D97" w:rsidP="00251551" w14:paraId="2EDAD1E7" w14:textId="77777777">
      <w:pPr>
        <w:rPr>
          <w:b/>
          <w:bCs/>
          <w:u w:val="single"/>
        </w:rPr>
      </w:pPr>
      <w:r w:rsidRPr="00FE2D97">
        <w:br w:type="page"/>
      </w:r>
      <w:r w:rsidRPr="00FE2D97">
        <w:rPr>
          <w:b/>
          <w:u w:val="single"/>
        </w:rPr>
        <w:t>Załącznik II: Stanowisko Parlamentu Europejskiego w sprawie podziału środków według programów</w:t>
      </w:r>
    </w:p>
    <w:tbl>
      <w:tblPr>
        <w:tblpPr w:leftFromText="180" w:rightFromText="180" w:vertAnchor="text" w:horzAnchor="margin" w:tblpY="-34"/>
        <w:tblW w:w="0" w:type="auto"/>
        <w:tblLook w:val="04A0"/>
      </w:tblPr>
      <w:tblGrid>
        <w:gridCol w:w="2087"/>
        <w:gridCol w:w="6110"/>
        <w:gridCol w:w="1962"/>
        <w:gridCol w:w="1742"/>
        <w:gridCol w:w="1358"/>
        <w:gridCol w:w="1017"/>
      </w:tblGrid>
      <w:tr w14:paraId="37A3E2E5" w14:textId="77777777" w:rsidTr="00B1367C">
        <w:tblPrEx>
          <w:tblW w:w="0" w:type="auto"/>
          <w:tblLook w:val="04A0"/>
        </w:tblPrEx>
        <w:trPr>
          <w:cantSplit/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1BB34C8F" w14:textId="77777777">
            <w:pPr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w mld EUR – środki na zobowiązania (w cenach bieżących)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488CC1EC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Wniosek dotyczący WRF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5AF84882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Stanowisko PE (1,27 % DNB, z wyłączeniem spłaty NGEU)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020291E6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Zmiana nominalna</w:t>
            </w:r>
          </w:p>
        </w:tc>
      </w:tr>
      <w:tr w14:paraId="0690E819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251551" w:rsidRPr="00FE2D97" w:rsidP="00B1367C" w14:paraId="254449D5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Wieloletnie ramy finansowe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47D1244E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1816,89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3D6A9974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2014,20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3D8DDE2B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>197,30</w:t>
            </w:r>
          </w:p>
        </w:tc>
      </w:tr>
      <w:tr w14:paraId="1F4B631D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251551" w:rsidRPr="00FE2D97" w:rsidP="00B1367C" w14:paraId="0024BDB5" w14:textId="77777777">
            <w:pPr>
              <w:rPr>
                <w:b/>
                <w:bCs/>
                <w:sz w:val="22"/>
                <w:szCs w:val="22"/>
              </w:rPr>
            </w:pPr>
            <w:r w:rsidRPr="00FE2D97">
              <w:rPr>
                <w:b/>
                <w:sz w:val="22"/>
              </w:rPr>
              <w:t xml:space="preserve">Dział 1: Europejski model społeczny i jakość życia, z wyłączeniem NGEU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1C8E8C31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894,22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23A4F990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997,37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0B06CF4D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103,15</w:t>
            </w:r>
          </w:p>
        </w:tc>
      </w:tr>
      <w:tr w14:paraId="06D6FE20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51551" w:rsidRPr="00FE2D97" w:rsidP="00B1367C" w14:paraId="2A261479" w14:textId="77777777">
            <w:pPr>
              <w:rPr>
                <w:sz w:val="22"/>
                <w:szCs w:val="22"/>
              </w:rPr>
            </w:pPr>
            <w:r w:rsidRPr="00FE2D97">
              <w:rPr>
                <w:sz w:val="22"/>
              </w:rPr>
              <w:t>Europejski Fundusz Spójności Gospodarczej, Społecznej i Terytorialnej, Rolnictwa i Obszarów Wiejskich, Rybołówstwa i Polityki Morskiej, Dobrobytu i Bezpieczeństwa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1EC1DA2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865,08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A3981C1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972,86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B33A1E6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107,79</w:t>
            </w:r>
          </w:p>
        </w:tc>
      </w:tr>
      <w:tr w14:paraId="079EEC07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00DFD7FD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WPR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66DA78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293,70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7C0BCBC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433,01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81563B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139,31</w:t>
            </w:r>
          </w:p>
        </w:tc>
      </w:tr>
      <w:tr w14:paraId="58DA3DAB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6D170C7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 xml:space="preserve">w tym 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5BE070E3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Wsparcie dochodu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4C57923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293,70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5690914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320,30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322606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26,60</w:t>
            </w:r>
          </w:p>
        </w:tc>
      </w:tr>
      <w:tr w14:paraId="62BEEFC3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477C9D91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12B5A95B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Obszary wiejskie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5E2ECE3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44A9083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106,41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3ADEF3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106,41</w:t>
            </w:r>
          </w:p>
        </w:tc>
      </w:tr>
      <w:tr w14:paraId="01B620F4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5201036D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0BED428B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Sieć bezpieczeństwa oparta na jedności*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81E8F1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6,30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764087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6,30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3A6D13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0,00</w:t>
            </w:r>
          </w:p>
        </w:tc>
      </w:tr>
      <w:tr w14:paraId="236A8D06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431AD38F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POSEI (ma zostać włączony do WPR)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732E12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5F47B9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7,33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F365BB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7,33</w:t>
            </w:r>
          </w:p>
        </w:tc>
      </w:tr>
      <w:tr w14:paraId="4E0364B6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49B0E277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Rybołówstwo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1ECCD6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49141B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7,29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392B3A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5,29</w:t>
            </w:r>
          </w:p>
        </w:tc>
      </w:tr>
      <w:tr w14:paraId="27EA7905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51551" w:rsidRPr="00FE2D97" w:rsidP="00B1367C" w14:paraId="733B7FCB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Europejski Fundusz Rozwoju Regionalnego, w tym Europejska współpraca terytorialna (</w:t>
            </w:r>
            <w:r w:rsidRPr="00FE2D97">
              <w:rPr>
                <w:i/>
                <w:sz w:val="22"/>
              </w:rPr>
              <w:t>Interreg</w:t>
            </w:r>
            <w:r w:rsidRPr="00FE2D97">
              <w:rPr>
                <w:i/>
                <w:sz w:val="22"/>
              </w:rPr>
              <w:t>) i Fundusz Spójności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CA27B3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228,06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05ED3F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306,93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0F6676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78,87</w:t>
            </w:r>
          </w:p>
        </w:tc>
      </w:tr>
      <w:tr w14:paraId="3D40584C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9318609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w tym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2BF00394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EFRR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1C6055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183,15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4C83D9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248,37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0EE9E6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65,23</w:t>
            </w:r>
          </w:p>
        </w:tc>
      </w:tr>
      <w:tr w14:paraId="31982226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88824E3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49FC0B08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FS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540015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34,65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37FE20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46,99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C0F4A0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12,34</w:t>
            </w:r>
          </w:p>
        </w:tc>
      </w:tr>
      <w:tr w14:paraId="047A72DC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3462CE58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251551" w:rsidRPr="00FE2D97" w:rsidP="00B1367C" w14:paraId="4D92C4D5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Interreg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296086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10,26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0CE30C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11,57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13189A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1,30</w:t>
            </w:r>
          </w:p>
        </w:tc>
      </w:tr>
      <w:tr w14:paraId="66C5F99A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8951552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Europejski Fundusz Społeczny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A5FDBD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A823E1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124,19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194066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124,19</w:t>
            </w:r>
          </w:p>
        </w:tc>
      </w:tr>
      <w:tr w14:paraId="4DA76AE0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54056987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Migracja – azyl, migracja i integracja**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EAE3F0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11,98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DB5BBDA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13,31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FF463DA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1,34</w:t>
            </w:r>
          </w:p>
        </w:tc>
      </w:tr>
      <w:tr w14:paraId="14248BC4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2ABBF48F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Migracja – zarządzanie granicami i wspólna polityka wizowa**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7A1DBF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15,40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780F15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17,12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8B7898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1,72</w:t>
            </w:r>
          </w:p>
        </w:tc>
      </w:tr>
      <w:tr w14:paraId="347B1720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591291C1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Migracja – bezpieczeństwo wewnętrzne**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86E71C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6,84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00ECE6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7,61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310543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0,76</w:t>
            </w:r>
          </w:p>
        </w:tc>
      </w:tr>
      <w:tr w14:paraId="4FDDB045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132EBA2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Instrument UE***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9868AD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65,63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989C7B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56,08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5BF1D8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-9,56</w:t>
            </w:r>
          </w:p>
        </w:tc>
      </w:tr>
      <w:tr w14:paraId="28F92A9E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06C01F30" w14:textId="77777777">
            <w:pPr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Brak wyodrębnienia w PPKR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37918E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235,17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7BE278C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0,00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4FFEB7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FE2D97">
              <w:rPr>
                <w:i/>
                <w:sz w:val="22"/>
              </w:rPr>
              <w:t>-235,17</w:t>
            </w:r>
          </w:p>
        </w:tc>
      </w:tr>
      <w:tr w14:paraId="713D9ACD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79E4C8EF" w14:textId="77777777">
            <w:pPr>
              <w:rPr>
                <w:sz w:val="22"/>
                <w:szCs w:val="22"/>
              </w:rPr>
            </w:pPr>
            <w:r w:rsidRPr="00FE2D97">
              <w:rPr>
                <w:sz w:val="22"/>
              </w:rPr>
              <w:t>Wsparcie dla społeczności Turków cypryjskich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8FD7B59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0,44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F71EF5C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0,49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0F850B9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0,05</w:t>
            </w:r>
          </w:p>
        </w:tc>
      </w:tr>
      <w:tr w14:paraId="395FF768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6368A341" w14:textId="77777777">
            <w:pPr>
              <w:rPr>
                <w:sz w:val="22"/>
                <w:szCs w:val="22"/>
              </w:rPr>
            </w:pPr>
            <w:r w:rsidRPr="00FE2D97">
              <w:rPr>
                <w:sz w:val="22"/>
              </w:rPr>
              <w:t>Agencje zdecentralizowane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04BED53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22,89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BDC5488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22,89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EA3B4E9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0,00</w:t>
            </w:r>
          </w:p>
        </w:tc>
      </w:tr>
      <w:tr w14:paraId="5BBF5015" w14:textId="77777777" w:rsidTr="00B1367C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31A3236E" w14:textId="77777777">
            <w:pPr>
              <w:rPr>
                <w:sz w:val="22"/>
                <w:szCs w:val="22"/>
              </w:rPr>
            </w:pPr>
            <w:r w:rsidRPr="00FE2D97">
              <w:rPr>
                <w:sz w:val="22"/>
              </w:rPr>
              <w:t>Marginesy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A92F3D9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5,82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2A1B136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1,13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018353E" w14:textId="77777777">
            <w:pPr>
              <w:jc w:val="right"/>
              <w:rPr>
                <w:sz w:val="22"/>
                <w:szCs w:val="22"/>
              </w:rPr>
            </w:pPr>
            <w:r w:rsidRPr="00FE2D97">
              <w:rPr>
                <w:sz w:val="22"/>
              </w:rPr>
              <w:t>-4,69</w:t>
            </w:r>
          </w:p>
        </w:tc>
      </w:tr>
      <w:tr w14:paraId="483652F2" w14:textId="77777777" w:rsidTr="00B1367C">
        <w:tblPrEx>
          <w:tblW w:w="0" w:type="auto"/>
          <w:tblLook w:val="04A0"/>
        </w:tblPrEx>
        <w:trPr>
          <w:gridAfter w:val="1"/>
          <w:wAfter w:w="1017" w:type="dxa"/>
          <w:trHeight w:val="285"/>
        </w:trPr>
        <w:tc>
          <w:tcPr>
            <w:tcW w:w="13259" w:type="dxa"/>
            <w:gridSpan w:val="5"/>
            <w:noWrap/>
            <w:vAlign w:val="bottom"/>
            <w:hideMark/>
          </w:tcPr>
          <w:p w:rsidR="00251551" w:rsidRPr="00FE2D97" w:rsidP="00B1367C" w14:paraId="5570172F" w14:textId="77777777">
            <w:pPr>
              <w:rPr>
                <w:sz w:val="22"/>
                <w:szCs w:val="18"/>
              </w:rPr>
            </w:pPr>
            <w:r w:rsidRPr="00FE2D97">
              <w:rPr>
                <w:sz w:val="22"/>
              </w:rPr>
              <w:t>* W ramach WPR uwzględniono kwotę 6,3 mld EUR odpowiadającą sieci bezpieczeństwa opartej na jedności.</w:t>
            </w:r>
          </w:p>
        </w:tc>
      </w:tr>
      <w:tr w14:paraId="0CC0DEAD" w14:textId="77777777" w:rsidTr="00B1367C">
        <w:tblPrEx>
          <w:tblW w:w="0" w:type="auto"/>
          <w:tblLook w:val="04A0"/>
        </w:tblPrEx>
        <w:trPr>
          <w:gridAfter w:val="1"/>
          <w:wAfter w:w="1017" w:type="dxa"/>
          <w:trHeight w:val="285"/>
        </w:trPr>
        <w:tc>
          <w:tcPr>
            <w:tcW w:w="13259" w:type="dxa"/>
            <w:gridSpan w:val="5"/>
            <w:noWrap/>
            <w:vAlign w:val="bottom"/>
            <w:hideMark/>
          </w:tcPr>
          <w:p w:rsidR="00251551" w:rsidRPr="00FE2D97" w:rsidP="00B1367C" w14:paraId="6718E4D4" w14:textId="77777777">
            <w:pPr>
              <w:rPr>
                <w:sz w:val="22"/>
                <w:szCs w:val="18"/>
              </w:rPr>
            </w:pPr>
            <w:r w:rsidRPr="00FE2D97">
              <w:rPr>
                <w:sz w:val="22"/>
              </w:rPr>
              <w:t>** Łączna kwota funduszy w obszarze spraw wewnętrznych: 38,04 mld EUR</w:t>
            </w:r>
          </w:p>
          <w:p w:rsidR="00251551" w:rsidRPr="00FE2D97" w:rsidP="00B1367C" w14:paraId="410F8DD4" w14:textId="77777777">
            <w:pPr>
              <w:rPr>
                <w:sz w:val="22"/>
                <w:szCs w:val="18"/>
              </w:rPr>
            </w:pPr>
            <w:r w:rsidRPr="00FE2D97">
              <w:rPr>
                <w:sz w:val="22"/>
              </w:rPr>
              <w:t>*** bez uwzględnienia sieci bezpieczeństwa opartej na jedności</w:t>
            </w:r>
          </w:p>
        </w:tc>
      </w:tr>
    </w:tbl>
    <w:p w:rsidR="00251551" w:rsidRPr="00FE2D97" w:rsidP="00251551" w14:paraId="5E2B5276" w14:textId="77777777">
      <w:r w:rsidRPr="00FE2D97">
        <w:br w:type="page"/>
      </w:r>
    </w:p>
    <w:tbl>
      <w:tblPr>
        <w:tblpPr w:leftFromText="180" w:rightFromText="180" w:vertAnchor="text" w:horzAnchor="margin" w:tblpY="-34"/>
        <w:tblW w:w="0" w:type="auto"/>
        <w:tblLook w:val="04A0"/>
      </w:tblPr>
      <w:tblGrid>
        <w:gridCol w:w="14286"/>
      </w:tblGrid>
      <w:tr w14:paraId="61C716E4" w14:textId="77777777" w:rsidTr="00B1367C">
        <w:tblPrEx>
          <w:tblW w:w="0" w:type="auto"/>
          <w:tblLook w:val="04A0"/>
        </w:tblPrEx>
        <w:trPr>
          <w:trHeight w:val="285"/>
        </w:trPr>
        <w:tc>
          <w:tcPr>
            <w:tcW w:w="13259" w:type="dxa"/>
            <w:noWrap/>
            <w:vAlign w:val="bottom"/>
            <w:hideMark/>
          </w:tcPr>
          <w:p w:rsidR="00251551" w:rsidRPr="00FE2D97" w:rsidP="00B1367C" w14:paraId="3F075AE0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  <w:tbl>
            <w:tblPr>
              <w:tblpPr w:leftFromText="180" w:rightFromText="180" w:vertAnchor="text" w:horzAnchor="margin" w:tblpY="91"/>
              <w:tblW w:w="0" w:type="auto"/>
              <w:tblLook w:val="04A0"/>
            </w:tblPr>
            <w:tblGrid>
              <w:gridCol w:w="3106"/>
              <w:gridCol w:w="4882"/>
              <w:gridCol w:w="1932"/>
              <w:gridCol w:w="2483"/>
              <w:gridCol w:w="1657"/>
            </w:tblGrid>
            <w:tr w14:paraId="50E266A6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251551" w:rsidRPr="00FE2D97" w:rsidP="00B1367C" w14:paraId="18360D55" w14:textId="77777777">
                  <w:pPr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w mld EUR – środki na zobowiązania (w cenach bieżących)</w:t>
                  </w:r>
                </w:p>
                <w:p w:rsidR="00251551" w:rsidRPr="00FE2D97" w:rsidP="00B1367C" w14:paraId="6CAA3411" w14:textId="77777777">
                  <w:pPr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 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1551" w:rsidRPr="00FE2D97" w:rsidP="00B1367C" w14:paraId="589C673C" w14:textId="77777777">
                  <w:pPr>
                    <w:jc w:val="center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Wniosek dotyczący WRF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1551" w:rsidRPr="00FE2D97" w:rsidP="00B1367C" w14:paraId="03315AC4" w14:textId="77777777">
                  <w:pPr>
                    <w:jc w:val="center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Stanowisko PE (1,27 % DNB, z wyłączeniem spłaty NGEU)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1551" w:rsidRPr="00FE2D97" w:rsidP="00B1367C" w14:paraId="1773CF3F" w14:textId="77777777">
                  <w:pPr>
                    <w:jc w:val="center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Zmiana nominalna</w:t>
                  </w:r>
                </w:p>
              </w:tc>
            </w:tr>
            <w:tr w14:paraId="19A4B973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251551" w:rsidRPr="00FE2D97" w:rsidP="00B1367C" w14:paraId="1888D915" w14:textId="77777777">
                  <w:pPr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Dział 2: Konkurencyjność, dobrobyt i bezpieczeństwo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54FCA7E2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589,59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7BC17E36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659,70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4913DA26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70,10</w:t>
                  </w:r>
                </w:p>
              </w:tc>
            </w:tr>
            <w:tr w14:paraId="0AEC1000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5F6B3BDB" w14:textId="77777777">
                  <w:r w:rsidRPr="00FE2D97">
                    <w:t>Europejski Fundusz Konkurencyjności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FE41A8C" w14:textId="77777777">
                  <w:pPr>
                    <w:jc w:val="right"/>
                  </w:pPr>
                  <w:r w:rsidRPr="00FE2D97">
                    <w:t>234,30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CDB4C77" w14:textId="77777777">
                  <w:pPr>
                    <w:jc w:val="right"/>
                  </w:pPr>
                  <w:r w:rsidRPr="00FE2D97">
                    <w:t>264,35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41168BD" w14:textId="77777777">
                  <w:pPr>
                    <w:jc w:val="right"/>
                  </w:pPr>
                  <w:r w:rsidRPr="00FE2D97">
                    <w:t>30,05</w:t>
                  </w:r>
                </w:p>
              </w:tc>
            </w:tr>
            <w:tr w14:paraId="6CC5616E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31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1D2E94B6" w14:textId="77777777">
                  <w:pPr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w tym</w:t>
                  </w:r>
                </w:p>
              </w:tc>
              <w:tc>
                <w:tcPr>
                  <w:tcW w:w="5024" w:type="dxa"/>
                  <w:noWrap/>
                  <w:vAlign w:val="bottom"/>
                  <w:hideMark/>
                </w:tcPr>
                <w:p w:rsidR="00251551" w:rsidRPr="00FE2D97" w:rsidP="00B1367C" w14:paraId="1F0BD340" w14:textId="77777777">
                  <w:pPr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Działania w ramach programu LIFE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3B3FC84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0,00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AEB2B9E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3,39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AF53A2B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3,39</w:t>
                  </w:r>
                </w:p>
              </w:tc>
            </w:tr>
            <w:tr w14:paraId="428FF887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31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6B37A2AF" w14:textId="77777777">
                  <w:pPr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 </w:t>
                  </w:r>
                </w:p>
              </w:tc>
              <w:tc>
                <w:tcPr>
                  <w:tcW w:w="5024" w:type="dxa"/>
                  <w:noWrap/>
                  <w:vAlign w:val="bottom"/>
                  <w:hideMark/>
                </w:tcPr>
                <w:p w:rsidR="00251551" w:rsidRPr="00FE2D97" w:rsidP="00B1367C" w14:paraId="5068F8CD" w14:textId="77777777">
                  <w:pPr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Działania w ramach Programu UE dla zdrowia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61DB998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0,00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D65F65B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10,05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BA8B761" w14:textId="77777777">
                  <w:pPr>
                    <w:jc w:val="right"/>
                    <w:rPr>
                      <w:i/>
                      <w:iCs/>
                    </w:rPr>
                  </w:pPr>
                  <w:r w:rsidRPr="00FE2D97">
                    <w:rPr>
                      <w:i/>
                    </w:rPr>
                    <w:t>10,05</w:t>
                  </w:r>
                </w:p>
              </w:tc>
            </w:tr>
            <w:tr w14:paraId="7E405F5C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83E294A" w14:textId="77777777">
                  <w:r w:rsidRPr="00FE2D97">
                    <w:t>Program „Horyzont Europa”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3C2B1FA" w14:textId="77777777">
                  <w:pPr>
                    <w:jc w:val="right"/>
                  </w:pPr>
                  <w:r w:rsidRPr="00FE2D97">
                    <w:t>175,00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0F32C992" w14:textId="77777777">
                  <w:pPr>
                    <w:jc w:val="right"/>
                  </w:pPr>
                  <w:r w:rsidRPr="00FE2D97">
                    <w:t>200,00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A6BA25C" w14:textId="77777777">
                  <w:pPr>
                    <w:jc w:val="right"/>
                  </w:pPr>
                  <w:r w:rsidRPr="00FE2D97">
                    <w:t>25,00</w:t>
                  </w:r>
                </w:p>
              </w:tc>
            </w:tr>
            <w:tr w14:paraId="6D86E861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0697589E" w14:textId="77777777">
                  <w:r w:rsidRPr="00FE2D97">
                    <w:t>EURATOM/ITER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72F532D" w14:textId="77777777">
                  <w:pPr>
                    <w:jc w:val="right"/>
                  </w:pPr>
                  <w:r w:rsidRPr="00FE2D97">
                    <w:t>9,79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D96E4E0" w14:textId="77777777">
                  <w:pPr>
                    <w:jc w:val="right"/>
                  </w:pPr>
                  <w:r w:rsidRPr="00FE2D97">
                    <w:t>9,79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0D74535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53893E53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6B8DC12E" w14:textId="77777777">
                  <w:r w:rsidRPr="00FE2D97">
                    <w:t>INSC-D (Instrument Współpracy w dziedzinie Bezpieczeństwa Jądrowego i Likwidacji Obiektów Jądrowych)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838E9F0" w14:textId="77777777">
                  <w:pPr>
                    <w:jc w:val="right"/>
                  </w:pPr>
                  <w:r w:rsidRPr="00FE2D97">
                    <w:t>0,97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A736923" w14:textId="77777777">
                  <w:pPr>
                    <w:jc w:val="right"/>
                  </w:pPr>
                  <w:r w:rsidRPr="00FE2D97">
                    <w:t>0,97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8955276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4B995C05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5328DE9A" w14:textId="77777777">
                  <w:r w:rsidRPr="00FE2D97">
                    <w:t>Program Ignalina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1F09BBA" w14:textId="77777777">
                  <w:pPr>
                    <w:jc w:val="right"/>
                  </w:pPr>
                  <w:r w:rsidRPr="00FE2D97">
                    <w:t>0,68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69309FB" w14:textId="77777777">
                  <w:pPr>
                    <w:jc w:val="right"/>
                  </w:pPr>
                  <w:r w:rsidRPr="00FE2D97">
                    <w:t>0,68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1F2D31A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51617467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556C01E8" w14:textId="77777777">
                  <w:r w:rsidRPr="00FE2D97">
                    <w:t>CEF (transport, energia, mobilność wojskowa)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B92162C" w14:textId="77777777">
                  <w:pPr>
                    <w:jc w:val="right"/>
                  </w:pPr>
                  <w:r w:rsidRPr="00FE2D97">
                    <w:t>81,43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E695740" w14:textId="77777777">
                  <w:pPr>
                    <w:jc w:val="right"/>
                  </w:pPr>
                  <w:r w:rsidRPr="00FE2D97">
                    <w:t>91,29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A44EDBE" w14:textId="77777777">
                  <w:pPr>
                    <w:jc w:val="right"/>
                  </w:pPr>
                  <w:r w:rsidRPr="00FE2D97">
                    <w:t>9,86</w:t>
                  </w:r>
                </w:p>
              </w:tc>
            </w:tr>
            <w:tr w14:paraId="6A82E7EF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2BB8037" w14:textId="77777777">
                  <w:r w:rsidRPr="00FE2D97">
                    <w:t>Program na rzecz jednolitego rynku i ceł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0E328DEF" w14:textId="77777777">
                  <w:pPr>
                    <w:jc w:val="right"/>
                  </w:pPr>
                  <w:r w:rsidRPr="00FE2D97">
                    <w:t>6,24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47BB608" w14:textId="77777777">
                  <w:pPr>
                    <w:jc w:val="right"/>
                  </w:pPr>
                  <w:r w:rsidRPr="00FE2D97">
                    <w:t>6,87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9033130" w14:textId="77777777">
                  <w:pPr>
                    <w:jc w:val="right"/>
                  </w:pPr>
                  <w:r w:rsidRPr="00FE2D97">
                    <w:t>0,63</w:t>
                  </w:r>
                </w:p>
              </w:tc>
            </w:tr>
            <w:tr w14:paraId="3210F22F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3B08B270" w14:textId="77777777">
                  <w:r w:rsidRPr="00FE2D97">
                    <w:t>Perykles (ochrona euro)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7B23AC4" w14:textId="77777777">
                  <w:pPr>
                    <w:jc w:val="right"/>
                  </w:pPr>
                  <w:r w:rsidRPr="00FE2D97">
                    <w:t>0,01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B85675D" w14:textId="77777777">
                  <w:pPr>
                    <w:jc w:val="right"/>
                  </w:pPr>
                  <w:r w:rsidRPr="00FE2D97">
                    <w:t>0,01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7DB45C8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724DE69C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4F27B789" w14:textId="77777777">
                  <w:r w:rsidRPr="00FE2D97">
                    <w:t>Program Erasmus+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1B8E108" w14:textId="77777777">
                  <w:pPr>
                    <w:jc w:val="right"/>
                  </w:pPr>
                  <w:r w:rsidRPr="00FE2D97">
                    <w:t>40,83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C9DB6B6" w14:textId="77777777">
                  <w:pPr>
                    <w:jc w:val="right"/>
                  </w:pPr>
                  <w:r w:rsidRPr="00FE2D97">
                    <w:t>47,39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97756E7" w14:textId="77777777">
                  <w:pPr>
                    <w:jc w:val="right"/>
                  </w:pPr>
                  <w:r w:rsidRPr="00FE2D97">
                    <w:t>6,56</w:t>
                  </w:r>
                </w:p>
              </w:tc>
            </w:tr>
            <w:tr w14:paraId="7B03402D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3194D0E7" w14:textId="77777777">
                  <w:r w:rsidRPr="00FE2D97">
                    <w:t xml:space="preserve">Program </w:t>
                  </w:r>
                  <w:r w:rsidRPr="00FE2D97">
                    <w:t>AgoraEU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51F0CDA" w14:textId="77777777">
                  <w:pPr>
                    <w:jc w:val="right"/>
                  </w:pPr>
                  <w:r w:rsidRPr="00FE2D97">
                    <w:t>8,58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033CE65C" w14:textId="77777777">
                  <w:pPr>
                    <w:jc w:val="right"/>
                  </w:pPr>
                  <w:r w:rsidRPr="00FE2D97">
                    <w:t>10,72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25DFEC2" w14:textId="77777777">
                  <w:pPr>
                    <w:jc w:val="right"/>
                  </w:pPr>
                  <w:r w:rsidRPr="00FE2D97">
                    <w:t>2,14</w:t>
                  </w:r>
                </w:p>
              </w:tc>
            </w:tr>
            <w:tr w14:paraId="27B44660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46C1FE2D" w14:textId="77777777">
                  <w:r w:rsidRPr="00FE2D97">
                    <w:t>UMOL+ (Unijny Mechanizm Ochrony Ludności i stan gotowości w dziedzinie zdrowia)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B40D9B2" w14:textId="77777777">
                  <w:pPr>
                    <w:jc w:val="right"/>
                  </w:pPr>
                  <w:r w:rsidRPr="00FE2D97">
                    <w:t>10,68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1EC30DF" w14:textId="77777777">
                  <w:pPr>
                    <w:jc w:val="right"/>
                  </w:pPr>
                  <w:r w:rsidRPr="00FE2D97">
                    <w:t>12,42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D1B9F1E" w14:textId="77777777">
                  <w:pPr>
                    <w:jc w:val="right"/>
                  </w:pPr>
                  <w:r w:rsidRPr="00FE2D97">
                    <w:t>1,74</w:t>
                  </w:r>
                </w:p>
              </w:tc>
            </w:tr>
            <w:tr w14:paraId="263C049D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49FC89BF" w14:textId="77777777">
                  <w:r w:rsidRPr="00FE2D97">
                    <w:t>Wymiar sprawiedliwości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83D390D" w14:textId="77777777">
                  <w:pPr>
                    <w:jc w:val="right"/>
                  </w:pPr>
                  <w:r w:rsidRPr="00FE2D97">
                    <w:t>0,80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FC2B1AA" w14:textId="77777777">
                  <w:pPr>
                    <w:jc w:val="right"/>
                  </w:pPr>
                  <w:r w:rsidRPr="00FE2D97">
                    <w:t>0,89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B26B008" w14:textId="77777777">
                  <w:pPr>
                    <w:jc w:val="right"/>
                  </w:pPr>
                  <w:r w:rsidRPr="00FE2D97">
                    <w:t>0,09</w:t>
                  </w:r>
                </w:p>
              </w:tc>
            </w:tr>
            <w:tr w14:paraId="4B44A701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6789CF7A" w14:textId="77777777">
                  <w:r w:rsidRPr="00FE2D97">
                    <w:t>Agencje zdecentralizowane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CE9705C" w14:textId="77777777">
                  <w:pPr>
                    <w:jc w:val="right"/>
                  </w:pPr>
                  <w:r w:rsidRPr="00FE2D97">
                    <w:t>9,80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28848A0" w14:textId="77777777">
                  <w:pPr>
                    <w:jc w:val="right"/>
                  </w:pPr>
                  <w:r w:rsidRPr="00FE2D97">
                    <w:t>9,80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156D561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2A9EC3D3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3C7B71E" w14:textId="77777777">
                  <w:r w:rsidRPr="00FE2D97">
                    <w:t>Inne działania, prerogatywy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FC8C700" w14:textId="77777777">
                  <w:pPr>
                    <w:jc w:val="right"/>
                  </w:pPr>
                  <w:r w:rsidRPr="00FE2D97">
                    <w:t>2,49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4872152" w14:textId="77777777">
                  <w:pPr>
                    <w:jc w:val="right"/>
                  </w:pPr>
                  <w:r w:rsidRPr="00FE2D97">
                    <w:t>2,49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F1603DC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5003CCCE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7CB3245" w14:textId="77777777">
                  <w:r w:rsidRPr="00FE2D97">
                    <w:t>Marginesy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95458E2" w14:textId="77777777">
                  <w:pPr>
                    <w:jc w:val="right"/>
                  </w:pPr>
                  <w:r w:rsidRPr="00FE2D97">
                    <w:t>8,01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73E2AB71" w14:textId="77777777">
                  <w:pPr>
                    <w:jc w:val="right"/>
                  </w:pPr>
                  <w:r w:rsidRPr="00FE2D97">
                    <w:t>2,03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9D809FB" w14:textId="77777777">
                  <w:pPr>
                    <w:jc w:val="right"/>
                  </w:pPr>
                  <w:r w:rsidRPr="00FE2D97">
                    <w:t>-5,98</w:t>
                  </w:r>
                </w:p>
              </w:tc>
            </w:tr>
            <w:tr w14:paraId="5A73F9AD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251551" w:rsidRPr="00FE2D97" w:rsidP="00B1367C" w14:paraId="3CD4E6E2" w14:textId="77777777">
                  <w:pPr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Dział 3: Globalny wymiar Europy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4EAA4318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215,20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74DCC522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239,26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5483AC40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24,06</w:t>
                  </w:r>
                </w:p>
              </w:tc>
            </w:tr>
            <w:tr w14:paraId="3C893F95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E3E474D" w14:textId="77777777">
                  <w:r w:rsidRPr="00FE2D97">
                    <w:t>Globalny wymiar Europy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6422C91" w14:textId="77777777">
                  <w:pPr>
                    <w:jc w:val="right"/>
                  </w:pPr>
                  <w:r w:rsidRPr="00FE2D97">
                    <w:t>200,31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3B4771D" w14:textId="77777777">
                  <w:pPr>
                    <w:jc w:val="right"/>
                  </w:pPr>
                  <w:r w:rsidRPr="00FE2D97">
                    <w:t>225,00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D4A7577" w14:textId="77777777">
                  <w:pPr>
                    <w:jc w:val="right"/>
                  </w:pPr>
                  <w:r w:rsidRPr="00FE2D97">
                    <w:t>24,69</w:t>
                  </w:r>
                </w:p>
              </w:tc>
            </w:tr>
            <w:tr w14:paraId="7096C74D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7858F970" w14:textId="77777777">
                  <w:r w:rsidRPr="00FE2D97">
                    <w:t>Wspólna polityka zagraniczna i bezpieczeństwa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08663461" w14:textId="77777777">
                  <w:pPr>
                    <w:jc w:val="right"/>
                  </w:pPr>
                  <w:r w:rsidRPr="00FE2D97">
                    <w:t>3,37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3F415EC" w14:textId="77777777">
                  <w:pPr>
                    <w:jc w:val="right"/>
                  </w:pPr>
                  <w:r w:rsidRPr="00FE2D97">
                    <w:t>3,76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5F9F0C6" w14:textId="77777777">
                  <w:pPr>
                    <w:jc w:val="right"/>
                  </w:pPr>
                  <w:r w:rsidRPr="00FE2D97">
                    <w:t>0,39</w:t>
                  </w:r>
                </w:p>
              </w:tc>
            </w:tr>
            <w:tr w14:paraId="04BE107F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6368B9F9" w14:textId="77777777">
                  <w:r w:rsidRPr="00FE2D97">
                    <w:t>Kraje i terytoria zamorskie z uwzględnieniem Grenlandii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3B37FF7" w14:textId="77777777">
                  <w:pPr>
                    <w:jc w:val="right"/>
                  </w:pPr>
                  <w:r w:rsidRPr="00FE2D97">
                    <w:t>1,00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840FFE5" w14:textId="77777777">
                  <w:pPr>
                    <w:jc w:val="right"/>
                  </w:pPr>
                  <w:r w:rsidRPr="00FE2D97">
                    <w:t>2,08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0A5D3E0" w14:textId="77777777">
                  <w:pPr>
                    <w:jc w:val="right"/>
                  </w:pPr>
                  <w:r w:rsidRPr="00FE2D97">
                    <w:t>1,09</w:t>
                  </w:r>
                </w:p>
              </w:tc>
            </w:tr>
            <w:tr w14:paraId="2DE53313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0A8B7CA1" w14:textId="77777777">
                  <w:r w:rsidRPr="00FE2D97">
                    <w:t>Umowy o partnerstwie w sprawie zrównoważonych połowów oraz regionalne organizacje ds. zarządzania rybołówstwem (RFMOS)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2438F193" w14:textId="77777777">
                  <w:pPr>
                    <w:jc w:val="right"/>
                  </w:pPr>
                  <w:r w:rsidRPr="00FE2D97">
                    <w:t>1,33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7985A03" w14:textId="77777777">
                  <w:pPr>
                    <w:jc w:val="right"/>
                  </w:pPr>
                  <w:r w:rsidRPr="00FE2D97">
                    <w:t>1,69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6AC1F51C" w14:textId="77777777">
                  <w:pPr>
                    <w:jc w:val="right"/>
                  </w:pPr>
                  <w:r w:rsidRPr="00FE2D97">
                    <w:t>0,36</w:t>
                  </w:r>
                </w:p>
              </w:tc>
            </w:tr>
            <w:tr w14:paraId="55EDF941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4CE53C10" w14:textId="77777777">
                  <w:r w:rsidRPr="00FE2D97">
                    <w:t>Inne działania, prerogatywy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13E1BB0" w14:textId="77777777">
                  <w:pPr>
                    <w:jc w:val="right"/>
                  </w:pPr>
                  <w:r w:rsidRPr="00FE2D97">
                    <w:t>1,12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16B8FBAB" w14:textId="77777777">
                  <w:pPr>
                    <w:jc w:val="right"/>
                  </w:pPr>
                  <w:r w:rsidRPr="00FE2D97">
                    <w:t>1,12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519B8299" w14:textId="77777777">
                  <w:pPr>
                    <w:jc w:val="right"/>
                  </w:pPr>
                  <w:r w:rsidRPr="00FE2D97">
                    <w:t>0,00</w:t>
                  </w:r>
                </w:p>
              </w:tc>
            </w:tr>
            <w:tr w14:paraId="439C1930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251551" w:rsidRPr="00FE2D97" w:rsidP="00B1367C" w14:paraId="25800C01" w14:textId="77777777">
                  <w:r w:rsidRPr="00FE2D97">
                    <w:t>Marginesy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C595097" w14:textId="77777777">
                  <w:pPr>
                    <w:jc w:val="right"/>
                  </w:pPr>
                  <w:r w:rsidRPr="00FE2D97">
                    <w:t>8,07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49757C9C" w14:textId="77777777">
                  <w:pPr>
                    <w:jc w:val="right"/>
                  </w:pPr>
                  <w:r w:rsidRPr="00FE2D97">
                    <w:t>5,59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251551" w:rsidRPr="00FE2D97" w:rsidP="00B1367C" w14:paraId="3B3A38A6" w14:textId="77777777">
                  <w:pPr>
                    <w:jc w:val="right"/>
                  </w:pPr>
                  <w:r w:rsidRPr="00FE2D97">
                    <w:t>-2,48</w:t>
                  </w:r>
                </w:p>
              </w:tc>
            </w:tr>
            <w:tr w14:paraId="61DE7E8A" w14:textId="77777777" w:rsidTr="00B1367C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251551" w:rsidRPr="00FE2D97" w:rsidP="00B1367C" w14:paraId="567F1AF5" w14:textId="77777777">
                  <w:pPr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Dział 4: Administracja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6539FEA5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117,88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7CEAF161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117,88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251551" w:rsidRPr="00FE2D97" w:rsidP="00B1367C" w14:paraId="5C3B1697" w14:textId="77777777">
                  <w:pPr>
                    <w:jc w:val="right"/>
                    <w:rPr>
                      <w:b/>
                      <w:bCs/>
                    </w:rPr>
                  </w:pPr>
                  <w:r w:rsidRPr="00FE2D97">
                    <w:rPr>
                      <w:b/>
                    </w:rPr>
                    <w:t>0,00</w:t>
                  </w:r>
                </w:p>
              </w:tc>
            </w:tr>
          </w:tbl>
          <w:p w:rsidR="00251551" w:rsidRPr="00FE2D97" w:rsidP="00B1367C" w14:paraId="2FA94C40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  <w:p w:rsidR="00251551" w:rsidRPr="00FE2D97" w:rsidP="00B1367C" w14:paraId="0CDEFE1B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</w:tc>
      </w:tr>
    </w:tbl>
    <w:tbl>
      <w:tblPr>
        <w:tblW w:w="0" w:type="auto"/>
        <w:tblInd w:w="-5" w:type="dxa"/>
        <w:tblLook w:val="04A0"/>
      </w:tblPr>
      <w:tblGrid>
        <w:gridCol w:w="1359"/>
        <w:gridCol w:w="644"/>
        <w:gridCol w:w="5777"/>
        <w:gridCol w:w="262"/>
        <w:gridCol w:w="1887"/>
        <w:gridCol w:w="2549"/>
        <w:gridCol w:w="1803"/>
      </w:tblGrid>
      <w:tr w14:paraId="538740AC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1551" w:rsidRPr="00FE2D97" w:rsidP="00B1367C" w14:paraId="2DC614CD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w mld EUR – środki na zobowiązania (ceny stałe z 2025 r.)</w:t>
            </w:r>
          </w:p>
          <w:p w:rsidR="00251551" w:rsidRPr="00FE2D97" w:rsidP="00B1367C" w14:paraId="2318CC8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0969FDAE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Wniosek dotyczący WRF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4235B202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Stanowisko PE (1,27 % DNB, z wyłączeniem spłaty NGEU)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20FAE09A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Zmiana nominalna</w:t>
            </w:r>
          </w:p>
        </w:tc>
      </w:tr>
      <w:tr w14:paraId="7874D775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251551" w:rsidRPr="00FE2D97" w:rsidP="00B1367C" w14:paraId="06C8E05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Wieloletnie ramy finansowe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6352A1D3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1613,75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7416F50A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1788,86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51551" w:rsidRPr="00FE2D97" w:rsidP="00B1367C" w14:paraId="2FC37539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175,11</w:t>
            </w:r>
          </w:p>
        </w:tc>
      </w:tr>
      <w:tr w14:paraId="26CEC59C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251551" w:rsidRPr="00FE2D97" w:rsidP="00B1367C" w14:paraId="357A95D8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 xml:space="preserve">Dział 1: Europejski model społeczny i jakość życia, z wyłączeniem NGEU 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3AD36080" w14:textId="77777777">
            <w:pPr>
              <w:jc w:val="right"/>
            </w:pPr>
            <w:r w:rsidRPr="00FE2D97">
              <w:t>797,08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5A29F0F4" w14:textId="77777777">
            <w:pPr>
              <w:jc w:val="right"/>
            </w:pPr>
            <w:r w:rsidRPr="00FE2D97">
              <w:t>888,86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160DB468" w14:textId="77777777">
            <w:pPr>
              <w:jc w:val="right"/>
            </w:pPr>
            <w:r w:rsidRPr="00FE2D97">
              <w:t>91,78</w:t>
            </w:r>
          </w:p>
        </w:tc>
      </w:tr>
      <w:tr w14:paraId="00A0A393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51551" w:rsidRPr="00FE2D97" w:rsidP="00B1367C" w14:paraId="657FC49E" w14:textId="77777777">
            <w:r w:rsidRPr="00FE2D97">
              <w:t>Europejski Fundusz Spójności Gospodarczej, Społecznej i Terytorialnej, Rolnictwa i Obszarów Wiejskich, Rybołówstwa i Polityki Morskiej, Dobrobytu i Bezpieczeństwa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1A6BE28" w14:textId="77777777">
            <w:pPr>
              <w:jc w:val="right"/>
            </w:pPr>
            <w:r w:rsidRPr="00FE2D97">
              <w:t>771,29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4D9FFCA" w14:textId="77777777">
            <w:pPr>
              <w:jc w:val="right"/>
            </w:pPr>
            <w:r w:rsidRPr="00FE2D97">
              <w:t>867,19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A36BA94" w14:textId="77777777">
            <w:pPr>
              <w:jc w:val="right"/>
            </w:pPr>
            <w:r w:rsidRPr="00FE2D97">
              <w:t>95,90</w:t>
            </w:r>
          </w:p>
        </w:tc>
      </w:tr>
      <w:tr w14:paraId="618CAE35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2DAFEFC8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WPR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18E9A0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261,01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6B80A1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385,12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D683381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124,11</w:t>
            </w:r>
          </w:p>
        </w:tc>
      </w:tr>
      <w:tr w14:paraId="4BE84795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D0418FE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 xml:space="preserve">w tym 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513FBE23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Wsparcie dochodu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156E13EB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261,01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3AFED19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284,65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CBCA3E4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23,64</w:t>
            </w:r>
          </w:p>
        </w:tc>
      </w:tr>
      <w:tr w14:paraId="7BBBE451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290EEC3B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3C8969C0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Obszary wiejskie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7EAACE2D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79B495F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94,88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FEA5497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94,88</w:t>
            </w:r>
          </w:p>
        </w:tc>
      </w:tr>
      <w:tr w14:paraId="7E9F5032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232F1DB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27755745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Sieć bezpieczeństwa oparta na jedności*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BA1BD85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5,60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6F06DC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5,60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0B08306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</w:tr>
      <w:tr w14:paraId="4C1FB85A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40D49842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POSEI (ma zostać włączony do WPR)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6E1ECD3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447341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6,50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AA7381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6,50</w:t>
            </w:r>
          </w:p>
        </w:tc>
      </w:tr>
      <w:tr w14:paraId="4F38D0E8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7F0210B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Rybołówstwo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230A6B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1,77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F78C746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6,50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7818785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4,73</w:t>
            </w:r>
          </w:p>
        </w:tc>
      </w:tr>
      <w:tr w14:paraId="213CF9D8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51551" w:rsidRPr="00FE2D97" w:rsidP="00B1367C" w14:paraId="51B33B15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Europejski Fundusz Rozwoju Regionalnego, w tym Europejska współpraca terytorialna (</w:t>
            </w:r>
            <w:r w:rsidRPr="00FE2D97">
              <w:rPr>
                <w:i/>
              </w:rPr>
              <w:t>Interreg</w:t>
            </w:r>
            <w:r w:rsidRPr="00FE2D97">
              <w:rPr>
                <w:i/>
              </w:rPr>
              <w:t>) i Fundusz Spójności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3EE768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203,72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E47354C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274,34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CD48D49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70,62</w:t>
            </w:r>
          </w:p>
        </w:tc>
      </w:tr>
      <w:tr w14:paraId="7D03C89C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3B49A285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w tym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12EC93FF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EFRR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8F662A6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163,71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F3338F2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222,00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B1C700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58,29</w:t>
            </w:r>
          </w:p>
        </w:tc>
      </w:tr>
      <w:tr w14:paraId="3318C653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15340EB9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0925810A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FS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ED40816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30,97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74741A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42,00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3AF9CA1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11,03</w:t>
            </w:r>
          </w:p>
        </w:tc>
      </w:tr>
      <w:tr w14:paraId="666C8E36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587D1F1D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251551" w:rsidRPr="00FE2D97" w:rsidP="00B1367C" w14:paraId="531F87E1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Interreg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BACB59A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9,04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BBFC03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10,34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63EE88E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1,30</w:t>
            </w:r>
          </w:p>
        </w:tc>
      </w:tr>
      <w:tr w14:paraId="682C707F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D98ACEB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Europejski Fundusz Społeczny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52EA484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96A1A3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110,73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67CAE03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110,73</w:t>
            </w:r>
          </w:p>
        </w:tc>
      </w:tr>
      <w:tr w14:paraId="5837A85B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0BE495F3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Migracja – azyl, migracja i integracja**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B594EA3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10,70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C2AA85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11,90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B8A003A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1,20</w:t>
            </w:r>
          </w:p>
        </w:tc>
      </w:tr>
      <w:tr w14:paraId="0B2560F2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A428B7D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Migracja – zarządzanie granicami i wspólna polityka wizowa**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5EE31D9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13,76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DFB19D6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15,30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51B15E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1,54</w:t>
            </w:r>
          </w:p>
        </w:tc>
      </w:tr>
      <w:tr w14:paraId="7B7212D0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3404E5B4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Migracja – bezpieczeństwo wewnętrzne**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AECF04D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6,12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ECB7F82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6,80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FE76748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0,68</w:t>
            </w:r>
          </w:p>
        </w:tc>
      </w:tr>
      <w:tr w14:paraId="48F4BF83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6248B7B6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Instrument UE***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ABCAE97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58,40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38298CB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50,00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42C7797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-8,40</w:t>
            </w:r>
          </w:p>
        </w:tc>
      </w:tr>
      <w:tr w14:paraId="5AA71F8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063CE64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Brak wyodrębnienia w PPKR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FF1CF4F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210,20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AAAE2A4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8C5785B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-210,20</w:t>
            </w:r>
          </w:p>
        </w:tc>
      </w:tr>
      <w:tr w14:paraId="407052B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5871BADC" w14:textId="77777777">
            <w:r w:rsidRPr="00FE2D97">
              <w:t>Wsparcie dla społeczności Turków cypryjskich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E1A7FF0" w14:textId="77777777">
            <w:pPr>
              <w:jc w:val="right"/>
            </w:pPr>
            <w:r w:rsidRPr="00FE2D97">
              <w:t>0,39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9AAD0E2" w14:textId="77777777">
            <w:pPr>
              <w:jc w:val="right"/>
            </w:pPr>
            <w:r w:rsidRPr="00FE2D97">
              <w:t>0,43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91C5EDF" w14:textId="77777777">
            <w:pPr>
              <w:jc w:val="right"/>
            </w:pPr>
            <w:r w:rsidRPr="00FE2D97">
              <w:t>0,04</w:t>
            </w:r>
          </w:p>
        </w:tc>
      </w:tr>
      <w:tr w14:paraId="7D72D0F3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30226883" w14:textId="77777777">
            <w:r w:rsidRPr="00FE2D97">
              <w:t>Agencje zdecentralizowane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310333F" w14:textId="77777777">
            <w:pPr>
              <w:jc w:val="right"/>
            </w:pPr>
            <w:r w:rsidRPr="00FE2D97">
              <w:t>20,24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F8AC092" w14:textId="77777777">
            <w:pPr>
              <w:jc w:val="right"/>
            </w:pPr>
            <w:r w:rsidRPr="00FE2D97">
              <w:t>20,24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90A5BDB" w14:textId="77777777">
            <w:pPr>
              <w:jc w:val="right"/>
            </w:pPr>
            <w:r w:rsidRPr="00FE2D97">
              <w:t>0,00</w:t>
            </w:r>
          </w:p>
        </w:tc>
      </w:tr>
      <w:tr w14:paraId="7C52687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38C6E5CD" w14:textId="77777777">
            <w:r w:rsidRPr="00FE2D97">
              <w:t>Marginesy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16AB620" w14:textId="77777777">
            <w:pPr>
              <w:jc w:val="right"/>
            </w:pPr>
            <w:r w:rsidRPr="00FE2D97">
              <w:t>5,16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5D9BC7F" w14:textId="77777777">
            <w:pPr>
              <w:jc w:val="right"/>
            </w:pPr>
            <w:r w:rsidRPr="00FE2D97">
              <w:t>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D2129ED" w14:textId="77777777">
            <w:pPr>
              <w:jc w:val="right"/>
            </w:pPr>
            <w:r w:rsidRPr="00FE2D97">
              <w:t>-4,16</w:t>
            </w:r>
          </w:p>
        </w:tc>
      </w:tr>
      <w:tr w14:paraId="1EB3869C" w14:textId="77777777" w:rsidTr="00B1367C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14281" w:type="dxa"/>
            <w:gridSpan w:val="7"/>
            <w:noWrap/>
            <w:vAlign w:val="bottom"/>
            <w:hideMark/>
          </w:tcPr>
          <w:p w:rsidR="00251551" w:rsidRPr="00FE2D97" w:rsidP="00B1367C" w14:paraId="007EE212" w14:textId="77777777">
            <w:r w:rsidRPr="00FE2D97">
              <w:t>* W ramach WPR uwzględniono kwotę 5,6 mld EUR odpowiadającą sieci bezpieczeństwa opartej na jedności.</w:t>
            </w:r>
          </w:p>
        </w:tc>
      </w:tr>
      <w:tr w14:paraId="76D0B48B" w14:textId="77777777" w:rsidTr="00B1367C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7780" w:type="dxa"/>
            <w:gridSpan w:val="3"/>
            <w:noWrap/>
            <w:vAlign w:val="bottom"/>
            <w:hideMark/>
          </w:tcPr>
          <w:p w:rsidR="00251551" w:rsidRPr="00FE2D97" w:rsidP="00B1367C" w14:paraId="683FDFBE" w14:textId="77777777">
            <w:r w:rsidRPr="00FE2D97">
              <w:t>** Łączna kwota funduszy w obszarze spraw wewnętrznych: 34,0 mld EUR</w:t>
            </w:r>
          </w:p>
        </w:tc>
        <w:tc>
          <w:tcPr>
            <w:tcW w:w="2149" w:type="dxa"/>
            <w:gridSpan w:val="2"/>
            <w:noWrap/>
            <w:vAlign w:val="bottom"/>
            <w:hideMark/>
          </w:tcPr>
          <w:p w:rsidR="00251551" w:rsidRPr="00FE2D97" w:rsidP="00B1367C" w14:paraId="757775E4" w14:textId="77777777"/>
        </w:tc>
        <w:tc>
          <w:tcPr>
            <w:tcW w:w="2549" w:type="dxa"/>
            <w:noWrap/>
            <w:vAlign w:val="bottom"/>
            <w:hideMark/>
          </w:tcPr>
          <w:p w:rsidR="00251551" w:rsidRPr="00FE2D97" w:rsidP="00B1367C" w14:paraId="02F2A9B6" w14:textId="77777777"/>
        </w:tc>
        <w:tc>
          <w:tcPr>
            <w:tcW w:w="1803" w:type="dxa"/>
            <w:noWrap/>
            <w:vAlign w:val="bottom"/>
            <w:hideMark/>
          </w:tcPr>
          <w:p w:rsidR="00251551" w:rsidRPr="00FE2D97" w:rsidP="00B1367C" w14:paraId="32656497" w14:textId="77777777"/>
        </w:tc>
      </w:tr>
      <w:tr w14:paraId="2FFA1E00" w14:textId="77777777" w:rsidTr="00B1367C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7780" w:type="dxa"/>
            <w:gridSpan w:val="3"/>
            <w:noWrap/>
            <w:vAlign w:val="bottom"/>
            <w:hideMark/>
          </w:tcPr>
          <w:p w:rsidR="00251551" w:rsidRPr="00FE2D97" w:rsidP="00B1367C" w14:paraId="3FAB3879" w14:textId="77777777">
            <w:r w:rsidRPr="00FE2D97">
              <w:t>*** bez uwzględnienia sieci bezpieczeństwa opartej na jedności</w:t>
            </w:r>
          </w:p>
          <w:p w:rsidR="00251551" w:rsidRPr="00FE2D97" w:rsidP="00B1367C" w14:paraId="26A25D17" w14:textId="77777777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gridSpan w:val="2"/>
            <w:noWrap/>
            <w:vAlign w:val="bottom"/>
            <w:hideMark/>
          </w:tcPr>
          <w:p w:rsidR="00251551" w:rsidRPr="00FE2D97" w:rsidP="00B1367C" w14:paraId="3DD9FABF" w14:textId="77777777"/>
        </w:tc>
        <w:tc>
          <w:tcPr>
            <w:tcW w:w="2549" w:type="dxa"/>
            <w:noWrap/>
            <w:vAlign w:val="bottom"/>
            <w:hideMark/>
          </w:tcPr>
          <w:p w:rsidR="00251551" w:rsidRPr="00FE2D97" w:rsidP="00B1367C" w14:paraId="6E753E7C" w14:textId="77777777"/>
        </w:tc>
        <w:tc>
          <w:tcPr>
            <w:tcW w:w="1803" w:type="dxa"/>
            <w:noWrap/>
            <w:vAlign w:val="bottom"/>
            <w:hideMark/>
          </w:tcPr>
          <w:p w:rsidR="00251551" w:rsidRPr="00FE2D97" w:rsidP="00B1367C" w14:paraId="22EB17BB" w14:textId="77777777"/>
        </w:tc>
      </w:tr>
      <w:tr w14:paraId="5CC16A45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1551" w:rsidRPr="00FE2D97" w:rsidP="00B1367C" w14:paraId="295DC144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w mld EUR – środki na zobowiązania (ceny stałe z 2025 r.)</w:t>
            </w:r>
          </w:p>
          <w:p w:rsidR="00251551" w:rsidRPr="00FE2D97" w:rsidP="00B1367C" w14:paraId="0CCC0A53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 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0AB4C39C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Wniosek dotyczący WRF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53C0E6A7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Stanowisko PE (1,27 % DNB, z wyłączeniem spłaty NGEU)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551" w:rsidRPr="00FE2D97" w:rsidP="00B1367C" w14:paraId="2A5D6A3D" w14:textId="77777777">
            <w:pPr>
              <w:jc w:val="center"/>
              <w:rPr>
                <w:b/>
                <w:bCs/>
              </w:rPr>
            </w:pPr>
            <w:r w:rsidRPr="00FE2D97">
              <w:rPr>
                <w:b/>
              </w:rPr>
              <w:t>Zmiana nominalna</w:t>
            </w:r>
          </w:p>
        </w:tc>
      </w:tr>
      <w:tr w14:paraId="561A226F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251551" w:rsidRPr="00FE2D97" w:rsidP="00B1367C" w14:paraId="0316B72E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Dział 2: Konkurencyjność, dobrobyt i bezpieczeństwo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197E1896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522,21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1581E0CE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584,29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3299ECB1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62,08</w:t>
            </w:r>
          </w:p>
        </w:tc>
      </w:tr>
      <w:tr w14:paraId="4638667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43A7D7E3" w14:textId="77777777">
            <w:r w:rsidRPr="00FE2D97">
              <w:t>Europejski Fundusz Konkurencyjności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911F7F5" w14:textId="77777777">
            <w:pPr>
              <w:jc w:val="right"/>
            </w:pPr>
            <w:r w:rsidRPr="00FE2D97">
              <w:t>207,40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1623955" w14:textId="77777777">
            <w:pPr>
              <w:jc w:val="right"/>
            </w:pPr>
            <w:r w:rsidRPr="00FE2D97">
              <w:t>234,00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03E6F16" w14:textId="77777777">
            <w:pPr>
              <w:jc w:val="right"/>
            </w:pPr>
            <w:r w:rsidRPr="00FE2D97">
              <w:t>26,60</w:t>
            </w:r>
          </w:p>
        </w:tc>
      </w:tr>
      <w:tr w14:paraId="0F97691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7CC014BB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w tym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FE855E6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Działania w ramach programu LIFE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F343E15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23E8A43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3,00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44B15FD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3,00</w:t>
            </w:r>
          </w:p>
        </w:tc>
      </w:tr>
      <w:tr w14:paraId="6DEB67F4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51551" w:rsidRPr="00FE2D97" w:rsidP="00B1367C" w14:paraId="3EA7A3EC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0486548" w14:textId="77777777">
            <w:pPr>
              <w:rPr>
                <w:i/>
                <w:iCs/>
              </w:rPr>
            </w:pPr>
            <w:r w:rsidRPr="00FE2D97">
              <w:rPr>
                <w:i/>
              </w:rPr>
              <w:t>Działania w ramach Programu UE dla zdrowia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4625F1D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CE79ADA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8,90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C2C6355" w14:textId="77777777">
            <w:pPr>
              <w:jc w:val="right"/>
              <w:rPr>
                <w:i/>
                <w:iCs/>
              </w:rPr>
            </w:pPr>
            <w:r w:rsidRPr="00FE2D97">
              <w:rPr>
                <w:i/>
              </w:rPr>
              <w:t>8,90</w:t>
            </w:r>
          </w:p>
        </w:tc>
      </w:tr>
      <w:tr w14:paraId="131C99F4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7AFFDEB1" w14:textId="77777777">
            <w:r w:rsidRPr="00FE2D97">
              <w:t>Program „Horyzont Europa”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50F3199" w14:textId="77777777">
            <w:pPr>
              <w:jc w:val="right"/>
            </w:pPr>
            <w:r w:rsidRPr="00FE2D97">
              <w:t>154,88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2EE99D0" w14:textId="77777777">
            <w:pPr>
              <w:jc w:val="right"/>
            </w:pPr>
            <w:r w:rsidRPr="00FE2D97">
              <w:t>177,01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68FBB98" w14:textId="77777777">
            <w:pPr>
              <w:jc w:val="right"/>
            </w:pPr>
            <w:r w:rsidRPr="00FE2D97">
              <w:t>22,13</w:t>
            </w:r>
          </w:p>
        </w:tc>
      </w:tr>
      <w:tr w14:paraId="1684D68B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4B4AD00D" w14:textId="77777777">
            <w:r w:rsidRPr="00FE2D97">
              <w:t>EURATOM/ITER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01C5539" w14:textId="77777777">
            <w:pPr>
              <w:jc w:val="right"/>
            </w:pPr>
            <w:r w:rsidRPr="00FE2D97">
              <w:t>8,71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9FE1EA9" w14:textId="77777777">
            <w:pPr>
              <w:jc w:val="right"/>
            </w:pPr>
            <w:r w:rsidRPr="00FE2D97">
              <w:t>8,71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4EB00A7" w14:textId="77777777">
            <w:pPr>
              <w:jc w:val="right"/>
            </w:pPr>
            <w:r w:rsidRPr="00FE2D97">
              <w:t>0,00</w:t>
            </w:r>
          </w:p>
        </w:tc>
      </w:tr>
      <w:tr w14:paraId="4A324F04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01275E1A" w14:textId="77777777">
            <w:r w:rsidRPr="00FE2D97">
              <w:t>INSC-D (Instrument Współpracy w dziedzinie Bezpieczeństwa Jądrowego i Likwidacji Obiektów Jądrowych)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E51C97C" w14:textId="77777777">
            <w:pPr>
              <w:jc w:val="right"/>
            </w:pPr>
            <w:r w:rsidRPr="00FE2D97">
              <w:t>0,85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2AB832D" w14:textId="77777777">
            <w:pPr>
              <w:jc w:val="right"/>
            </w:pPr>
            <w:r w:rsidRPr="00FE2D97">
              <w:t>0,85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8D40E39" w14:textId="77777777">
            <w:pPr>
              <w:jc w:val="right"/>
            </w:pPr>
            <w:r w:rsidRPr="00FE2D97">
              <w:t>0,00</w:t>
            </w:r>
          </w:p>
        </w:tc>
      </w:tr>
      <w:tr w14:paraId="47F9ED55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070E20AB" w14:textId="77777777">
            <w:r w:rsidRPr="00FE2D97">
              <w:t>Program Ignalina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407EA9B" w14:textId="77777777">
            <w:pPr>
              <w:jc w:val="right"/>
            </w:pPr>
            <w:r w:rsidRPr="00FE2D97">
              <w:t>0,60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EC015C5" w14:textId="77777777">
            <w:pPr>
              <w:jc w:val="right"/>
            </w:pPr>
            <w:r w:rsidRPr="00FE2D97">
              <w:t>0,60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A102220" w14:textId="77777777">
            <w:pPr>
              <w:jc w:val="right"/>
            </w:pPr>
            <w:r w:rsidRPr="00FE2D97">
              <w:t>0,00</w:t>
            </w:r>
          </w:p>
        </w:tc>
      </w:tr>
      <w:tr w14:paraId="009F9AD1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5A12A933" w14:textId="77777777">
            <w:r w:rsidRPr="00FE2D97">
              <w:t>CEF (transport, energia, mobilność wojskowa)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8F1E2C5" w14:textId="77777777">
            <w:pPr>
              <w:jc w:val="right"/>
            </w:pPr>
            <w:r w:rsidRPr="00FE2D97">
              <w:t>72,25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2955FDC" w14:textId="77777777">
            <w:pPr>
              <w:jc w:val="right"/>
            </w:pPr>
            <w:r w:rsidRPr="00FE2D97">
              <w:t>81,00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78B288F" w14:textId="77777777">
            <w:pPr>
              <w:jc w:val="right"/>
            </w:pPr>
            <w:r w:rsidRPr="00FE2D97">
              <w:t>8,75</w:t>
            </w:r>
          </w:p>
        </w:tc>
      </w:tr>
      <w:tr w14:paraId="791DE1B7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0603057E" w14:textId="77777777">
            <w:r w:rsidRPr="00FE2D97">
              <w:t>Program na rzecz jednolitego rynku i ceł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CF663C7" w14:textId="77777777">
            <w:pPr>
              <w:jc w:val="right"/>
            </w:pPr>
            <w:r w:rsidRPr="00FE2D97">
              <w:t>5,54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35EA6B0" w14:textId="77777777">
            <w:pPr>
              <w:jc w:val="right"/>
            </w:pPr>
            <w:r w:rsidRPr="00FE2D97">
              <w:t>6,10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12D7CE9" w14:textId="77777777">
            <w:pPr>
              <w:jc w:val="right"/>
            </w:pPr>
            <w:r w:rsidRPr="00FE2D97">
              <w:t>0,56</w:t>
            </w:r>
          </w:p>
        </w:tc>
      </w:tr>
      <w:tr w14:paraId="29264BDB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0A69190D" w14:textId="77777777">
            <w:r w:rsidRPr="00FE2D97">
              <w:t>Perykles (ochrona euro)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CF2CD07" w14:textId="77777777">
            <w:pPr>
              <w:jc w:val="right"/>
            </w:pPr>
            <w:r w:rsidRPr="00FE2D97">
              <w:t>0,01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9B0866C" w14:textId="77777777">
            <w:pPr>
              <w:jc w:val="right"/>
            </w:pPr>
            <w:r w:rsidRPr="00FE2D97">
              <w:t>0,01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421A0E5" w14:textId="77777777">
            <w:pPr>
              <w:jc w:val="right"/>
            </w:pPr>
            <w:r w:rsidRPr="00FE2D97">
              <w:t>0,00</w:t>
            </w:r>
          </w:p>
        </w:tc>
      </w:tr>
      <w:tr w14:paraId="38BE2B62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3D38E228" w14:textId="77777777">
            <w:r w:rsidRPr="00FE2D97">
              <w:t>Program Erasmus+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A48EAF4" w14:textId="77777777">
            <w:pPr>
              <w:jc w:val="right"/>
            </w:pPr>
            <w:r w:rsidRPr="00FE2D97">
              <w:t>36,19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A6A64FC" w14:textId="77777777">
            <w:pPr>
              <w:jc w:val="right"/>
            </w:pPr>
            <w:r w:rsidRPr="00FE2D97">
              <w:t>42,00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EB1094B" w14:textId="77777777">
            <w:pPr>
              <w:jc w:val="right"/>
            </w:pPr>
            <w:r w:rsidRPr="00FE2D97">
              <w:t>5,81</w:t>
            </w:r>
          </w:p>
        </w:tc>
      </w:tr>
      <w:tr w14:paraId="78CBE613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72931DB9" w14:textId="77777777">
            <w:r w:rsidRPr="00FE2D97">
              <w:t xml:space="preserve">Program </w:t>
            </w:r>
            <w:r w:rsidRPr="00FE2D97">
              <w:t>AgoraEU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0E83B38" w14:textId="77777777">
            <w:pPr>
              <w:jc w:val="right"/>
            </w:pPr>
            <w:r w:rsidRPr="00FE2D97">
              <w:t>7,61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834944F" w14:textId="77777777">
            <w:pPr>
              <w:jc w:val="right"/>
            </w:pPr>
            <w:r w:rsidRPr="00FE2D97">
              <w:t>9,50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42A60AE" w14:textId="77777777">
            <w:pPr>
              <w:jc w:val="right"/>
            </w:pPr>
            <w:r w:rsidRPr="00FE2D97">
              <w:t>1,89</w:t>
            </w:r>
          </w:p>
        </w:tc>
      </w:tr>
      <w:tr w14:paraId="7DDFA0CA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41465233" w14:textId="77777777">
            <w:r w:rsidRPr="00FE2D97">
              <w:t>UMOL+ (Unijny Mechanizm Ochrony Ludności i stan gotowości w dziedzinie zdrowia)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1CC4C90" w14:textId="77777777">
            <w:pPr>
              <w:jc w:val="right"/>
            </w:pPr>
            <w:r w:rsidRPr="00FE2D97">
              <w:t>9,46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5A20894" w14:textId="77777777">
            <w:pPr>
              <w:jc w:val="right"/>
            </w:pPr>
            <w:r w:rsidRPr="00FE2D97">
              <w:t>11,00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42FEE8E" w14:textId="77777777">
            <w:pPr>
              <w:jc w:val="right"/>
            </w:pPr>
            <w:r w:rsidRPr="00FE2D97">
              <w:t>1,54</w:t>
            </w:r>
          </w:p>
        </w:tc>
      </w:tr>
      <w:tr w14:paraId="0EE02C6D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0728521C" w14:textId="77777777">
            <w:r w:rsidRPr="00FE2D97">
              <w:t>Wymiar sprawiedliwości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0E29EDD" w14:textId="77777777">
            <w:pPr>
              <w:jc w:val="right"/>
            </w:pPr>
            <w:r w:rsidRPr="00FE2D97">
              <w:t>0,71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0F561F3" w14:textId="77777777">
            <w:pPr>
              <w:jc w:val="right"/>
            </w:pPr>
            <w:r w:rsidRPr="00FE2D97">
              <w:t>0,79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0BB5CB3" w14:textId="77777777">
            <w:pPr>
              <w:jc w:val="right"/>
            </w:pPr>
            <w:r w:rsidRPr="00FE2D97">
              <w:t>0,08</w:t>
            </w:r>
          </w:p>
        </w:tc>
      </w:tr>
      <w:tr w14:paraId="405CF091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49151808" w14:textId="77777777">
            <w:r w:rsidRPr="00FE2D97">
              <w:t>Agencje zdecentralizowane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947BADB" w14:textId="77777777">
            <w:pPr>
              <w:jc w:val="right"/>
            </w:pPr>
            <w:r w:rsidRPr="00FE2D97">
              <w:t>8,69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FD83621" w14:textId="77777777">
            <w:pPr>
              <w:jc w:val="right"/>
            </w:pPr>
            <w:r w:rsidRPr="00FE2D97">
              <w:t>8,69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4A17046" w14:textId="77777777">
            <w:pPr>
              <w:jc w:val="right"/>
            </w:pPr>
            <w:r w:rsidRPr="00FE2D97">
              <w:t>0,00</w:t>
            </w:r>
          </w:p>
        </w:tc>
      </w:tr>
      <w:tr w14:paraId="09AF2B3C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4885BAEC" w14:textId="77777777">
            <w:r w:rsidRPr="00FE2D97">
              <w:t>Inne działania, prerogatywy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D60DE2E" w14:textId="77777777">
            <w:pPr>
              <w:jc w:val="right"/>
            </w:pPr>
            <w:r w:rsidRPr="00FE2D97">
              <w:t>2,23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8385A83" w14:textId="77777777">
            <w:pPr>
              <w:jc w:val="right"/>
            </w:pPr>
            <w:r w:rsidRPr="00FE2D97">
              <w:t>2,23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4F51839" w14:textId="77777777">
            <w:pPr>
              <w:jc w:val="right"/>
            </w:pPr>
            <w:r w:rsidRPr="00FE2D97">
              <w:t>0,00</w:t>
            </w:r>
          </w:p>
        </w:tc>
      </w:tr>
      <w:tr w14:paraId="4EE36C5A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201A5F30" w14:textId="77777777">
            <w:r w:rsidRPr="00FE2D97">
              <w:t>Marginesy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EC2655E" w14:textId="77777777">
            <w:pPr>
              <w:jc w:val="right"/>
            </w:pPr>
            <w:r w:rsidRPr="00FE2D97">
              <w:t>7,09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2B79213" w14:textId="77777777">
            <w:pPr>
              <w:jc w:val="right"/>
            </w:pPr>
            <w:r w:rsidRPr="00FE2D97">
              <w:t>1,80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76BD552" w14:textId="77777777">
            <w:pPr>
              <w:jc w:val="right"/>
            </w:pPr>
            <w:r w:rsidRPr="00FE2D97">
              <w:t>-5,29</w:t>
            </w:r>
          </w:p>
        </w:tc>
      </w:tr>
      <w:tr w14:paraId="60654C5E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251551" w:rsidRPr="00FE2D97" w:rsidP="00B1367C" w14:paraId="05C09011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Dział 3: Globalny wymiar Europy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476387B6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190,02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505A190C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211,26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2B7FC996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21,24</w:t>
            </w:r>
          </w:p>
        </w:tc>
      </w:tr>
      <w:tr w14:paraId="6874DDE1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292F99ED" w14:textId="77777777">
            <w:r w:rsidRPr="00FE2D97">
              <w:t>Globalny wymiar Europy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230E288" w14:textId="77777777">
            <w:pPr>
              <w:jc w:val="right"/>
            </w:pPr>
            <w:r w:rsidRPr="00FE2D97">
              <w:t>176,83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86F2F2E" w14:textId="77777777">
            <w:pPr>
              <w:jc w:val="right"/>
            </w:pPr>
            <w:r w:rsidRPr="00FE2D97">
              <w:t>198,63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C71E541" w14:textId="77777777">
            <w:pPr>
              <w:jc w:val="right"/>
            </w:pPr>
            <w:r w:rsidRPr="00FE2D97">
              <w:t>21,80</w:t>
            </w:r>
          </w:p>
        </w:tc>
      </w:tr>
      <w:tr w14:paraId="70664F01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6670F6E6" w14:textId="77777777">
            <w:r w:rsidRPr="00FE2D97">
              <w:t>Wspólna polityka zagraniczna i bezpieczeństwa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6BCC08E" w14:textId="77777777">
            <w:pPr>
              <w:jc w:val="right"/>
            </w:pPr>
            <w:r w:rsidRPr="00FE2D97">
              <w:t>2,99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233C9BF" w14:textId="77777777">
            <w:pPr>
              <w:jc w:val="right"/>
            </w:pPr>
            <w:r w:rsidRPr="00FE2D97">
              <w:t>3,34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7CF8D22" w14:textId="77777777">
            <w:pPr>
              <w:jc w:val="right"/>
            </w:pPr>
            <w:r w:rsidRPr="00FE2D97">
              <w:t>0,35</w:t>
            </w:r>
          </w:p>
        </w:tc>
      </w:tr>
      <w:tr w14:paraId="78D60237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1FF1CABB" w14:textId="77777777">
            <w:r w:rsidRPr="00FE2D97">
              <w:t>Kraje i terytoria zamorskie z uwzględnieniem Grenlandii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9FB3B08" w14:textId="77777777">
            <w:pPr>
              <w:jc w:val="right"/>
            </w:pPr>
            <w:r w:rsidRPr="00FE2D97">
              <w:t>0,89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5614663D" w14:textId="77777777">
            <w:pPr>
              <w:jc w:val="right"/>
            </w:pPr>
            <w:r w:rsidRPr="00FE2D97">
              <w:t>1,85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67A3252C" w14:textId="77777777">
            <w:pPr>
              <w:jc w:val="right"/>
            </w:pPr>
            <w:r w:rsidRPr="00FE2D97">
              <w:t>0,96</w:t>
            </w:r>
          </w:p>
        </w:tc>
      </w:tr>
      <w:tr w14:paraId="0F07B859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451FF423" w14:textId="77777777">
            <w:r w:rsidRPr="00FE2D97">
              <w:t xml:space="preserve">Umowy o partnerstwie w sprawie zrównoważonych połowów oraz regionalne </w:t>
            </w:r>
            <w:r w:rsidRPr="00FE2D97">
              <w:t>organizacje ds. zarządzania rybołówstwem (RFMOS)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5E5BBCD" w14:textId="77777777">
            <w:pPr>
              <w:jc w:val="right"/>
            </w:pPr>
            <w:r w:rsidRPr="00FE2D97">
              <w:t>1,18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962A68E" w14:textId="77777777">
            <w:pPr>
              <w:jc w:val="right"/>
            </w:pPr>
            <w:r w:rsidRPr="00FE2D97">
              <w:t>1,50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89C4B76" w14:textId="77777777">
            <w:pPr>
              <w:jc w:val="right"/>
            </w:pPr>
            <w:r w:rsidRPr="00FE2D97">
              <w:t>0,32</w:t>
            </w:r>
          </w:p>
        </w:tc>
      </w:tr>
      <w:tr w14:paraId="365B2FC0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3637F6F0" w14:textId="77777777">
            <w:r w:rsidRPr="00FE2D97">
              <w:t>Inne działania, prerogatywy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1C092F67" w14:textId="77777777">
            <w:pPr>
              <w:jc w:val="right"/>
            </w:pPr>
            <w:r w:rsidRPr="00FE2D97">
              <w:t>1,01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276C5092" w14:textId="77777777">
            <w:pPr>
              <w:jc w:val="right"/>
            </w:pPr>
            <w:r w:rsidRPr="00FE2D97">
              <w:t>1,01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015BB5D4" w14:textId="77777777">
            <w:pPr>
              <w:jc w:val="right"/>
            </w:pPr>
            <w:r w:rsidRPr="00FE2D97">
              <w:t>0,00</w:t>
            </w:r>
          </w:p>
        </w:tc>
      </w:tr>
      <w:tr w14:paraId="745AABD6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1551" w:rsidRPr="00FE2D97" w:rsidP="00B1367C" w14:paraId="6343B942" w14:textId="77777777">
            <w:r w:rsidRPr="00FE2D97">
              <w:t>Marginesy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3826FC7B" w14:textId="77777777">
            <w:pPr>
              <w:jc w:val="right"/>
            </w:pPr>
            <w:r w:rsidRPr="00FE2D97">
              <w:t>7,13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4AB0DCEA" w14:textId="77777777">
            <w:pPr>
              <w:jc w:val="right"/>
            </w:pPr>
            <w:r w:rsidRPr="00FE2D97">
              <w:t>4,94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551" w:rsidRPr="00FE2D97" w:rsidP="00B1367C" w14:paraId="7E17DBDD" w14:textId="77777777">
            <w:pPr>
              <w:jc w:val="right"/>
            </w:pPr>
            <w:r w:rsidRPr="00FE2D97">
              <w:t>-2,19</w:t>
            </w:r>
          </w:p>
        </w:tc>
      </w:tr>
      <w:tr w14:paraId="25CFC56F" w14:textId="77777777" w:rsidTr="00B1367C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251551" w:rsidRPr="00FE2D97" w:rsidP="00B1367C" w14:paraId="557F2900" w14:textId="77777777">
            <w:pPr>
              <w:rPr>
                <w:b/>
                <w:bCs/>
              </w:rPr>
            </w:pPr>
            <w:r w:rsidRPr="00FE2D97">
              <w:rPr>
                <w:b/>
              </w:rPr>
              <w:t>Dział 4: Administracja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0A54D35F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104,45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733DAC57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104,45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51551" w:rsidRPr="00FE2D97" w:rsidP="00B1367C" w14:paraId="200974BA" w14:textId="77777777">
            <w:pPr>
              <w:jc w:val="right"/>
              <w:rPr>
                <w:b/>
                <w:bCs/>
              </w:rPr>
            </w:pPr>
            <w:r w:rsidRPr="00FE2D97">
              <w:rPr>
                <w:b/>
              </w:rPr>
              <w:t>0,00</w:t>
            </w:r>
          </w:p>
        </w:tc>
      </w:tr>
    </w:tbl>
    <w:p w:rsidR="00E365E1" w:rsidRPr="00FE2D97" w:rsidP="003D6B89" w14:paraId="55128400" w14:textId="5B1F8E39"/>
    <w:sectPr w:rsidSect="002553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:rsidP="00F21355" w14:paraId="6AA2C432" w14:textId="77777777">
    <w:pPr>
      <w:pStyle w:val="EPFooter"/>
    </w:pPr>
    <w:r w:rsidRPr="00FE2D97">
      <w:t>PE</w:t>
    </w:r>
    <w:r w:rsidRPr="00FE2D97">
      <w:rPr>
        <w:rStyle w:val="HideTWBExt"/>
      </w:rPr>
      <w:t>&lt;NoPE&gt;</w:t>
    </w:r>
    <w:r w:rsidRPr="00FE2D97">
      <w:t>779.351</w:t>
    </w:r>
    <w:r w:rsidRPr="00FE2D97">
      <w:rPr>
        <w:rStyle w:val="HideTWBExt"/>
      </w:rPr>
      <w:t>&lt;/NoPE&gt;&lt;Version&gt;</w:t>
    </w:r>
    <w:r w:rsidRPr="00FE2D97">
      <w:t>v03-00</w:t>
    </w:r>
    <w:r w:rsidRPr="00FE2D97">
      <w:rPr>
        <w:rStyle w:val="HideTWBExt"/>
      </w:rPr>
      <w:t>&lt;/Version&gt;</w:t>
    </w:r>
    <w:r w:rsidRPr="00FE2D97">
      <w:tab/>
    </w:r>
    <w:r w:rsidRPr="00FE2D97">
      <w:fldChar w:fldCharType="begin"/>
    </w:r>
    <w:r w:rsidRPr="00FE2D97">
      <w:instrText xml:space="preserve"> PAGE  \* MERGEFORMAT </w:instrText>
    </w:r>
    <w:r w:rsidRPr="00FE2D97">
      <w:fldChar w:fldCharType="separate"/>
    </w:r>
    <w:r w:rsidRPr="00FE2D97">
      <w:rPr>
        <w:noProof/>
      </w:rPr>
      <w:t>4</w:t>
    </w:r>
    <w:r w:rsidRPr="00FE2D97">
      <w:fldChar w:fldCharType="end"/>
    </w:r>
    <w:r w:rsidRPr="00FE2D97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FE2D97">
      <w:rPr>
        <w:noProof/>
      </w:rPr>
      <w:t>85</w:t>
    </w:r>
    <w:r w:rsidRPr="00FE2D97">
      <w:rPr>
        <w:noProof/>
      </w:rPr>
      <w:fldChar w:fldCharType="end"/>
    </w:r>
    <w:r w:rsidRPr="00FE2D97">
      <w:tab/>
    </w:r>
    <w:r w:rsidRPr="00FE2D97">
      <w:rPr>
        <w:rStyle w:val="HideTWBExt"/>
      </w:rPr>
      <w:t>&lt;PathFdR&gt;</w:t>
    </w:r>
    <w:r w:rsidRPr="00FE2D97">
      <w:t>RR\1342046PL.docx</w:t>
    </w:r>
    <w:r w:rsidRPr="00FE2D97">
      <w:rPr>
        <w:rStyle w:val="HideTWBExt"/>
      </w:rPr>
      <w:t>&lt;/PathFdR&gt;</w:t>
    </w:r>
  </w:p>
  <w:p w:rsidR="00251551" w:rsidRPr="00FE2D97" w:rsidP="00F21355" w14:paraId="014DAA47" w14:textId="77777777">
    <w:pPr>
      <w:pStyle w:val="EPFooter2"/>
    </w:pPr>
    <w:r w:rsidRPr="00FE2D9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:rsidP="00F21355" w14:paraId="17535D0B" w14:textId="38F5040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:rsidP="00F21355" w14:paraId="7B30707F" w14:textId="77777777">
    <w:pPr>
      <w:pStyle w:val="EPFooter"/>
    </w:pPr>
    <w:r w:rsidRPr="00FE2D97">
      <w:rPr>
        <w:rStyle w:val="HideTWBExt"/>
      </w:rPr>
      <w:t>&lt;PathFdR&gt;</w:t>
    </w:r>
    <w:r w:rsidRPr="00FE2D97">
      <w:t>RR\1342046PL.docx</w:t>
    </w:r>
    <w:r w:rsidRPr="00FE2D97">
      <w:rPr>
        <w:rStyle w:val="HideTWBExt"/>
      </w:rPr>
      <w:t>&lt;/PathFdR&gt;</w:t>
    </w:r>
    <w:r w:rsidRPr="00FE2D97">
      <w:tab/>
    </w:r>
    <w:r w:rsidRPr="00FE2D97">
      <w:tab/>
      <w:t>PE</w:t>
    </w:r>
    <w:r w:rsidRPr="00FE2D97">
      <w:rPr>
        <w:rStyle w:val="HideTWBExt"/>
      </w:rPr>
      <w:t>&lt;NoPE&gt;</w:t>
    </w:r>
    <w:r w:rsidRPr="00FE2D97">
      <w:t>779.351</w:t>
    </w:r>
    <w:r w:rsidRPr="00FE2D97">
      <w:rPr>
        <w:rStyle w:val="HideTWBExt"/>
      </w:rPr>
      <w:t>&lt;/NoPE&gt;&lt;Version&gt;</w:t>
    </w:r>
    <w:r w:rsidRPr="00FE2D97">
      <w:t>v03-00</w:t>
    </w:r>
    <w:r w:rsidRPr="00FE2D97">
      <w:rPr>
        <w:rStyle w:val="HideTWBExt"/>
      </w:rPr>
      <w:t>&lt;/Version&gt;</w:t>
    </w:r>
  </w:p>
  <w:p w:rsidR="00251551" w:rsidRPr="00FE2D97" w:rsidP="00F21355" w14:paraId="0C58A277" w14:textId="77777777">
    <w:pPr>
      <w:pStyle w:val="EPFooter2"/>
    </w:pPr>
    <w:r w:rsidRPr="00FE2D97">
      <w:t>PL</w:t>
    </w:r>
    <w:r w:rsidRPr="00FE2D97">
      <w:tab/>
    </w:r>
    <w:r w:rsidRPr="00FE2D97">
      <w:rPr>
        <w:b w:val="0"/>
        <w:i/>
        <w:color w:val="C0C0C0"/>
        <w:sz w:val="22"/>
      </w:rPr>
      <w:t>Zjednoczona w różnorodności</w:t>
    </w:r>
    <w:r w:rsidRPr="00FE2D97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6C3E8CCE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19B8D597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248A6FF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D6B89" w:rsidRPr="00FE2D97" w14:paraId="29279C65" w14:textId="77777777">
      <w:r w:rsidRPr="00FE2D97">
        <w:separator/>
      </w:r>
    </w:p>
  </w:footnote>
  <w:footnote w:type="continuationSeparator" w:id="1">
    <w:p w:rsidR="003D6B89" w:rsidRPr="00FE2D97" w14:paraId="092AF26F" w14:textId="77777777">
      <w:r w:rsidRPr="00FE2D97">
        <w:continuationSeparator/>
      </w:r>
    </w:p>
  </w:footnote>
  <w:footnote w:id="2">
    <w:p w:rsidR="00251551" w:rsidRPr="00EB7D22" w:rsidP="00FE2D97" w14:paraId="425D55C4" w14:textId="3ED30FCC">
      <w:pPr>
        <w:pStyle w:val="FootnoteText"/>
        <w:ind w:left="567" w:hanging="567"/>
        <w:rPr>
          <w:sz w:val="24"/>
          <w:szCs w:val="24"/>
          <w:lang w:val="fi-FI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fi-FI"/>
        </w:rPr>
        <w:t xml:space="preserve"> </w:t>
      </w:r>
      <w:r w:rsidRPr="00EB7D22" w:rsidR="00FE2D97">
        <w:rPr>
          <w:sz w:val="24"/>
          <w:szCs w:val="24"/>
          <w:lang w:val="fi-FI"/>
        </w:rPr>
        <w:tab/>
      </w:r>
      <w:r w:rsidRPr="00EB7D22">
        <w:rPr>
          <w:sz w:val="24"/>
          <w:szCs w:val="24"/>
          <w:lang w:val="fi-FI"/>
        </w:rPr>
        <w:t>Dz.U</w:t>
      </w:r>
      <w:r w:rsidRPr="00EB7D22">
        <w:rPr>
          <w:sz w:val="24"/>
          <w:szCs w:val="24"/>
          <w:lang w:val="fi-FI"/>
        </w:rPr>
        <w:t xml:space="preserve">. C, C/2026/575, 24.2.2026, ELI: </w:t>
      </w:r>
      <w:hyperlink r:id="rId1" w:history="1">
        <w:r w:rsidRPr="00EB7D22">
          <w:rPr>
            <w:rStyle w:val="Hyperlink"/>
            <w:sz w:val="24"/>
            <w:szCs w:val="24"/>
            <w:lang w:val="fi-FI"/>
          </w:rPr>
          <w:t>http://data.europa.eu/eli/C/2026/575/oj</w:t>
        </w:r>
      </w:hyperlink>
      <w:r w:rsidRPr="00EB7D22">
        <w:rPr>
          <w:sz w:val="24"/>
          <w:szCs w:val="24"/>
          <w:lang w:val="fi-FI"/>
        </w:rPr>
        <w:t>.</w:t>
      </w:r>
    </w:p>
  </w:footnote>
  <w:footnote w:id="3">
    <w:p w:rsidR="00251551" w:rsidRPr="00EB7D22" w:rsidP="00FE2D97" w14:paraId="11B01A58" w14:textId="4283435F">
      <w:pPr>
        <w:pStyle w:val="FootnoteText"/>
        <w:ind w:left="567" w:hanging="567"/>
        <w:rPr>
          <w:sz w:val="24"/>
          <w:szCs w:val="24"/>
          <w:lang w:val="fi-FI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fi-FI"/>
        </w:rPr>
        <w:t xml:space="preserve"> </w:t>
      </w:r>
      <w:r w:rsidRPr="00EB7D22" w:rsidR="00FE2D97">
        <w:rPr>
          <w:sz w:val="24"/>
          <w:szCs w:val="24"/>
          <w:lang w:val="fi-FI"/>
        </w:rPr>
        <w:tab/>
      </w:r>
      <w:r w:rsidRPr="00EB7D22">
        <w:rPr>
          <w:sz w:val="24"/>
          <w:szCs w:val="24"/>
          <w:lang w:val="fi-FI"/>
        </w:rPr>
        <w:t>Dz.U</w:t>
      </w:r>
      <w:r w:rsidRPr="00EB7D22">
        <w:rPr>
          <w:sz w:val="24"/>
          <w:szCs w:val="24"/>
          <w:lang w:val="fi-FI"/>
        </w:rPr>
        <w:t xml:space="preserve">. C, C/2026/1474, 9.4.2026, ELI: </w:t>
      </w:r>
      <w:hyperlink r:id="rId2" w:history="1">
        <w:r w:rsidRPr="00EB7D22">
          <w:rPr>
            <w:rStyle w:val="Hyperlink"/>
            <w:sz w:val="24"/>
            <w:szCs w:val="24"/>
            <w:lang w:val="fi-FI"/>
          </w:rPr>
          <w:t>http://data.europa.eu/eli/C/2026/1474/oj</w:t>
        </w:r>
      </w:hyperlink>
      <w:r w:rsidRPr="00EB7D22">
        <w:rPr>
          <w:sz w:val="24"/>
          <w:szCs w:val="24"/>
          <w:lang w:val="fi-FI"/>
        </w:rPr>
        <w:t>.</w:t>
      </w:r>
    </w:p>
  </w:footnote>
  <w:footnote w:id="4">
    <w:p w:rsidR="00251551" w:rsidRPr="00EB7D22" w:rsidP="00FE2D97" w14:paraId="2BEF6927" w14:textId="18B5FC1E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>Teksty przyjęte, P10_TA(2026)0013.</w:t>
      </w:r>
    </w:p>
  </w:footnote>
  <w:footnote w:id="5">
    <w:p w:rsidR="00251551" w:rsidRPr="00EB7D22" w:rsidP="00FE2D97" w14:paraId="1AA1C613" w14:textId="4766F000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 xml:space="preserve">Dz.U. L, 2024/2509, </w:t>
      </w:r>
      <w:r w:rsidRPr="00EB7D22">
        <w:rPr>
          <w:sz w:val="24"/>
          <w:szCs w:val="24"/>
          <w:lang w:val="pl-PL"/>
        </w:rPr>
        <w:t>26.9.2024</w:t>
      </w:r>
      <w:r w:rsidRPr="00EB7D22">
        <w:rPr>
          <w:sz w:val="24"/>
          <w:szCs w:val="24"/>
          <w:lang w:val="pl-PL"/>
        </w:rPr>
        <w:t xml:space="preserve">, ELI: </w:t>
      </w:r>
      <w:hyperlink r:id="rId3" w:history="1">
        <w:r w:rsidRPr="00EB7D22">
          <w:rPr>
            <w:rStyle w:val="Hyperlink"/>
            <w:sz w:val="24"/>
            <w:szCs w:val="24"/>
            <w:lang w:val="pl-PL"/>
          </w:rPr>
          <w:t>http://data.europa.eu/eli/reg/2024/2509/oj</w:t>
        </w:r>
      </w:hyperlink>
      <w:r w:rsidRPr="00EB7D22">
        <w:rPr>
          <w:sz w:val="24"/>
          <w:szCs w:val="24"/>
          <w:lang w:val="pl-PL"/>
        </w:rPr>
        <w:t>.</w:t>
      </w:r>
    </w:p>
  </w:footnote>
  <w:footnote w:id="6">
    <w:p w:rsidR="00251551" w:rsidRPr="00EB7D22" w:rsidP="00FE2D97" w14:paraId="4B3896A0" w14:textId="26EF39A8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>Dz.U. L 433</w:t>
      </w:r>
      <w:r w:rsidR="006D01B6">
        <w:rPr>
          <w:sz w:val="24"/>
          <w:szCs w:val="24"/>
          <w:lang w:val="pl-PL"/>
        </w:rPr>
        <w:t xml:space="preserve"> </w:t>
      </w:r>
      <w:r w:rsidRPr="00EB7D22">
        <w:rPr>
          <w:sz w:val="24"/>
          <w:szCs w:val="24"/>
          <w:lang w:val="pl-PL"/>
        </w:rPr>
        <w:t>I z 22.12.2020, s. 1.</w:t>
      </w:r>
    </w:p>
  </w:footnote>
  <w:footnote w:id="7">
    <w:p w:rsidR="00251551" w:rsidRPr="00EB7D22" w:rsidP="00FE2D97" w14:paraId="54F75C27" w14:textId="6877B019">
      <w:pPr>
        <w:pStyle w:val="FootnoteText"/>
        <w:ind w:left="567" w:hanging="567"/>
        <w:rPr>
          <w:sz w:val="24"/>
          <w:szCs w:val="24"/>
          <w:lang w:val="pl-PL"/>
        </w:rPr>
      </w:pPr>
      <w:bookmarkStart w:id="9" w:name="_Hlk227670992"/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 xml:space="preserve">Dz.U. C, C/2026/1383, </w:t>
      </w:r>
      <w:r w:rsidRPr="00EB7D22">
        <w:rPr>
          <w:sz w:val="24"/>
          <w:szCs w:val="24"/>
          <w:lang w:val="pl-PL"/>
        </w:rPr>
        <w:t>4.3.2026</w:t>
      </w:r>
      <w:r w:rsidRPr="00EB7D22">
        <w:rPr>
          <w:sz w:val="24"/>
          <w:szCs w:val="24"/>
          <w:lang w:val="pl-PL"/>
        </w:rPr>
        <w:t xml:space="preserve">, ELI: </w:t>
      </w:r>
      <w:hyperlink r:id="rId4" w:history="1">
        <w:r w:rsidRPr="00EB7D22">
          <w:rPr>
            <w:rStyle w:val="Hyperlink"/>
            <w:sz w:val="24"/>
            <w:szCs w:val="24"/>
            <w:lang w:val="pl-PL"/>
          </w:rPr>
          <w:t>http://data.europa.eu/eli/C/2026/1383/oj</w:t>
        </w:r>
      </w:hyperlink>
      <w:r w:rsidRPr="00EB7D22">
        <w:rPr>
          <w:sz w:val="24"/>
          <w:szCs w:val="24"/>
          <w:lang w:val="pl-PL"/>
        </w:rPr>
        <w:t>.</w:t>
      </w:r>
    </w:p>
    <w:bookmarkEnd w:id="9"/>
  </w:footnote>
  <w:footnote w:id="8">
    <w:p w:rsidR="00251551" w:rsidRPr="00EB7D22" w:rsidP="00FE2D97" w14:paraId="309730D1" w14:textId="6380E83F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 w:rsidR="00EB7D22">
        <w:rPr>
          <w:sz w:val="24"/>
          <w:szCs w:val="24"/>
          <w:lang w:val="pl-PL"/>
        </w:rPr>
        <w:t xml:space="preserve">Teksty przyjęte, </w:t>
      </w:r>
      <w:r w:rsidRPr="00EB7D22">
        <w:rPr>
          <w:sz w:val="24"/>
          <w:szCs w:val="24"/>
          <w:lang w:val="pl-PL"/>
        </w:rPr>
        <w:t>P10_TA(2025)0338.</w:t>
      </w:r>
    </w:p>
  </w:footnote>
  <w:footnote w:id="9">
    <w:p w:rsidR="00251551" w:rsidRPr="00EB7D22" w:rsidP="00FE2D97" w14:paraId="333883F0" w14:textId="072B622B">
      <w:pPr>
        <w:ind w:left="567" w:hanging="567"/>
        <w:rPr>
          <w:rFonts w:eastAsiaTheme="minorHAnsi"/>
          <w:kern w:val="2"/>
          <w:szCs w:val="24"/>
          <w14:ligatures w14:val="standardContextual"/>
        </w:rPr>
      </w:pPr>
      <w:r w:rsidRPr="00EB7D22">
        <w:rPr>
          <w:rStyle w:val="FootnoteReference"/>
          <w:szCs w:val="24"/>
        </w:rPr>
        <w:footnoteRef/>
      </w:r>
      <w:r w:rsidRPr="00EB7D22" w:rsidR="00FE2D97">
        <w:rPr>
          <w:szCs w:val="24"/>
        </w:rPr>
        <w:t xml:space="preserve"> </w:t>
      </w:r>
      <w:r w:rsidRPr="00EB7D22" w:rsidR="00FE2D97">
        <w:rPr>
          <w:szCs w:val="24"/>
        </w:rPr>
        <w:tab/>
      </w:r>
      <w:r w:rsidRPr="00EB7D22">
        <w:rPr>
          <w:szCs w:val="24"/>
        </w:rPr>
        <w:t xml:space="preserve">Rozporządzenie Rady (WE) nr 1257/96 z dnia 20 czerwca 1996 r. dotyczące pomocy humanitarnej (Dz.U. L 163 z 2.7.1996, s. 1, ELI: </w:t>
      </w:r>
      <w:hyperlink r:id="rId5" w:history="1">
        <w:r w:rsidRPr="00EB7D22">
          <w:rPr>
            <w:rStyle w:val="Hyperlink"/>
            <w:szCs w:val="24"/>
          </w:rPr>
          <w:t>http://data.europa.eu/eli/reg/1996/1257/oj</w:t>
        </w:r>
      </w:hyperlink>
      <w:r w:rsidRPr="00EB7D22">
        <w:rPr>
          <w:szCs w:val="24"/>
        </w:rPr>
        <w:t>).</w:t>
      </w:r>
    </w:p>
  </w:footnote>
  <w:footnote w:id="10">
    <w:p w:rsidR="00251551" w:rsidRPr="00EB7D22" w:rsidP="00FE2D97" w14:paraId="1A2A6901" w14:textId="0E407B84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 xml:space="preserve">Rozporządzenie Parlamentu Europejskiego i Rady (UE, </w:t>
      </w:r>
      <w:r w:rsidRPr="00EB7D22">
        <w:rPr>
          <w:sz w:val="24"/>
          <w:szCs w:val="24"/>
          <w:lang w:val="pl-PL"/>
        </w:rPr>
        <w:t>Euratom</w:t>
      </w:r>
      <w:r w:rsidRPr="00EB7D22">
        <w:rPr>
          <w:sz w:val="24"/>
          <w:szCs w:val="24"/>
          <w:lang w:val="pl-PL"/>
        </w:rPr>
        <w:t xml:space="preserve">) 2024/2509 z dnia 23 września 2024 r. w sprawie zasad finansowych mających zastosowanie do budżetu ogólnego Unii (Dz.U. L, 2024/2509, </w:t>
      </w:r>
      <w:r w:rsidRPr="00EB7D22">
        <w:rPr>
          <w:sz w:val="24"/>
          <w:szCs w:val="24"/>
          <w:lang w:val="pl-PL"/>
        </w:rPr>
        <w:t>26.9.2024</w:t>
      </w:r>
      <w:r w:rsidRPr="00EB7D22">
        <w:rPr>
          <w:sz w:val="24"/>
          <w:szCs w:val="24"/>
          <w:lang w:val="pl-PL"/>
        </w:rPr>
        <w:t xml:space="preserve">, ELI: </w:t>
      </w:r>
      <w:hyperlink r:id="rId3" w:history="1">
        <w:r w:rsidRPr="00EB7D22">
          <w:rPr>
            <w:rStyle w:val="Hyperlink"/>
            <w:sz w:val="24"/>
            <w:szCs w:val="24"/>
            <w:lang w:val="pl-PL"/>
          </w:rPr>
          <w:t>http://data.europa.eu/eli/reg/2024/2509/oj</w:t>
        </w:r>
      </w:hyperlink>
      <w:r w:rsidRPr="00EB7D22">
        <w:rPr>
          <w:sz w:val="24"/>
          <w:szCs w:val="24"/>
          <w:lang w:val="pl-PL"/>
        </w:rPr>
        <w:t>).</w:t>
      </w:r>
    </w:p>
  </w:footnote>
  <w:footnote w:id="11">
    <w:p w:rsidR="00251551" w:rsidRPr="00EB7D22" w:rsidP="00FE2D97" w14:paraId="680B0488" w14:textId="5B19B2EC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 xml:space="preserve">Rozporządzenie Parlamentu Europejskiego i Rady (UE, </w:t>
      </w:r>
      <w:r w:rsidRPr="00EB7D22">
        <w:rPr>
          <w:sz w:val="24"/>
          <w:szCs w:val="24"/>
          <w:lang w:val="pl-PL"/>
        </w:rPr>
        <w:t>Euratom</w:t>
      </w:r>
      <w:r w:rsidRPr="00EB7D22">
        <w:rPr>
          <w:sz w:val="24"/>
          <w:szCs w:val="24"/>
          <w:lang w:val="pl-PL"/>
        </w:rPr>
        <w:t xml:space="preserve">) 2023/2841 z dnia 13 grudnia 2023 r. w sprawie ustanowienia środków na rzecz wysokiego wspólnego poziomu </w:t>
      </w:r>
      <w:r w:rsidRPr="00EB7D22">
        <w:rPr>
          <w:sz w:val="24"/>
          <w:szCs w:val="24"/>
          <w:lang w:val="pl-PL"/>
        </w:rPr>
        <w:t>cyberbezpieczeństwa</w:t>
      </w:r>
      <w:r w:rsidRPr="00EB7D22">
        <w:rPr>
          <w:sz w:val="24"/>
          <w:szCs w:val="24"/>
          <w:lang w:val="pl-PL"/>
        </w:rPr>
        <w:t xml:space="preserve"> w instytucjach, organach i jednostkach organizacyjnych Unii (Dz.U. L, 2023/2841, 18.12.2023, ELI: </w:t>
      </w:r>
      <w:hyperlink r:id="rId6" w:history="1">
        <w:r w:rsidRPr="00EB7D22">
          <w:rPr>
            <w:rStyle w:val="Hyperlink"/>
            <w:sz w:val="24"/>
            <w:szCs w:val="24"/>
            <w:lang w:val="pl-PL"/>
          </w:rPr>
          <w:t>http://data.europa.eu/eli/reg/2023/2841/oj</w:t>
        </w:r>
      </w:hyperlink>
      <w:r w:rsidRPr="00EB7D22">
        <w:rPr>
          <w:sz w:val="24"/>
          <w:szCs w:val="24"/>
          <w:lang w:val="pl-PL"/>
        </w:rPr>
        <w:t>).</w:t>
      </w:r>
    </w:p>
  </w:footnote>
  <w:footnote w:id="12">
    <w:p w:rsidR="00251551" w:rsidRPr="00EB7D22" w:rsidP="00FE2D97" w14:paraId="09B9C5F4" w14:textId="4283A17F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 xml:space="preserve">Rozporządzenie Parlamentu Europejskiego i Rady (UE, </w:t>
      </w:r>
      <w:r w:rsidRPr="00EB7D22">
        <w:rPr>
          <w:sz w:val="24"/>
          <w:szCs w:val="24"/>
          <w:lang w:val="pl-PL"/>
        </w:rPr>
        <w:t>Euratom</w:t>
      </w:r>
      <w:r w:rsidRPr="00EB7D22">
        <w:rPr>
          <w:sz w:val="24"/>
          <w:szCs w:val="24"/>
          <w:lang w:val="pl-PL"/>
        </w:rPr>
        <w:t>) 2020/2092 z dnia 16 grudnia 2020 r. w sprawie ogólnego systemu warunkowości służącego ochronie budżetu Unii (Dz.U. L 433</w:t>
      </w:r>
      <w:r w:rsidR="006D01B6">
        <w:rPr>
          <w:sz w:val="24"/>
          <w:szCs w:val="24"/>
          <w:lang w:val="pl-PL"/>
        </w:rPr>
        <w:t xml:space="preserve"> </w:t>
      </w:r>
      <w:r w:rsidRPr="00EB7D22">
        <w:rPr>
          <w:sz w:val="24"/>
          <w:szCs w:val="24"/>
          <w:lang w:val="pl-PL"/>
        </w:rPr>
        <w:t xml:space="preserve">I z 22.12.2020, s. 1, </w:t>
      </w:r>
      <w:hyperlink r:id="rId7" w:tooltip="Dostęp do dokumentu poprzez identyfikator URI w systemie ELI." w:history="1">
        <w:r w:rsidRPr="00EB7D22">
          <w:rPr>
            <w:rStyle w:val="Hyperlink"/>
            <w:sz w:val="24"/>
            <w:szCs w:val="24"/>
            <w:lang w:val="pl-PL"/>
          </w:rPr>
          <w:t>http://data.europa.eu/eli/reg/2020/2092/oj</w:t>
        </w:r>
      </w:hyperlink>
      <w:r w:rsidRPr="00EB7D22">
        <w:rPr>
          <w:sz w:val="24"/>
          <w:szCs w:val="24"/>
          <w:lang w:val="pl-PL"/>
        </w:rPr>
        <w:t xml:space="preserve">). </w:t>
      </w:r>
    </w:p>
  </w:footnote>
  <w:footnote w:id="13">
    <w:p w:rsidR="00251551" w:rsidRPr="00EB7D22" w:rsidP="00FE2D97" w14:paraId="36EBCE60" w14:textId="1FC10A26">
      <w:pPr>
        <w:pStyle w:val="FootnoteText"/>
        <w:ind w:left="567" w:hanging="567"/>
        <w:rPr>
          <w:sz w:val="24"/>
          <w:szCs w:val="24"/>
          <w:lang w:val="pl-PL"/>
        </w:rPr>
      </w:pPr>
      <w:r w:rsidRPr="00EB7D22">
        <w:rPr>
          <w:rStyle w:val="FootnoteReference"/>
          <w:sz w:val="24"/>
          <w:szCs w:val="24"/>
          <w:lang w:val="pl-PL"/>
        </w:rPr>
        <w:footnoteRef/>
      </w:r>
      <w:r w:rsidRPr="00EB7D22" w:rsidR="00FE2D97">
        <w:rPr>
          <w:sz w:val="24"/>
          <w:szCs w:val="24"/>
          <w:lang w:val="pl-PL"/>
        </w:rPr>
        <w:t xml:space="preserve"> </w:t>
      </w:r>
      <w:r w:rsidRPr="00EB7D22" w:rsidR="00FE2D97">
        <w:rPr>
          <w:sz w:val="24"/>
          <w:szCs w:val="24"/>
          <w:lang w:val="pl-PL"/>
        </w:rPr>
        <w:tab/>
      </w:r>
      <w:r w:rsidRPr="00EB7D22">
        <w:rPr>
          <w:sz w:val="24"/>
          <w:szCs w:val="24"/>
          <w:lang w:val="pl-PL"/>
        </w:rPr>
        <w:t>(COM(2025)0572).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14:paraId="0F58FD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14:paraId="0E2DA2F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1551" w:rsidRPr="00FE2D97" w14:paraId="4F3F62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5E4A635C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3BD052CF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D97" w14:paraId="4C4DBB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1B3C78B8"/>
    <w:multiLevelType w:val="multilevel"/>
    <w:tmpl w:val="B1A4694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>
    <w:nsid w:val="61AF3F02"/>
    <w:multiLevelType w:val="hybridMultilevel"/>
    <w:tmpl w:val="BC10367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831339618">
    <w:abstractNumId w:val="9"/>
  </w:num>
  <w:num w:numId="2" w16cid:durableId="2093549136">
    <w:abstractNumId w:val="9"/>
  </w:num>
  <w:num w:numId="3" w16cid:durableId="919564817">
    <w:abstractNumId w:val="7"/>
  </w:num>
  <w:num w:numId="4" w16cid:durableId="1169255561">
    <w:abstractNumId w:val="7"/>
  </w:num>
  <w:num w:numId="5" w16cid:durableId="1717505976">
    <w:abstractNumId w:val="6"/>
  </w:num>
  <w:num w:numId="6" w16cid:durableId="695887237">
    <w:abstractNumId w:val="6"/>
  </w:num>
  <w:num w:numId="7" w16cid:durableId="752044934">
    <w:abstractNumId w:val="5"/>
  </w:num>
  <w:num w:numId="8" w16cid:durableId="1044984528">
    <w:abstractNumId w:val="5"/>
  </w:num>
  <w:num w:numId="9" w16cid:durableId="220681560">
    <w:abstractNumId w:val="4"/>
  </w:num>
  <w:num w:numId="10" w16cid:durableId="1523204424">
    <w:abstractNumId w:val="4"/>
  </w:num>
  <w:num w:numId="11" w16cid:durableId="871067346">
    <w:abstractNumId w:val="8"/>
  </w:num>
  <w:num w:numId="12" w16cid:durableId="1398354542">
    <w:abstractNumId w:val="8"/>
  </w:num>
  <w:num w:numId="13" w16cid:durableId="706176680">
    <w:abstractNumId w:val="3"/>
  </w:num>
  <w:num w:numId="14" w16cid:durableId="1789544659">
    <w:abstractNumId w:val="3"/>
  </w:num>
  <w:num w:numId="15" w16cid:durableId="859512418">
    <w:abstractNumId w:val="2"/>
  </w:num>
  <w:num w:numId="16" w16cid:durableId="1278180284">
    <w:abstractNumId w:val="2"/>
  </w:num>
  <w:num w:numId="17" w16cid:durableId="482160318">
    <w:abstractNumId w:val="1"/>
  </w:num>
  <w:num w:numId="18" w16cid:durableId="660736653">
    <w:abstractNumId w:val="1"/>
  </w:num>
  <w:num w:numId="19" w16cid:durableId="389957518">
    <w:abstractNumId w:val="0"/>
  </w:num>
  <w:num w:numId="20" w16cid:durableId="908734653">
    <w:abstractNumId w:val="0"/>
  </w:num>
  <w:num w:numId="21" w16cid:durableId="1195001705">
    <w:abstractNumId w:val="9"/>
  </w:num>
  <w:num w:numId="22" w16cid:durableId="1297176393">
    <w:abstractNumId w:val="7"/>
  </w:num>
  <w:num w:numId="23" w16cid:durableId="638536961">
    <w:abstractNumId w:val="6"/>
  </w:num>
  <w:num w:numId="24" w16cid:durableId="1382554945">
    <w:abstractNumId w:val="5"/>
  </w:num>
  <w:num w:numId="25" w16cid:durableId="1277519940">
    <w:abstractNumId w:val="4"/>
  </w:num>
  <w:num w:numId="26" w16cid:durableId="1722825497">
    <w:abstractNumId w:val="8"/>
  </w:num>
  <w:num w:numId="27" w16cid:durableId="627931107">
    <w:abstractNumId w:val="3"/>
  </w:num>
  <w:num w:numId="28" w16cid:durableId="1433819259">
    <w:abstractNumId w:val="2"/>
  </w:num>
  <w:num w:numId="29" w16cid:durableId="269892958">
    <w:abstractNumId w:val="1"/>
  </w:num>
  <w:num w:numId="30" w16cid:durableId="1576356340">
    <w:abstractNumId w:val="0"/>
  </w:num>
  <w:num w:numId="31" w16cid:durableId="298388737">
    <w:abstractNumId w:val="9"/>
  </w:num>
  <w:num w:numId="32" w16cid:durableId="223220524">
    <w:abstractNumId w:val="7"/>
  </w:num>
  <w:num w:numId="33" w16cid:durableId="258803427">
    <w:abstractNumId w:val="6"/>
  </w:num>
  <w:num w:numId="34" w16cid:durableId="1785268264">
    <w:abstractNumId w:val="5"/>
  </w:num>
  <w:num w:numId="35" w16cid:durableId="506290272">
    <w:abstractNumId w:val="4"/>
  </w:num>
  <w:num w:numId="36" w16cid:durableId="1562017033">
    <w:abstractNumId w:val="8"/>
  </w:num>
  <w:num w:numId="37" w16cid:durableId="1578781864">
    <w:abstractNumId w:val="3"/>
  </w:num>
  <w:num w:numId="38" w16cid:durableId="393352299">
    <w:abstractNumId w:val="2"/>
  </w:num>
  <w:num w:numId="39" w16cid:durableId="1537036039">
    <w:abstractNumId w:val="1"/>
  </w:num>
  <w:num w:numId="40" w16cid:durableId="1399136960">
    <w:abstractNumId w:val="0"/>
  </w:num>
  <w:num w:numId="41" w16cid:durableId="790129770">
    <w:abstractNumId w:val="10"/>
  </w:num>
  <w:num w:numId="42" w16cid:durableId="889071516">
    <w:abstractNumId w:val="10"/>
  </w:num>
  <w:num w:numId="43" w16cid:durableId="1064985447">
    <w:abstractNumId w:val="10"/>
  </w:num>
  <w:num w:numId="44" w16cid:durableId="1206989189">
    <w:abstractNumId w:val="12"/>
  </w:num>
  <w:num w:numId="45" w16cid:durableId="3763198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877771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41673777">
    <w:abstractNumId w:val="13"/>
  </w:num>
  <w:num w:numId="48" w16cid:durableId="844631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89"/>
    <w:rsid w:val="00002272"/>
    <w:rsid w:val="00020BBB"/>
    <w:rsid w:val="00064002"/>
    <w:rsid w:val="000677B9"/>
    <w:rsid w:val="00075086"/>
    <w:rsid w:val="000831BA"/>
    <w:rsid w:val="000A42CC"/>
    <w:rsid w:val="000E7DD9"/>
    <w:rsid w:val="0010095E"/>
    <w:rsid w:val="00125B37"/>
    <w:rsid w:val="00187494"/>
    <w:rsid w:val="001F32AE"/>
    <w:rsid w:val="00251551"/>
    <w:rsid w:val="002553CF"/>
    <w:rsid w:val="002767FF"/>
    <w:rsid w:val="002B18FE"/>
    <w:rsid w:val="002B5493"/>
    <w:rsid w:val="00325EEE"/>
    <w:rsid w:val="00343214"/>
    <w:rsid w:val="00361C00"/>
    <w:rsid w:val="003835F6"/>
    <w:rsid w:val="00395FA1"/>
    <w:rsid w:val="003B2164"/>
    <w:rsid w:val="003D6B8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742"/>
    <w:rsid w:val="006631B6"/>
    <w:rsid w:val="00680577"/>
    <w:rsid w:val="006D01B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67C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D22"/>
    <w:rsid w:val="00ED169E"/>
    <w:rsid w:val="00ED4235"/>
    <w:rsid w:val="00F04346"/>
    <w:rsid w:val="00F075DC"/>
    <w:rsid w:val="00F149E9"/>
    <w:rsid w:val="00F21355"/>
    <w:rsid w:val="00F5134D"/>
    <w:rsid w:val="00F74202"/>
    <w:rsid w:val="00F87713"/>
    <w:rsid w:val="00FB4360"/>
    <w:rsid w:val="00FD0C70"/>
    <w:rsid w:val="00FE2D97"/>
  </w:rsids>
  <w:docVars>
    <w:docVar w:name="dvdocse" w:val="A10-0105/2026"/>
    <w:docVar w:name="dvlangue" w:val="PL"/>
    <w:docVar w:name="dvnumam" w:val="47"/>
    <w:docVar w:name="dvpe" w:val="779.351"/>
    <w:docVar w:name="dvrapporteur" w:val="Sprawozdawca: "/>
    <w:docVar w:name="dvtitre" w:val="Rezolucja Parlamentu Europejskiego z dnia  2026 r. w sprawie wniosku dotyczącego rozporządzenia Rady określającego wieloletnie ramy finansowe na lata 2028–2034(COM(2025)0571 – C10-0000/2025 – 2025/0571R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33B14B"/>
  <w15:chartTrackingRefBased/>
  <w15:docId w15:val="{C2F23B6D-925D-4CC3-907C-2AE12038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515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515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515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515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515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51551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251551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51551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51551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251551"/>
    <w:pPr>
      <w:widowControl/>
      <w:spacing w:after="240"/>
    </w:pPr>
    <w:rPr>
      <w:lang w:val="en-GB"/>
    </w:rPr>
  </w:style>
  <w:style w:type="paragraph" w:customStyle="1" w:styleId="Normal6a">
    <w:name w:val="Normal6a"/>
    <w:basedOn w:val="Normal"/>
    <w:rsid w:val="00251551"/>
    <w:pPr>
      <w:widowControl/>
      <w:spacing w:after="120"/>
    </w:pPr>
  </w:style>
  <w:style w:type="paragraph" w:customStyle="1" w:styleId="EPFooter2">
    <w:name w:val="EPFooter2"/>
    <w:basedOn w:val="Normal"/>
    <w:next w:val="Normal"/>
    <w:rsid w:val="002515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51551"/>
    <w:pPr>
      <w:widowControl/>
      <w:spacing w:before="480" w:after="240"/>
    </w:pPr>
  </w:style>
  <w:style w:type="paragraph" w:customStyle="1" w:styleId="TOCPage">
    <w:name w:val="TOC Page"/>
    <w:basedOn w:val="Normal"/>
    <w:next w:val="TOC1"/>
    <w:rsid w:val="00251551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251551"/>
    <w:pPr>
      <w:keepNext/>
      <w:widowControl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51551"/>
    <w:pPr>
      <w:widowControl/>
      <w:spacing w:after="240"/>
      <w:ind w:left="567" w:hanging="567"/>
    </w:pPr>
  </w:style>
  <w:style w:type="paragraph" w:customStyle="1" w:styleId="NormalBold">
    <w:name w:val="NormalBold"/>
    <w:basedOn w:val="Normal"/>
    <w:link w:val="NormalBoldChar"/>
    <w:rsid w:val="00251551"/>
    <w:pPr>
      <w:widowControl/>
    </w:pPr>
    <w:rPr>
      <w:b/>
    </w:rPr>
  </w:style>
  <w:style w:type="paragraph" w:customStyle="1" w:styleId="CoverNormal24a">
    <w:name w:val="CoverNormal24a"/>
    <w:basedOn w:val="Normal"/>
    <w:rsid w:val="00251551"/>
    <w:pPr>
      <w:widowControl/>
      <w:spacing w:after="480"/>
      <w:ind w:left="1417"/>
    </w:pPr>
  </w:style>
  <w:style w:type="paragraph" w:customStyle="1" w:styleId="CoverNormal">
    <w:name w:val="CoverNormal"/>
    <w:basedOn w:val="Normal"/>
    <w:rsid w:val="00251551"/>
    <w:pPr>
      <w:widowControl/>
      <w:ind w:left="1418"/>
    </w:pPr>
  </w:style>
  <w:style w:type="paragraph" w:customStyle="1" w:styleId="CoverReference">
    <w:name w:val="CoverReference"/>
    <w:basedOn w:val="Normal"/>
    <w:rsid w:val="00251551"/>
    <w:pPr>
      <w:widowControl/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251551"/>
    <w:pPr>
      <w:widowControl/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1551"/>
    <w:pPr>
      <w:widowControl/>
      <w:spacing w:before="240" w:after="1200"/>
    </w:pPr>
  </w:style>
  <w:style w:type="paragraph" w:customStyle="1" w:styleId="NormalHangingLeft12a">
    <w:name w:val="NormalHangingLeft12a"/>
    <w:basedOn w:val="Normal"/>
    <w:rsid w:val="00251551"/>
    <w:pPr>
      <w:widowControl/>
      <w:spacing w:after="240"/>
      <w:ind w:left="1134" w:hanging="567"/>
    </w:pPr>
  </w:style>
  <w:style w:type="paragraph" w:customStyle="1" w:styleId="AmOrLang">
    <w:name w:val="AmOrLang"/>
    <w:basedOn w:val="Normal"/>
    <w:rsid w:val="00251551"/>
    <w:pPr>
      <w:widowControl/>
      <w:spacing w:before="240" w:after="240"/>
      <w:jc w:val="right"/>
    </w:pPr>
  </w:style>
  <w:style w:type="paragraph" w:customStyle="1" w:styleId="AmColumnHeading">
    <w:name w:val="AmColumnHeading"/>
    <w:basedOn w:val="Normal"/>
    <w:rsid w:val="00251551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51551"/>
    <w:pPr>
      <w:widowControl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51551"/>
    <w:pPr>
      <w:widowControl/>
      <w:spacing w:before="240"/>
    </w:pPr>
    <w:rPr>
      <w:b/>
    </w:rPr>
  </w:style>
  <w:style w:type="paragraph" w:customStyle="1" w:styleId="EPBody">
    <w:name w:val="EPBody"/>
    <w:basedOn w:val="Normal"/>
    <w:rsid w:val="00251551"/>
    <w:pPr>
      <w:widowControl/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1551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251551"/>
    <w:pPr>
      <w:widowControl/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1551"/>
    <w:rPr>
      <w:sz w:val="24"/>
      <w:lang w:val="pl-PL"/>
    </w:rPr>
  </w:style>
  <w:style w:type="paragraph" w:customStyle="1" w:styleId="Normal12a">
    <w:name w:val="Normal12a"/>
    <w:basedOn w:val="Normal"/>
    <w:rsid w:val="00251551"/>
    <w:pPr>
      <w:widowControl/>
      <w:spacing w:after="240"/>
    </w:pPr>
  </w:style>
  <w:style w:type="paragraph" w:styleId="CommentText">
    <w:name w:val="annotation text"/>
    <w:basedOn w:val="Normal"/>
    <w:link w:val="CommentTextChar"/>
    <w:rsid w:val="00251551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1551"/>
    <w:rPr>
      <w:lang w:val="pl-PL"/>
    </w:rPr>
  </w:style>
  <w:style w:type="character" w:styleId="CommentReference">
    <w:name w:val="annotation reference"/>
    <w:unhideWhenUsed/>
    <w:rsid w:val="00251551"/>
    <w:rPr>
      <w:rFonts w:ascii="Times New Roman" w:hAnsi="Times New Roman" w:cs="Times New Roman" w:hint="default"/>
      <w:sz w:val="16"/>
      <w:szCs w:val="16"/>
    </w:rPr>
  </w:style>
  <w:style w:type="paragraph" w:customStyle="1" w:styleId="Point0number">
    <w:name w:val="Point 0 (number)"/>
    <w:basedOn w:val="Normal"/>
    <w:rsid w:val="00251551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51551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51551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51551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51551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51551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51551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51551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51551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Sup">
    <w:name w:val="Sup"/>
    <w:uiPriority w:val="1"/>
    <w:qFormat/>
    <w:rsid w:val="00251551"/>
    <w:rPr>
      <w:vertAlign w:val="superscript"/>
    </w:rPr>
  </w:style>
  <w:style w:type="character" w:customStyle="1" w:styleId="SupBoldItalic">
    <w:name w:val="SupBoldItalic"/>
    <w:uiPriority w:val="1"/>
    <w:qFormat/>
    <w:rsid w:val="00251551"/>
    <w:rPr>
      <w:b/>
      <w:bCs w:val="0"/>
      <w:i/>
      <w:iCs w:val="0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51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1551"/>
    <w:rPr>
      <w:b/>
      <w:bCs/>
      <w:lang w:val="pl-PL"/>
    </w:rPr>
  </w:style>
  <w:style w:type="paragraph" w:customStyle="1" w:styleId="Text1">
    <w:name w:val="Text 1"/>
    <w:basedOn w:val="Normal"/>
    <w:rsid w:val="0025155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5155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51551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1551"/>
    <w:rPr>
      <w:rFonts w:ascii="Arial" w:hAnsi="Arial" w:eastAsiaTheme="majorEastAsia" w:cs="Arial"/>
      <w:b/>
      <w:bCs/>
      <w:kern w:val="28"/>
      <w:sz w:val="32"/>
      <w:szCs w:val="32"/>
      <w:lang w:val="pl-PL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551"/>
    <w:pPr>
      <w:widowControl/>
      <w:spacing w:after="60"/>
      <w:jc w:val="center"/>
      <w:outlineLvl w:val="1"/>
    </w:pPr>
    <w:rPr>
      <w:rFonts w:ascii="Arial" w:hAnsi="Arial" w:eastAsiaTheme="majorEastAsia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1551"/>
    <w:rPr>
      <w:rFonts w:ascii="Arial" w:hAnsi="Arial" w:eastAsiaTheme="majorEastAsia" w:cs="Arial"/>
      <w:kern w:val="2"/>
      <w:sz w:val="24"/>
      <w:szCs w:val="24"/>
      <w:lang w:val="pl-PL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251551"/>
    <w:rPr>
      <w:b/>
      <w:bCs/>
    </w:rPr>
  </w:style>
  <w:style w:type="character" w:styleId="Emphasis">
    <w:name w:val="Emphasis"/>
    <w:basedOn w:val="DefaultParagraphFont"/>
    <w:uiPriority w:val="20"/>
    <w:qFormat/>
    <w:rsid w:val="0025155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51551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251551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51551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1551"/>
    <w:rPr>
      <w:rFonts w:eastAsiaTheme="minorHAnsi"/>
      <w:i/>
      <w:kern w:val="2"/>
      <w:sz w:val="24"/>
      <w:szCs w:val="24"/>
      <w:lang w:val="pl-PL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551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551"/>
    <w:rPr>
      <w:rFonts w:eastAsiaTheme="minorHAnsi"/>
      <w:b/>
      <w:i/>
      <w:kern w:val="2"/>
      <w:sz w:val="24"/>
      <w:szCs w:val="22"/>
      <w:lang w:val="pl-PL" w:eastAsia="en-US"/>
      <w14:ligatures w14:val="standardContextual"/>
    </w:rPr>
  </w:style>
  <w:style w:type="character" w:styleId="SubtleEmphasis">
    <w:name w:val="Subtle Emphasis"/>
    <w:uiPriority w:val="19"/>
    <w:qFormat/>
    <w:rsid w:val="0025155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5155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5155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5155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5155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Default">
    <w:name w:val="Default"/>
    <w:rsid w:val="0025155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251551"/>
    <w:rPr>
      <w:sz w:val="24"/>
      <w:lang w:val="pl-PL"/>
    </w:rPr>
  </w:style>
  <w:style w:type="paragraph" w:styleId="Revision">
    <w:name w:val="Revision"/>
    <w:hidden/>
    <w:uiPriority w:val="99"/>
    <w:semiHidden/>
    <w:rsid w:val="00251551"/>
    <w:rPr>
      <w:rFonts w:eastAsiaTheme="minorHAnsi"/>
      <w:kern w:val="2"/>
      <w:sz w:val="24"/>
      <w:szCs w:val="24"/>
      <w:lang w:val="pl-PL" w:eastAsia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unhideWhenUsed/>
    <w:rsid w:val="00251551"/>
    <w:pPr>
      <w:widowControl/>
      <w:jc w:val="both"/>
    </w:pPr>
    <w:rPr>
      <w:rFonts w:ascii="Segoe UI" w:hAnsi="Segoe UI" w:eastAsiaTheme="minorHAnsi" w:cs="Segoe UI"/>
      <w:kern w:val="2"/>
      <w:sz w:val="18"/>
      <w:szCs w:val="18"/>
      <w:lang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51551"/>
    <w:rPr>
      <w:rFonts w:ascii="Segoe UI" w:hAnsi="Segoe UI" w:eastAsiaTheme="minorHAnsi" w:cs="Segoe UI"/>
      <w:kern w:val="2"/>
      <w:sz w:val="18"/>
      <w:szCs w:val="18"/>
      <w:lang w:val="pl-PL" w:eastAsia="en-US"/>
      <w14:ligatures w14:val="standardContextual"/>
    </w:rPr>
  </w:style>
  <w:style w:type="character" w:styleId="Hyperlink">
    <w:name w:val="Hyperlink"/>
    <w:basedOn w:val="DefaultParagraphFont"/>
    <w:rsid w:val="002515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51551"/>
    <w:rPr>
      <w:color w:val="954F72" w:themeColor="followedHyperlink"/>
      <w:u w:val="single"/>
    </w:rPr>
  </w:style>
  <w:style w:type="paragraph" w:customStyle="1" w:styleId="Normal24a">
    <w:name w:val="Normal24a"/>
    <w:basedOn w:val="Normal"/>
    <w:rsid w:val="00251551"/>
    <w:pPr>
      <w:spacing w:after="480"/>
    </w:pPr>
  </w:style>
  <w:style w:type="paragraph" w:customStyle="1" w:styleId="NormalBoldCenter">
    <w:name w:val="NormalBoldCenter"/>
    <w:basedOn w:val="Normal"/>
    <w:rsid w:val="00251551"/>
    <w:pPr>
      <w:jc w:val="center"/>
    </w:pPr>
    <w:rPr>
      <w:b/>
    </w:rPr>
  </w:style>
  <w:style w:type="paragraph" w:customStyle="1" w:styleId="Footprint12b">
    <w:name w:val="Footprint12b"/>
    <w:basedOn w:val="Normal"/>
    <w:rsid w:val="0025155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51551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51551"/>
    <w:rPr>
      <w:color w:val="605E5C"/>
      <w:shd w:val="clear" w:color="auto" w:fill="E1DFDD"/>
    </w:rPr>
  </w:style>
  <w:style w:type="paragraph" w:customStyle="1" w:styleId="PageHeadingNotTOC">
    <w:name w:val="PageHeadingNotTOC"/>
    <w:basedOn w:val="Normal"/>
    <w:rsid w:val="002515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Subheading">
    <w:name w:val="Subheading"/>
    <w:basedOn w:val="Normal"/>
    <w:rsid w:val="00251551"/>
    <w:pPr>
      <w:spacing w:before="480" w:after="240"/>
    </w:pPr>
    <w:rPr>
      <w:b/>
      <w:i/>
      <w:szCs w:val="24"/>
    </w:rPr>
  </w:style>
  <w:style w:type="paragraph" w:customStyle="1" w:styleId="AmJustText">
    <w:name w:val="AmJustText"/>
    <w:basedOn w:val="Normal"/>
    <w:rsid w:val="00251551"/>
    <w:pPr>
      <w:spacing w:after="240"/>
    </w:pPr>
    <w:rPr>
      <w:i/>
    </w:rPr>
  </w:style>
  <w:style w:type="paragraph" w:customStyle="1" w:styleId="AmCrossRef">
    <w:name w:val="AmCrossRef"/>
    <w:basedOn w:val="Normal"/>
    <w:rsid w:val="002515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51551"/>
    <w:pPr>
      <w:keepNext/>
      <w:spacing w:before="240" w:after="240"/>
      <w:jc w:val="center"/>
    </w:pPr>
    <w:rPr>
      <w:i/>
    </w:rPr>
  </w:style>
  <w:style w:type="paragraph" w:customStyle="1" w:styleId="Normal6">
    <w:name w:val="Normal6"/>
    <w:basedOn w:val="Normal"/>
    <w:link w:val="Normal6Char"/>
    <w:rsid w:val="00251551"/>
    <w:pPr>
      <w:spacing w:after="120"/>
    </w:pPr>
  </w:style>
  <w:style w:type="character" w:customStyle="1" w:styleId="NormalBoldChar">
    <w:name w:val="NormalBold Char"/>
    <w:link w:val="NormalBold"/>
    <w:rsid w:val="00251551"/>
    <w:rPr>
      <w:b/>
      <w:sz w:val="24"/>
      <w:lang w:val="pl-PL"/>
    </w:rPr>
  </w:style>
  <w:style w:type="character" w:customStyle="1" w:styleId="Normal6Char">
    <w:name w:val="Normal6 Char"/>
    <w:link w:val="Normal6"/>
    <w:rsid w:val="00251551"/>
    <w:rPr>
      <w:sz w:val="24"/>
      <w:lang w:val="pl-PL"/>
    </w:rPr>
  </w:style>
  <w:style w:type="paragraph" w:customStyle="1" w:styleId="ColumnHeading">
    <w:name w:val="ColumnHeading"/>
    <w:basedOn w:val="Normal"/>
    <w:rsid w:val="0025155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515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51551"/>
    <w:pPr>
      <w:jc w:val="right"/>
    </w:pPr>
    <w:rPr>
      <w:lang w:val="pl-PL"/>
    </w:rPr>
  </w:style>
  <w:style w:type="paragraph" w:customStyle="1" w:styleId="RollCallSymbols14pt">
    <w:name w:val="RollCallSymbols14pt"/>
    <w:basedOn w:val="Normal"/>
    <w:rsid w:val="002515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515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515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51551"/>
    <w:pPr>
      <w:spacing w:before="120" w:after="120"/>
    </w:pPr>
    <w:rPr>
      <w:snapToGrid w:val="0"/>
      <w:sz w:val="16"/>
      <w:lang w:eastAsia="en-US"/>
    </w:rPr>
  </w:style>
  <w:style w:type="paragraph" w:customStyle="1" w:styleId="NormalBold12b12a">
    <w:name w:val="NormalBold12b12a"/>
    <w:basedOn w:val="Normal"/>
    <w:next w:val="NormalBold"/>
    <w:rsid w:val="00251551"/>
    <w:pPr>
      <w:widowControl/>
      <w:spacing w:before="240" w:after="240"/>
    </w:pPr>
    <w:rPr>
      <w:b/>
      <w:szCs w:val="24"/>
      <w:lang w:eastAsia="en-US"/>
    </w:rPr>
  </w:style>
  <w:style w:type="paragraph" w:customStyle="1" w:styleId="AmDocTypeTab">
    <w:name w:val="AmDocTypeTab"/>
    <w:basedOn w:val="Normal"/>
    <w:rsid w:val="00251551"/>
    <w:pPr>
      <w:tabs>
        <w:tab w:val="right" w:pos="9071"/>
      </w:tabs>
    </w:pPr>
    <w:rPr>
      <w:b/>
    </w:rPr>
  </w:style>
  <w:style w:type="paragraph" w:customStyle="1" w:styleId="AmDateTab">
    <w:name w:val="AmDateTab"/>
    <w:basedOn w:val="Normal"/>
    <w:rsid w:val="00251551"/>
    <w:pPr>
      <w:tabs>
        <w:tab w:val="right" w:pos="9071"/>
      </w:tabs>
    </w:pPr>
  </w:style>
  <w:style w:type="character" w:customStyle="1" w:styleId="AmNumberTabsChar">
    <w:name w:val="AmNumberTabs Char"/>
    <w:basedOn w:val="DefaultParagraphFont"/>
    <w:link w:val="AmNumberTabs"/>
    <w:rsid w:val="00251551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251551"/>
    <w:rPr>
      <w:b/>
      <w:sz w:val="24"/>
      <w:lang w:val="pl-PL"/>
    </w:rPr>
  </w:style>
  <w:style w:type="paragraph" w:customStyle="1" w:styleId="msonormal">
    <w:name w:val="msonormal"/>
    <w:basedOn w:val="Normal"/>
    <w:rsid w:val="00251551"/>
    <w:pPr>
      <w:widowControl/>
      <w:spacing w:before="100" w:beforeAutospacing="1" w:after="100" w:afterAutospacing="1"/>
    </w:pPr>
    <w:rPr>
      <w:szCs w:val="24"/>
    </w:rPr>
  </w:style>
  <w:style w:type="paragraph" w:customStyle="1" w:styleId="LetterSalutation">
    <w:name w:val="LetterSalutation"/>
    <w:basedOn w:val="Normal"/>
    <w:rsid w:val="00251551"/>
    <w:pPr>
      <w:spacing w:before="600" w:after="360"/>
    </w:pPr>
  </w:style>
  <w:style w:type="paragraph" w:styleId="Index1">
    <w:name w:val="index 1"/>
    <w:basedOn w:val="Normal"/>
    <w:next w:val="Normal"/>
    <w:autoRedefine/>
    <w:uiPriority w:val="99"/>
    <w:unhideWhenUsed/>
    <w:rsid w:val="00251551"/>
    <w:pPr>
      <w:widowControl/>
      <w:ind w:left="220" w:hanging="22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IndexHeading">
    <w:name w:val="index heading"/>
    <w:basedOn w:val="Normal"/>
    <w:next w:val="Index1"/>
    <w:unhideWhenUsed/>
    <w:rsid w:val="00251551"/>
    <w:rPr>
      <w:rFonts w:ascii="Arial" w:hAnsi="Arial"/>
      <w:b/>
    </w:rPr>
  </w:style>
  <w:style w:type="paragraph" w:customStyle="1" w:styleId="CoverDocType">
    <w:name w:val="CoverDocType"/>
    <w:basedOn w:val="Normal"/>
    <w:rsid w:val="00251551"/>
    <w:pPr>
      <w:ind w:left="1418"/>
    </w:pPr>
    <w:rPr>
      <w:rFonts w:ascii="Arial" w:hAnsi="Arial"/>
      <w:b/>
      <w:sz w:val="48"/>
    </w:rPr>
  </w:style>
  <w:style w:type="paragraph" w:customStyle="1" w:styleId="CoverBold">
    <w:name w:val="CoverBold"/>
    <w:basedOn w:val="Normal"/>
    <w:rsid w:val="00251551"/>
    <w:pPr>
      <w:ind w:left="1417"/>
    </w:pPr>
    <w:rPr>
      <w:b/>
    </w:rPr>
  </w:style>
  <w:style w:type="paragraph" w:customStyle="1" w:styleId="ZDateAM">
    <w:name w:val="ZDateAM"/>
    <w:basedOn w:val="Normal"/>
    <w:rsid w:val="00251551"/>
    <w:pPr>
      <w:tabs>
        <w:tab w:val="right" w:pos="9356"/>
      </w:tabs>
      <w:spacing w:after="480"/>
    </w:pPr>
    <w:rPr>
      <w:noProof/>
    </w:rPr>
  </w:style>
  <w:style w:type="paragraph" w:styleId="NormalWeb">
    <w:name w:val="Normal (Web)"/>
    <w:basedOn w:val="Normal"/>
    <w:rsid w:val="00251551"/>
    <w:rPr>
      <w:szCs w:val="24"/>
    </w:rPr>
  </w:style>
  <w:style w:type="character" w:customStyle="1" w:styleId="EPFooter2Motto">
    <w:name w:val="EPFooter2Motto"/>
    <w:rsid w:val="00251551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251551"/>
    <w:pPr>
      <w:tabs>
        <w:tab w:val="center" w:pos="6800"/>
        <w:tab w:val="right" w:pos="15020"/>
      </w:tabs>
    </w:pPr>
    <w:rPr>
      <w:sz w:val="22"/>
      <w:lang w:val="pl-PL" w:eastAsia="en-US"/>
    </w:rPr>
  </w:style>
  <w:style w:type="paragraph" w:customStyle="1" w:styleId="Normal0">
    <w:name w:val="Normal0"/>
    <w:basedOn w:val="Normal"/>
    <w:rsid w:val="00251551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251551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pl-PL" w:eastAsia="en-US"/>
    </w:rPr>
  </w:style>
  <w:style w:type="character" w:customStyle="1" w:styleId="EPFooter2Middle">
    <w:name w:val="EPFooter2Middle"/>
    <w:rsid w:val="00251551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251551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251551"/>
    <w:rPr>
      <w:color w:val="FFFFFF"/>
      <w:sz w:val="22"/>
      <w:shd w:val="clear" w:color="000000" w:fill="000000"/>
    </w:rPr>
  </w:style>
  <w:style w:type="paragraph" w:customStyle="1" w:styleId="LetterSubject">
    <w:name w:val="LetterSubject"/>
    <w:basedOn w:val="Normal"/>
    <w:rsid w:val="0025155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251551"/>
    <w:pPr>
      <w:spacing w:before="1320"/>
    </w:pPr>
  </w:style>
  <w:style w:type="paragraph" w:customStyle="1" w:styleId="Normal12">
    <w:name w:val="Normal12"/>
    <w:basedOn w:val="Normal"/>
    <w:link w:val="Normal12Char"/>
    <w:rsid w:val="00251551"/>
    <w:pPr>
      <w:widowControl/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251551"/>
    <w:rPr>
      <w:rFonts w:ascii="Arial" w:hAnsi="Arial" w:cs="Arial"/>
      <w:b/>
      <w:sz w:val="24"/>
      <w:lang w:val="pl-PL"/>
    </w:rPr>
  </w:style>
  <w:style w:type="character" w:customStyle="1" w:styleId="Normal12Char">
    <w:name w:val="Normal12 Char"/>
    <w:basedOn w:val="PageHeadingChar"/>
    <w:link w:val="Normal12"/>
    <w:rsid w:val="00251551"/>
    <w:rPr>
      <w:rFonts w:ascii="Arial" w:hAnsi="Arial" w:cs="Arial"/>
      <w:b w:val="0"/>
      <w:sz w:val="24"/>
      <w:lang w:val="pl-PL"/>
    </w:rPr>
  </w:style>
  <w:style w:type="paragraph" w:styleId="Footer">
    <w:name w:val="footer"/>
    <w:basedOn w:val="Normal"/>
    <w:link w:val="FooterChar"/>
    <w:rsid w:val="00251551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155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5/oj" TargetMode="External" /><Relationship Id="rId2" Type="http://schemas.openxmlformats.org/officeDocument/2006/relationships/hyperlink" Target="http://data.europa.eu/eli/C/2026/1474/oj" TargetMode="External" /><Relationship Id="rId3" Type="http://schemas.openxmlformats.org/officeDocument/2006/relationships/hyperlink" Target="http://data.europa.eu/eli/reg/2024/2509/oj" TargetMode="External" /><Relationship Id="rId4" Type="http://schemas.openxmlformats.org/officeDocument/2006/relationships/hyperlink" Target="http://data.europa.eu/eli/C/2026/1383/oj" TargetMode="External" /><Relationship Id="rId5" Type="http://schemas.openxmlformats.org/officeDocument/2006/relationships/hyperlink" Target="http://data.europa.eu/eli/reg/1996/1257/oj" TargetMode="External" /><Relationship Id="rId6" Type="http://schemas.openxmlformats.org/officeDocument/2006/relationships/hyperlink" Target="http://data.europa.eu/eli/reg/2023/2841/oj" TargetMode="External" /><Relationship Id="rId7" Type="http://schemas.openxmlformats.org/officeDocument/2006/relationships/hyperlink" Target="http://data.europa.eu/eli/reg/2020/20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74</Pages>
  <Words>22503</Words>
  <Characters>149923</Characters>
  <Application>Microsoft Office Word</Application>
  <DocSecurity>0</DocSecurity>
  <Lines>2342</Lines>
  <Paragraphs>780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2026-06-05T07:46:00Z</dcterms:created>
  <dcterms:modified xsi:type="dcterms:W3CDTF">2026-06-05T07:46:00Z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A10-0105/2026</vt:lpwstr>
  </property>
  <property fmtid="{D5CDD505-2E9C-101B-9397-08002B2CF9AE}" pid="4" name="&lt;Type&gt;">
    <vt:lpwstr>RR</vt:lpwstr>
  </property>
</Properties>
</file>