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E7538F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741E0" w:rsidP="0010095E" w14:paraId="00FA17F1" w14:textId="2978B9FE">
            <w:pPr>
              <w:pStyle w:val="EPName"/>
            </w:pPr>
            <w:r w:rsidRPr="006741E0">
              <w:t>Европейски</w:t>
            </w:r>
            <w:r w:rsidRPr="006741E0" w:rsidR="00417120">
              <w:t xml:space="preserve"> парламент</w:t>
            </w:r>
          </w:p>
          <w:p w:rsidR="00751A4A" w:rsidRPr="006741E0" w:rsidP="005F1B17" w14:paraId="15752EBA" w14:textId="57218DA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741E0">
              <w:t>2024</w:t>
            </w:r>
            <w:r w:rsidR="00192B25">
              <w:rPr>
                <w:lang w:val="en-GB"/>
              </w:rPr>
              <w:t> – </w:t>
            </w:r>
            <w:r w:rsidRPr="006741E0" w:rsidR="00817416">
              <w:t>202</w:t>
            </w:r>
            <w:r w:rsidRPr="006741E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741E0" w:rsidP="0010095E" w14:paraId="4B8E558F" w14:textId="77777777">
            <w:pPr>
              <w:pStyle w:val="EPLogo"/>
            </w:pPr>
            <w:r w:rsidRPr="006741E0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741E0" w:rsidP="004C5D52" w14:paraId="62161338" w14:textId="77777777">
      <w:pPr>
        <w:pStyle w:val="LineTop"/>
      </w:pPr>
    </w:p>
    <w:p w:rsidR="00680577" w:rsidRPr="006741E0" w:rsidP="00680577" w14:paraId="03EC48DA" w14:textId="39DFD5F8">
      <w:pPr>
        <w:pStyle w:val="EPBodyTA1"/>
      </w:pPr>
      <w:r w:rsidRPr="006741E0">
        <w:t>ПРИЕТИ ТЕКСТОВЕ</w:t>
      </w:r>
    </w:p>
    <w:p w:rsidR="00D058B8" w:rsidRPr="006741E0" w:rsidP="00D058B8" w14:paraId="1AB39031" w14:textId="77777777">
      <w:pPr>
        <w:pStyle w:val="LineBottom"/>
      </w:pPr>
    </w:p>
    <w:p w:rsidR="00417120" w:rsidRPr="006741E0" w:rsidP="00417120" w14:paraId="5C57C0DD" w14:textId="4344A7F5">
      <w:pPr>
        <w:pStyle w:val="ATHeading1"/>
      </w:pPr>
      <w:bookmarkStart w:id="0" w:name="TANumber"/>
      <w:r w:rsidRPr="006741E0">
        <w:t>P10_TA(2026)0</w:t>
      </w:r>
      <w:r w:rsidR="002E7034">
        <w:rPr>
          <w:lang w:val="en-GB"/>
        </w:rPr>
        <w:t>113</w:t>
      </w:r>
      <w:bookmarkEnd w:id="0"/>
    </w:p>
    <w:p w:rsidR="00417120" w:rsidRPr="006741E0" w:rsidP="00417120" w14:paraId="3B109FAB" w14:textId="77777777">
      <w:pPr>
        <w:pStyle w:val="ATHeading2"/>
      </w:pPr>
      <w:bookmarkStart w:id="1" w:name="title"/>
      <w:r w:rsidRPr="006741E0">
        <w:t>Отчитане на емисиите на парникови газове от транспортните услуги</w:t>
      </w:r>
      <w:bookmarkEnd w:id="1"/>
    </w:p>
    <w:p w:rsidR="00417120" w:rsidRPr="006741E0" w:rsidP="00417120" w14:paraId="453C4CF0" w14:textId="4A1C8EAC">
      <w:pPr>
        <w:rPr>
          <w:i/>
          <w:vanish/>
        </w:rPr>
      </w:pPr>
      <w:r>
        <w:rPr>
          <w:i/>
        </w:rPr>
        <w:fldChar w:fldCharType="begin"/>
      </w:r>
      <w:r w:rsidRPr="006741E0">
        <w:rPr>
          <w:i/>
        </w:rPr>
        <w:instrText xml:space="preserve"> TC"(</w:instrText>
      </w:r>
      <w:bookmarkStart w:id="2" w:name="DocNumber"/>
      <w:r w:rsidRPr="006741E0">
        <w:rPr>
          <w:i/>
        </w:rPr>
        <w:instrText>A10-0062/2026</w:instrText>
      </w:r>
      <w:bookmarkEnd w:id="2"/>
      <w:r w:rsidRPr="006741E0">
        <w:rPr>
          <w:i/>
        </w:rPr>
        <w:instrText xml:space="preserve"> - Докладчи</w:instrText>
      </w:r>
      <w:r w:rsidR="00192B25">
        <w:rPr>
          <w:i/>
        </w:rPr>
        <w:instrText>ци</w:instrText>
      </w:r>
      <w:r w:rsidRPr="006741E0">
        <w:rPr>
          <w:i/>
        </w:rPr>
        <w:instrText xml:space="preserve">: </w:instrText>
      </w:r>
      <w:r w:rsidRPr="006741E0">
        <w:rPr>
          <w:i/>
        </w:rPr>
        <w:instrText>Пиерфранческо</w:instrText>
      </w:r>
      <w:r w:rsidRPr="006741E0">
        <w:rPr>
          <w:i/>
        </w:rPr>
        <w:instrText xml:space="preserve"> </w:instrText>
      </w:r>
      <w:r w:rsidRPr="006741E0">
        <w:rPr>
          <w:i/>
        </w:rPr>
        <w:instrText>Маран</w:instrText>
      </w:r>
      <w:r w:rsidRPr="006741E0">
        <w:rPr>
          <w:i/>
        </w:rPr>
        <w:instrText xml:space="preserve">, Норберт </w:instrText>
      </w:r>
      <w:r w:rsidRPr="006741E0">
        <w:rPr>
          <w:i/>
        </w:rPr>
        <w:instrText>Линс</w:instrText>
      </w:r>
      <w:r w:rsidRPr="006741E0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417120" w:rsidRPr="006741E0" w:rsidP="00417120" w14:paraId="75E8E4F7" w14:textId="77777777">
      <w:pPr>
        <w:rPr>
          <w:vanish/>
        </w:rPr>
      </w:pPr>
      <w:bookmarkStart w:id="3" w:name="Commission"/>
      <w:r w:rsidRPr="006741E0">
        <w:rPr>
          <w:vanish/>
        </w:rPr>
        <w:t>Комисия по околна среда, климат и безопасност на храните, Комисия по транспорт и туризъм</w:t>
      </w:r>
      <w:bookmarkEnd w:id="3"/>
    </w:p>
    <w:p w:rsidR="00417120" w:rsidRPr="006741E0" w:rsidP="00417120" w14:paraId="4BD4422F" w14:textId="77777777">
      <w:pPr>
        <w:rPr>
          <w:vanish/>
        </w:rPr>
      </w:pPr>
      <w:bookmarkStart w:id="4" w:name="PE"/>
      <w:r w:rsidRPr="006741E0">
        <w:rPr>
          <w:vanish/>
        </w:rPr>
        <w:t>PE785.227</w:t>
      </w:r>
      <w:bookmarkEnd w:id="4"/>
    </w:p>
    <w:p w:rsidR="00417120" w:rsidRPr="006741E0" w:rsidP="00417120" w14:paraId="48109BD4" w14:textId="449A2BFC">
      <w:pPr>
        <w:pStyle w:val="ATHeading3"/>
      </w:pPr>
      <w:bookmarkStart w:id="5" w:name="Sujet"/>
      <w:r w:rsidRPr="006741E0">
        <w:t xml:space="preserve">Законодателна резолюция на Европейския парламент от </w:t>
      </w:r>
      <w:r w:rsidR="00192B25">
        <w:rPr>
          <w:lang w:val="en-GB"/>
        </w:rPr>
        <w:t xml:space="preserve">28 </w:t>
      </w:r>
      <w:r w:rsidR="00192B25">
        <w:t>април</w:t>
      </w:r>
      <w:r w:rsidRPr="006741E0">
        <w:t xml:space="preserve"> 2026 г. относно позицията на Съвета на първо четене с оглед на приемането на регламент на Европейския парламент и на Съвета относно отчитането на емисиите на парникови газове от транспортните услуги</w:t>
      </w:r>
      <w:bookmarkEnd w:id="5"/>
      <w:r w:rsidRPr="006741E0">
        <w:t xml:space="preserve"> </w:t>
      </w:r>
      <w:bookmarkStart w:id="6" w:name="References"/>
      <w:r w:rsidRPr="006741E0">
        <w:t>(15614/2025 – C9-0305/2023 – 2023/0266(COD))</w:t>
      </w:r>
      <w:bookmarkEnd w:id="6"/>
    </w:p>
    <w:p w:rsidR="00417120" w:rsidRPr="006741E0" w:rsidP="00417120" w14:paraId="17EDA99C" w14:textId="77777777"/>
    <w:p w:rsidR="00762ADB" w:rsidRPr="006741E0" w:rsidP="00762ADB" w14:paraId="049E51F0" w14:textId="77777777">
      <w:pPr>
        <w:pStyle w:val="NormalBold"/>
      </w:pPr>
      <w:bookmarkStart w:id="7" w:name="TextBodyBegin"/>
      <w:bookmarkEnd w:id="7"/>
      <w:r w:rsidRPr="006741E0">
        <w:t>(Обикновена законодателна процедура: второ четене)</w:t>
      </w:r>
    </w:p>
    <w:p w:rsidR="00762ADB" w:rsidRPr="006741E0" w:rsidP="00762ADB" w14:paraId="48BA28BF" w14:textId="77777777">
      <w:pPr>
        <w:pStyle w:val="EPComma"/>
      </w:pPr>
      <w:r w:rsidRPr="006741E0">
        <w:rPr>
          <w:i/>
        </w:rPr>
        <w:t>Европейският парламент</w:t>
      </w:r>
      <w:r w:rsidRPr="006741E0">
        <w:t>,</w:t>
      </w:r>
    </w:p>
    <w:p w:rsidR="00762ADB" w:rsidRPr="006741E0" w:rsidP="00762ADB" w14:paraId="28BA08F2" w14:textId="77777777">
      <w:pPr>
        <w:pStyle w:val="NormalHanging12a"/>
      </w:pPr>
      <w:r w:rsidRPr="006741E0">
        <w:t>–</w:t>
      </w:r>
      <w:r w:rsidRPr="006741E0">
        <w:tab/>
        <w:t>като взе предвид позицията на Съвета на първо четене (15614/2025 – C9</w:t>
      </w:r>
      <w:r w:rsidRPr="006741E0">
        <w:noBreakHyphen/>
        <w:t>0305/2023),</w:t>
      </w:r>
    </w:p>
    <w:p w:rsidR="00762ADB" w:rsidRPr="006741E0" w:rsidP="00762ADB" w14:paraId="03F5F26D" w14:textId="77777777">
      <w:pPr>
        <w:pStyle w:val="NormalHanging12a"/>
      </w:pPr>
      <w:r w:rsidRPr="006741E0">
        <w:t>–</w:t>
      </w:r>
      <w:r w:rsidRPr="006741E0">
        <w:tab/>
        <w:t>като взе предвид становището на Европейския икономически и социален комитет от 25 октомври 2023 г.</w:t>
      </w:r>
      <w:r>
        <w:rPr>
          <w:rStyle w:val="FootnoteReference"/>
        </w:rPr>
        <w:footnoteReference w:id="2"/>
      </w:r>
      <w:r w:rsidRPr="006741E0">
        <w:t>,</w:t>
      </w:r>
    </w:p>
    <w:p w:rsidR="00762ADB" w:rsidRPr="006741E0" w:rsidP="00762ADB" w14:paraId="0D61F028" w14:textId="77777777">
      <w:pPr>
        <w:pStyle w:val="NormalHanging12a"/>
      </w:pPr>
      <w:r w:rsidRPr="006741E0">
        <w:t>–</w:t>
      </w:r>
      <w:r w:rsidRPr="006741E0">
        <w:tab/>
        <w:t>като взе предвид становището на Комитета на регионите от 1 февруари 2024 г.</w:t>
      </w:r>
      <w:r>
        <w:rPr>
          <w:rStyle w:val="FootnoteReference"/>
        </w:rPr>
        <w:footnoteReference w:id="3"/>
      </w:r>
      <w:r w:rsidRPr="006741E0">
        <w:t>,</w:t>
      </w:r>
    </w:p>
    <w:p w:rsidR="00762ADB" w:rsidRPr="006741E0" w:rsidP="00762ADB" w14:paraId="0146D69F" w14:textId="13F06714">
      <w:pPr>
        <w:pStyle w:val="NormalHanging12a"/>
      </w:pPr>
      <w:r w:rsidRPr="006741E0">
        <w:t>–</w:t>
      </w:r>
      <w:r w:rsidRPr="006741E0">
        <w:tab/>
        <w:t>като взе предвид позицията си на първо четене</w:t>
      </w:r>
      <w:r>
        <w:rPr>
          <w:rStyle w:val="FootnoteReference"/>
        </w:rPr>
        <w:footnoteReference w:id="4"/>
      </w:r>
      <w:r w:rsidRPr="006741E0">
        <w:t xml:space="preserve"> относно предложението на Комисията до </w:t>
      </w:r>
      <w:r w:rsidR="00192B25">
        <w:t>П</w:t>
      </w:r>
      <w:r w:rsidRPr="006741E0">
        <w:t>арламент</w:t>
      </w:r>
      <w:r w:rsidR="00192B25">
        <w:t>а</w:t>
      </w:r>
      <w:r w:rsidRPr="006741E0">
        <w:t xml:space="preserve"> и до Съвета (COM(2023)0441),</w:t>
      </w:r>
    </w:p>
    <w:p w:rsidR="00762ADB" w:rsidRPr="006741E0" w:rsidP="00762ADB" w14:paraId="15A44C0F" w14:textId="77777777">
      <w:pPr>
        <w:pStyle w:val="NormalHanging12a"/>
      </w:pPr>
      <w:r w:rsidRPr="006741E0">
        <w:t>–</w:t>
      </w:r>
      <w:r w:rsidRPr="006741E0">
        <w:tab/>
        <w:t>като взе предвид член 294, параграф 7 от Договора за функционирането на Европейския съюз,</w:t>
      </w:r>
    </w:p>
    <w:p w:rsidR="00762ADB" w:rsidRPr="006741E0" w:rsidP="00762ADB" w14:paraId="5B069B10" w14:textId="77777777">
      <w:pPr>
        <w:pStyle w:val="NormalHanging12a"/>
      </w:pPr>
      <w:r w:rsidRPr="006741E0">
        <w:t>–</w:t>
      </w:r>
      <w:r w:rsidRPr="006741E0">
        <w:tab/>
        <w:t>като взе предвид временното споразумение, одобрено от компетентната комисия в съответствие с член 75, параграф 4 от Правилника за дейността,</w:t>
      </w:r>
    </w:p>
    <w:p w:rsidR="00762ADB" w:rsidRPr="006741E0" w:rsidP="00762ADB" w14:paraId="2777A252" w14:textId="77777777">
      <w:pPr>
        <w:pStyle w:val="NormalHanging12a"/>
      </w:pPr>
      <w:r w:rsidRPr="006741E0">
        <w:t>–</w:t>
      </w:r>
      <w:r w:rsidRPr="006741E0">
        <w:tab/>
        <w:t>като взе предвид член 68 от своя Правилник за дейността,</w:t>
      </w:r>
    </w:p>
    <w:p w:rsidR="00762ADB" w:rsidRPr="006741E0" w:rsidP="00762ADB" w14:paraId="339AFC5B" w14:textId="77777777">
      <w:pPr>
        <w:pStyle w:val="NormalHanging12a"/>
      </w:pPr>
      <w:r w:rsidRPr="006741E0">
        <w:t>–</w:t>
      </w:r>
      <w:r w:rsidRPr="006741E0">
        <w:tab/>
        <w:t>като взе предвид препоръката за второ четене на комисията по околна среда, обществено здраве и безопасност на храните и на комисията по транспорт и туризъм (A10-0062/2026),</w:t>
      </w:r>
    </w:p>
    <w:p w:rsidR="00762ADB" w:rsidRPr="006741E0" w:rsidP="00762ADB" w14:paraId="5BCFFD5B" w14:textId="77777777">
      <w:pPr>
        <w:pStyle w:val="NormalHanging12a"/>
      </w:pPr>
      <w:r w:rsidRPr="006741E0">
        <w:t>1.</w:t>
      </w:r>
      <w:r w:rsidRPr="006741E0">
        <w:tab/>
        <w:t>одобрява позицията на Съвета на първо четене;</w:t>
      </w:r>
    </w:p>
    <w:p w:rsidR="00762ADB" w:rsidRPr="006741E0" w:rsidP="00762ADB" w14:paraId="55378524" w14:textId="77777777">
      <w:pPr>
        <w:pStyle w:val="NormalHanging12a"/>
      </w:pPr>
      <w:r w:rsidRPr="006741E0">
        <w:t>2.</w:t>
      </w:r>
      <w:r w:rsidRPr="006741E0">
        <w:tab/>
        <w:t>констатира, че актът е приет в съответствие с позицията на Съвета;</w:t>
      </w:r>
    </w:p>
    <w:p w:rsidR="00762ADB" w:rsidRPr="006741E0" w:rsidP="00762ADB" w14:paraId="4DFBA44C" w14:textId="77777777">
      <w:pPr>
        <w:pStyle w:val="NormalHanging12a"/>
      </w:pPr>
      <w:r w:rsidRPr="006741E0">
        <w:t>3.</w:t>
      </w:r>
      <w:r w:rsidRPr="006741E0">
        <w:tab/>
        <w:t>възлага на своя председател да подпише акта заедно с председателя на Съвета в съответствие с член 297, параграф 1 от Договора за функционирането на Европейския съюз;</w:t>
      </w:r>
    </w:p>
    <w:p w:rsidR="00762ADB" w:rsidRPr="006741E0" w:rsidP="00762ADB" w14:paraId="49DAD8DE" w14:textId="77777777">
      <w:pPr>
        <w:pStyle w:val="NormalHanging12a"/>
      </w:pPr>
      <w:r w:rsidRPr="006741E0">
        <w:t>4.</w:t>
      </w:r>
      <w:r w:rsidRPr="006741E0">
        <w:tab/>
        <w:t xml:space="preserve">възлага на своя генерален секретар да подпише акта след проверка на надлежното изпълнение на всички процедури и да пристъпи заедно с генералния секретар на Съвета към публикуването му в </w:t>
      </w:r>
      <w:r w:rsidRPr="006741E0">
        <w:rPr>
          <w:i/>
          <w:iCs/>
        </w:rPr>
        <w:t>Официален вестник на Европейския съюз</w:t>
      </w:r>
      <w:r w:rsidRPr="006741E0">
        <w:t>;</w:t>
      </w:r>
    </w:p>
    <w:p w:rsidR="006741E0" w:rsidRPr="006741E0" w:rsidP="006741E0" w14:paraId="6BBE8DA5" w14:textId="45AFA86A">
      <w:pPr>
        <w:pStyle w:val="NormalHanging12a"/>
      </w:pPr>
      <w:r w:rsidRPr="006741E0">
        <w:t>5.</w:t>
      </w:r>
      <w:r w:rsidRPr="006741E0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E365E1" w:rsidRPr="006741E0" w:rsidP="00417120" w14:paraId="2B811614" w14:textId="31937805"/>
    <w:sectPr w:rsidSect="006741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741E0" w14:paraId="794DFC67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741E0" w14:paraId="03F1A0A7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741E0" w14:paraId="7C35A7E3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17120" w:rsidRPr="006741E0" w14:paraId="12CE90DF" w14:textId="77777777">
      <w:r w:rsidRPr="006741E0">
        <w:separator/>
      </w:r>
    </w:p>
  </w:footnote>
  <w:footnote w:type="continuationSeparator" w:id="1">
    <w:p w:rsidR="00417120" w:rsidRPr="006741E0" w14:paraId="0A7FA44E" w14:textId="77777777">
      <w:r w:rsidRPr="006741E0">
        <w:continuationSeparator/>
      </w:r>
    </w:p>
  </w:footnote>
  <w:footnote w:id="2">
    <w:p w:rsidR="00762ADB" w:rsidRPr="006741E0" w:rsidP="006741E0" w14:paraId="07612EED" w14:textId="202EB14B">
      <w:pPr>
        <w:pStyle w:val="FootnoteText"/>
        <w:ind w:left="567" w:hanging="567"/>
        <w:rPr>
          <w:sz w:val="24"/>
          <w:szCs w:val="24"/>
          <w:lang w:val="bg-BG"/>
        </w:rPr>
      </w:pPr>
      <w:r w:rsidRPr="006741E0">
        <w:rPr>
          <w:rStyle w:val="FootnoteReference"/>
          <w:sz w:val="24"/>
          <w:lang w:val="bg-BG"/>
        </w:rPr>
        <w:footnoteRef/>
      </w:r>
      <w:r w:rsidRPr="006741E0" w:rsidR="006741E0">
        <w:rPr>
          <w:sz w:val="24"/>
          <w:lang w:val="bg-BG"/>
        </w:rPr>
        <w:t xml:space="preserve"> </w:t>
      </w:r>
      <w:r w:rsidRPr="006741E0" w:rsidR="006741E0">
        <w:rPr>
          <w:sz w:val="24"/>
          <w:lang w:val="bg-BG"/>
        </w:rPr>
        <w:tab/>
      </w:r>
      <w:r w:rsidRPr="006741E0">
        <w:rPr>
          <w:sz w:val="24"/>
          <w:lang w:val="bg-BG"/>
        </w:rPr>
        <w:t xml:space="preserve">ОВ C, C/2024/890, 6.2.2024 г., ELI: </w:t>
      </w:r>
      <w:hyperlink r:id="rId1" w:tgtFrame="_blank" w:tooltip="Предоставя достъп до този документ чрез неговия ELI URI." w:history="1">
        <w:r w:rsidRPr="006741E0">
          <w:rPr>
            <w:rStyle w:val="Hyperlink"/>
            <w:sz w:val="24"/>
            <w:lang w:val="bg-BG"/>
          </w:rPr>
          <w:t>http://data.europa.eu/eli/C/2024/890/oj</w:t>
        </w:r>
      </w:hyperlink>
      <w:r w:rsidRPr="006741E0">
        <w:rPr>
          <w:sz w:val="24"/>
          <w:lang w:val="bg-BG"/>
        </w:rPr>
        <w:t xml:space="preserve"> </w:t>
      </w:r>
    </w:p>
  </w:footnote>
  <w:footnote w:id="3">
    <w:p w:rsidR="00762ADB" w:rsidRPr="006741E0" w:rsidP="006741E0" w14:paraId="3651DC1E" w14:textId="4FC79D3D">
      <w:pPr>
        <w:pStyle w:val="FootnoteText"/>
        <w:ind w:left="567" w:hanging="567"/>
        <w:rPr>
          <w:sz w:val="24"/>
          <w:szCs w:val="24"/>
          <w:lang w:val="bg-BG"/>
        </w:rPr>
      </w:pPr>
      <w:r w:rsidRPr="006741E0">
        <w:rPr>
          <w:rStyle w:val="FootnoteReference"/>
          <w:sz w:val="24"/>
          <w:lang w:val="bg-BG"/>
        </w:rPr>
        <w:footnoteRef/>
      </w:r>
      <w:r w:rsidRPr="006741E0" w:rsidR="006741E0">
        <w:rPr>
          <w:sz w:val="24"/>
          <w:lang w:val="bg-BG"/>
        </w:rPr>
        <w:t xml:space="preserve"> </w:t>
      </w:r>
      <w:r w:rsidRPr="006741E0" w:rsidR="006741E0">
        <w:rPr>
          <w:sz w:val="24"/>
          <w:lang w:val="bg-BG"/>
        </w:rPr>
        <w:tab/>
      </w:r>
      <w:r w:rsidRPr="006741E0">
        <w:rPr>
          <w:sz w:val="24"/>
          <w:lang w:val="bg-BG"/>
        </w:rPr>
        <w:t xml:space="preserve">ОВ C, C/2024/1982, 18.3.2024 г., ELI: </w:t>
      </w:r>
      <w:hyperlink r:id="rId2" w:tgtFrame="_blank" w:tooltip="Предоставя достъп до този документ чрез неговия ELI URI." w:history="1">
        <w:r w:rsidRPr="006741E0">
          <w:rPr>
            <w:rStyle w:val="Hyperlink"/>
            <w:sz w:val="24"/>
            <w:lang w:val="bg-BG"/>
          </w:rPr>
          <w:t>http://data.europa.eu/eli/C/2024/1982/oj</w:t>
        </w:r>
      </w:hyperlink>
    </w:p>
  </w:footnote>
  <w:footnote w:id="4">
    <w:p w:rsidR="00762ADB" w:rsidRPr="006741E0" w:rsidP="006741E0" w14:paraId="7D763034" w14:textId="5B6FBC06">
      <w:pPr>
        <w:pStyle w:val="FootnoteText"/>
        <w:ind w:left="567" w:hanging="567"/>
        <w:rPr>
          <w:sz w:val="24"/>
          <w:lang w:val="bg-BG"/>
        </w:rPr>
      </w:pPr>
      <w:r w:rsidRPr="006741E0">
        <w:rPr>
          <w:rStyle w:val="FootnoteReference"/>
          <w:sz w:val="24"/>
          <w:szCs w:val="24"/>
          <w:lang w:val="bg-BG"/>
        </w:rPr>
        <w:footnoteRef/>
      </w:r>
      <w:r w:rsidRPr="006741E0" w:rsidR="006741E0">
        <w:rPr>
          <w:sz w:val="24"/>
          <w:lang w:val="bg-BG"/>
        </w:rPr>
        <w:t xml:space="preserve"> </w:t>
      </w:r>
      <w:r w:rsidRPr="006741E0" w:rsidR="006741E0">
        <w:rPr>
          <w:sz w:val="24"/>
          <w:lang w:val="bg-BG"/>
        </w:rPr>
        <w:tab/>
      </w:r>
      <w:r w:rsidRPr="006741E0">
        <w:rPr>
          <w:sz w:val="24"/>
          <w:lang w:val="bg-BG"/>
        </w:rPr>
        <w:t xml:space="preserve">OВ C, C/2025/1313, 13.3.2025 г., ELI: </w:t>
      </w:r>
      <w:hyperlink r:id="rId3" w:tgtFrame="_blank" w:tooltip="Предоставя достъп до този документ чрез неговия ELI URI." w:history="1">
        <w:r w:rsidRPr="006741E0">
          <w:rPr>
            <w:rStyle w:val="Hyperlink"/>
            <w:sz w:val="24"/>
            <w:lang w:val="bg-BG"/>
          </w:rPr>
          <w:t>http://data.europa.eu/eli/C/2025/1313/oj</w:t>
        </w:r>
      </w:hyperlink>
      <w:r w:rsidRPr="006741E0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741E0" w14:paraId="099C945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741E0" w14:paraId="77A3589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741E0" w14:paraId="6AA74CB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50086866">
    <w:abstractNumId w:val="9"/>
  </w:num>
  <w:num w:numId="2" w16cid:durableId="1657567869">
    <w:abstractNumId w:val="9"/>
  </w:num>
  <w:num w:numId="3" w16cid:durableId="1174952811">
    <w:abstractNumId w:val="7"/>
  </w:num>
  <w:num w:numId="4" w16cid:durableId="325522486">
    <w:abstractNumId w:val="7"/>
  </w:num>
  <w:num w:numId="5" w16cid:durableId="1406220682">
    <w:abstractNumId w:val="6"/>
  </w:num>
  <w:num w:numId="6" w16cid:durableId="1054543676">
    <w:abstractNumId w:val="6"/>
  </w:num>
  <w:num w:numId="7" w16cid:durableId="517547707">
    <w:abstractNumId w:val="5"/>
  </w:num>
  <w:num w:numId="8" w16cid:durableId="1259093337">
    <w:abstractNumId w:val="5"/>
  </w:num>
  <w:num w:numId="9" w16cid:durableId="971598201">
    <w:abstractNumId w:val="4"/>
  </w:num>
  <w:num w:numId="10" w16cid:durableId="382294419">
    <w:abstractNumId w:val="4"/>
  </w:num>
  <w:num w:numId="11" w16cid:durableId="2043701550">
    <w:abstractNumId w:val="8"/>
  </w:num>
  <w:num w:numId="12" w16cid:durableId="1424760410">
    <w:abstractNumId w:val="8"/>
  </w:num>
  <w:num w:numId="13" w16cid:durableId="689768422">
    <w:abstractNumId w:val="3"/>
  </w:num>
  <w:num w:numId="14" w16cid:durableId="2135364780">
    <w:abstractNumId w:val="3"/>
  </w:num>
  <w:num w:numId="15" w16cid:durableId="2110347109">
    <w:abstractNumId w:val="2"/>
  </w:num>
  <w:num w:numId="16" w16cid:durableId="932515745">
    <w:abstractNumId w:val="2"/>
  </w:num>
  <w:num w:numId="17" w16cid:durableId="889341857">
    <w:abstractNumId w:val="1"/>
  </w:num>
  <w:num w:numId="18" w16cid:durableId="431509437">
    <w:abstractNumId w:val="1"/>
  </w:num>
  <w:num w:numId="19" w16cid:durableId="1027147439">
    <w:abstractNumId w:val="0"/>
  </w:num>
  <w:num w:numId="20" w16cid:durableId="1762486962">
    <w:abstractNumId w:val="0"/>
  </w:num>
  <w:num w:numId="21" w16cid:durableId="1989164641">
    <w:abstractNumId w:val="9"/>
  </w:num>
  <w:num w:numId="22" w16cid:durableId="1162743520">
    <w:abstractNumId w:val="7"/>
  </w:num>
  <w:num w:numId="23" w16cid:durableId="1666664059">
    <w:abstractNumId w:val="6"/>
  </w:num>
  <w:num w:numId="24" w16cid:durableId="1801923557">
    <w:abstractNumId w:val="5"/>
  </w:num>
  <w:num w:numId="25" w16cid:durableId="2103182844">
    <w:abstractNumId w:val="4"/>
  </w:num>
  <w:num w:numId="26" w16cid:durableId="73861294">
    <w:abstractNumId w:val="8"/>
  </w:num>
  <w:num w:numId="27" w16cid:durableId="721564769">
    <w:abstractNumId w:val="3"/>
  </w:num>
  <w:num w:numId="28" w16cid:durableId="1620526970">
    <w:abstractNumId w:val="2"/>
  </w:num>
  <w:num w:numId="29" w16cid:durableId="513033766">
    <w:abstractNumId w:val="1"/>
  </w:num>
  <w:num w:numId="30" w16cid:durableId="302392136">
    <w:abstractNumId w:val="0"/>
  </w:num>
  <w:num w:numId="31" w16cid:durableId="1875271156">
    <w:abstractNumId w:val="9"/>
  </w:num>
  <w:num w:numId="32" w16cid:durableId="611783056">
    <w:abstractNumId w:val="7"/>
  </w:num>
  <w:num w:numId="33" w16cid:durableId="1721443140">
    <w:abstractNumId w:val="6"/>
  </w:num>
  <w:num w:numId="34" w16cid:durableId="497817286">
    <w:abstractNumId w:val="5"/>
  </w:num>
  <w:num w:numId="35" w16cid:durableId="1618831097">
    <w:abstractNumId w:val="4"/>
  </w:num>
  <w:num w:numId="36" w16cid:durableId="1313556696">
    <w:abstractNumId w:val="8"/>
  </w:num>
  <w:num w:numId="37" w16cid:durableId="413472750">
    <w:abstractNumId w:val="3"/>
  </w:num>
  <w:num w:numId="38" w16cid:durableId="810901592">
    <w:abstractNumId w:val="2"/>
  </w:num>
  <w:num w:numId="39" w16cid:durableId="1610159393">
    <w:abstractNumId w:val="1"/>
  </w:num>
  <w:num w:numId="40" w16cid:durableId="923487700">
    <w:abstractNumId w:val="0"/>
  </w:num>
  <w:num w:numId="41" w16cid:durableId="278486525">
    <w:abstractNumId w:val="10"/>
  </w:num>
  <w:num w:numId="42" w16cid:durableId="1216773223">
    <w:abstractNumId w:val="10"/>
  </w:num>
  <w:num w:numId="43" w16cid:durableId="2082603685">
    <w:abstractNumId w:val="10"/>
  </w:num>
  <w:num w:numId="44" w16cid:durableId="4197164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12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2B25"/>
    <w:rsid w:val="001F32AE"/>
    <w:rsid w:val="002767FF"/>
    <w:rsid w:val="002B18FE"/>
    <w:rsid w:val="002B5493"/>
    <w:rsid w:val="002E7034"/>
    <w:rsid w:val="00343214"/>
    <w:rsid w:val="00361C00"/>
    <w:rsid w:val="00374E51"/>
    <w:rsid w:val="00395FA1"/>
    <w:rsid w:val="003E15D4"/>
    <w:rsid w:val="00411CCE"/>
    <w:rsid w:val="0041666E"/>
    <w:rsid w:val="00417120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142A"/>
    <w:rsid w:val="00560270"/>
    <w:rsid w:val="005C2568"/>
    <w:rsid w:val="005F1B17"/>
    <w:rsid w:val="006037C0"/>
    <w:rsid w:val="006631B6"/>
    <w:rsid w:val="006741E0"/>
    <w:rsid w:val="00680577"/>
    <w:rsid w:val="006F74FA"/>
    <w:rsid w:val="00731ADD"/>
    <w:rsid w:val="00734777"/>
    <w:rsid w:val="00747932"/>
    <w:rsid w:val="00751A4A"/>
    <w:rsid w:val="00756632"/>
    <w:rsid w:val="00762ADB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5C0A"/>
    <w:rsid w:val="00BD48FE"/>
    <w:rsid w:val="00BD7BD8"/>
    <w:rsid w:val="00BE6ADC"/>
    <w:rsid w:val="00C05BFE"/>
    <w:rsid w:val="00C23CD4"/>
    <w:rsid w:val="00C61C0C"/>
    <w:rsid w:val="00C941CB"/>
    <w:rsid w:val="00CB533A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062/2026"/>
    <w:docVar w:name="dvlangue" w:val="BG"/>
    <w:docVar w:name="dvnumam" w:val="0"/>
    <w:docVar w:name="dvpe" w:val="785.227"/>
    <w:docVar w:name="dvrapporteur" w:val="Докладчик: "/>
    <w:docVar w:name="dvstar" w:val="***II"/>
    <w:docVar w:name="dvtitre" w:val="Законодателна резолюция на Европейския парламент от ... 2026 г. относно позицията на Съвета на първо четене с оглед на приемането на регламент на Европейския парламент и на Съвета относно отчитането на емисиите на парникови газове от транспортните услуги(15614/2025 – C9-0305/2023 – 2023/0266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72B3E7A"/>
  <w15:chartTrackingRefBased/>
  <w15:docId w15:val="{1EDCC419-7A01-446C-9A20-5172FA2BC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62ADB"/>
    <w:pPr>
      <w:spacing w:before="480" w:after="240"/>
    </w:pPr>
  </w:style>
  <w:style w:type="paragraph" w:customStyle="1" w:styleId="NormalBold">
    <w:name w:val="NormalBold"/>
    <w:basedOn w:val="Normal"/>
    <w:rsid w:val="00762ADB"/>
    <w:rPr>
      <w:b/>
    </w:rPr>
  </w:style>
  <w:style w:type="paragraph" w:customStyle="1" w:styleId="NormalHanging12a">
    <w:name w:val="NormalHanging12a"/>
    <w:basedOn w:val="Normal"/>
    <w:rsid w:val="00762ADB"/>
    <w:pPr>
      <w:spacing w:after="240"/>
      <w:ind w:left="567" w:hanging="567"/>
    </w:pPr>
  </w:style>
  <w:style w:type="character" w:styleId="Hyperlink">
    <w:name w:val="Hyperlink"/>
    <w:basedOn w:val="DefaultParagraphFont"/>
    <w:rsid w:val="00762ADB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92B25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890/oj" TargetMode="External" /><Relationship Id="rId2" Type="http://schemas.openxmlformats.org/officeDocument/2006/relationships/hyperlink" Target="http://data.europa.eu/eli/C/2024/1982/oj" TargetMode="External" /><Relationship Id="rId3" Type="http://schemas.openxmlformats.org/officeDocument/2006/relationships/hyperlink" Target="http://data.europa.eu/eli/C/2025/131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2026-04-28T11:37:00Z</dcterms:created>
  <dcterms:modified xsi:type="dcterms:W3CDTF">2026-04-28T11:37:00Z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A10-0062/2026</vt:lpwstr>
  </property>
  <property fmtid="{D5CDD505-2E9C-101B-9397-08002B2CF9AE}" pid="4" name="&lt;Type&gt;">
    <vt:lpwstr>RR</vt:lpwstr>
  </property>
</Properties>
</file>