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6D9EE5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3C6C" w:rsidP="0010095E" w14:paraId="3B14ADE5" w14:textId="77777777">
            <w:pPr>
              <w:pStyle w:val="EPName"/>
            </w:pPr>
            <w:r w:rsidRPr="008F3C6C">
              <w:t>Evropský parlament</w:t>
            </w:r>
          </w:p>
          <w:p w:rsidR="00751A4A" w:rsidRPr="008F3C6C" w:rsidP="005F1B17" w14:paraId="235FF42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3C6C">
              <w:t>2024</w:t>
            </w:r>
            <w:r w:rsidRPr="008F3C6C" w:rsidR="00817416">
              <w:t>-202</w:t>
            </w:r>
            <w:r w:rsidRPr="008F3C6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F3C6C" w:rsidP="0010095E" w14:paraId="332613FF" w14:textId="77777777">
            <w:pPr>
              <w:pStyle w:val="EPLogo"/>
            </w:pPr>
            <w:r w:rsidRPr="008F3C6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3C6C" w:rsidP="004C5D52" w14:paraId="019924C6" w14:textId="77777777">
      <w:pPr>
        <w:pStyle w:val="LineTop"/>
      </w:pPr>
    </w:p>
    <w:p w:rsidR="00680577" w:rsidRPr="008F3C6C" w:rsidP="00680577" w14:paraId="6B247700" w14:textId="77777777">
      <w:pPr>
        <w:pStyle w:val="EPBodyTA1"/>
      </w:pPr>
      <w:r w:rsidRPr="008F3C6C">
        <w:t>PŘIJATÉ TEXTY</w:t>
      </w:r>
    </w:p>
    <w:p w:rsidR="00D058B8" w:rsidRPr="008F3C6C" w:rsidP="00D058B8" w14:paraId="70F6283E" w14:textId="77777777">
      <w:pPr>
        <w:pStyle w:val="LineBottom"/>
      </w:pPr>
    </w:p>
    <w:p w:rsidR="00C94A3D" w:rsidRPr="008F3C6C" w:rsidP="00C94A3D" w14:paraId="2E72D7D3" w14:textId="4564DE64">
      <w:pPr>
        <w:pStyle w:val="ATHeading1"/>
      </w:pPr>
      <w:bookmarkStart w:id="0" w:name="TANumber"/>
      <w:r w:rsidRPr="008F3C6C">
        <w:t>P10_</w:t>
      </w:r>
      <w:r w:rsidRPr="008F3C6C">
        <w:t>TA(</w:t>
      </w:r>
      <w:r w:rsidRPr="008F3C6C">
        <w:t>2026)0</w:t>
      </w:r>
      <w:r w:rsidR="00B45125">
        <w:t>113</w:t>
      </w:r>
      <w:bookmarkEnd w:id="0"/>
    </w:p>
    <w:p w:rsidR="00C94A3D" w:rsidRPr="008F3C6C" w:rsidP="00C94A3D" w14:paraId="06CE7287" w14:textId="6765B4C9">
      <w:pPr>
        <w:pStyle w:val="ATHeading2"/>
      </w:pPr>
      <w:r w:rsidRPr="00720F8D">
        <w:t>Započítávání emisí skleníkových plynů z dopravních služeb</w:t>
      </w:r>
    </w:p>
    <w:p w:rsidR="00C94A3D" w:rsidRPr="008F3C6C" w:rsidP="00C94A3D" w14:paraId="390C5359" w14:textId="77777777">
      <w:pPr>
        <w:rPr>
          <w:i/>
          <w:vanish/>
        </w:rPr>
      </w:pPr>
      <w:r>
        <w:rPr>
          <w:i/>
        </w:rPr>
        <w:fldChar w:fldCharType="begin"/>
      </w:r>
      <w:r w:rsidRPr="008F3C6C">
        <w:rPr>
          <w:i/>
        </w:rPr>
        <w:instrText xml:space="preserve"> TC"(</w:instrText>
      </w:r>
      <w:bookmarkStart w:id="1" w:name="DocNumber"/>
      <w:r w:rsidRPr="008F3C6C">
        <w:rPr>
          <w:i/>
        </w:rPr>
        <w:instrText>A10-0062/2026</w:instrText>
      </w:r>
      <w:bookmarkEnd w:id="1"/>
      <w:r w:rsidRPr="008F3C6C">
        <w:rPr>
          <w:i/>
        </w:rPr>
        <w:instrText xml:space="preserve"> - Zpravodajové: </w:instrText>
      </w:r>
      <w:r w:rsidRPr="008F3C6C">
        <w:rPr>
          <w:i/>
        </w:rPr>
        <w:instrText>Pierfrancesco</w:instrText>
      </w:r>
      <w:r w:rsidRPr="008F3C6C">
        <w:rPr>
          <w:i/>
        </w:rPr>
        <w:instrText xml:space="preserve"> </w:instrText>
      </w:r>
      <w:r w:rsidRPr="008F3C6C">
        <w:rPr>
          <w:i/>
        </w:rPr>
        <w:instrText>Maran</w:instrText>
      </w:r>
      <w:r w:rsidRPr="008F3C6C">
        <w:rPr>
          <w:i/>
        </w:rPr>
        <w:instrText xml:space="preserve">, Norbert </w:instrText>
      </w:r>
      <w:r w:rsidRPr="008F3C6C">
        <w:rPr>
          <w:i/>
        </w:rPr>
        <w:instrText>Lins</w:instrText>
      </w:r>
      <w:r w:rsidRPr="008F3C6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94A3D" w:rsidRPr="008F3C6C" w:rsidP="00C94A3D" w14:paraId="28E660EA" w14:textId="77777777">
      <w:pPr>
        <w:rPr>
          <w:vanish/>
        </w:rPr>
      </w:pPr>
      <w:bookmarkStart w:id="2" w:name="Commission"/>
      <w:r w:rsidRPr="008F3C6C">
        <w:rPr>
          <w:vanish/>
        </w:rPr>
        <w:t>Výbor pro životní prostředí, klima a bezpečnost potravin, Výbor pro dopravu a cestovní ruch</w:t>
      </w:r>
      <w:bookmarkEnd w:id="2"/>
    </w:p>
    <w:p w:rsidR="00C94A3D" w:rsidRPr="008F3C6C" w:rsidP="00C94A3D" w14:paraId="2920B3D8" w14:textId="77777777">
      <w:pPr>
        <w:rPr>
          <w:vanish/>
        </w:rPr>
      </w:pPr>
      <w:bookmarkStart w:id="3" w:name="PE"/>
      <w:r w:rsidRPr="008F3C6C">
        <w:rPr>
          <w:vanish/>
        </w:rPr>
        <w:t>PE785.227</w:t>
      </w:r>
      <w:bookmarkEnd w:id="3"/>
    </w:p>
    <w:p w:rsidR="00C94A3D" w:rsidRPr="008F3C6C" w:rsidP="00C94A3D" w14:paraId="66A04034" w14:textId="199170B9">
      <w:pPr>
        <w:pStyle w:val="ATHeading3"/>
      </w:pPr>
      <w:bookmarkStart w:id="4" w:name="Sujet"/>
      <w:r w:rsidRPr="008F3C6C">
        <w:t>Legislativní usnesení Evropského parlamentu ze dne</w:t>
      </w:r>
      <w:r w:rsidR="00720F8D">
        <w:t xml:space="preserve"> </w:t>
      </w:r>
      <w:r w:rsidR="00A8031C">
        <w:t>28</w:t>
      </w:r>
      <w:r w:rsidR="00720F8D">
        <w:t>. dubna</w:t>
      </w:r>
      <w:r w:rsidRPr="008F3C6C">
        <w:t xml:space="preserve"> 2026 k postoji Rady v prvním čtení k přijetí nařízení Evropského parlamentu a Rady o započítávání emisí skleníkových plynů z dopravních služeb</w:t>
      </w:r>
      <w:bookmarkEnd w:id="4"/>
      <w:r w:rsidRPr="008F3C6C">
        <w:t xml:space="preserve"> </w:t>
      </w:r>
      <w:bookmarkStart w:id="5" w:name="References"/>
      <w:r w:rsidRPr="008F3C6C">
        <w:t>(15614/2025 – C9-0305/</w:t>
      </w:r>
      <w:r w:rsidRPr="008F3C6C">
        <w:t>2023 – 2023</w:t>
      </w:r>
      <w:r w:rsidRPr="008F3C6C">
        <w:t>/0266(COD))</w:t>
      </w:r>
      <w:bookmarkEnd w:id="5"/>
    </w:p>
    <w:p w:rsidR="00C94A3D" w:rsidRPr="008F3C6C" w:rsidP="00C94A3D" w14:paraId="2CCC09D2" w14:textId="77777777"/>
    <w:p w:rsidR="007573F5" w:rsidRPr="008F3C6C" w:rsidP="007573F5" w14:paraId="0B29ECFA" w14:textId="77777777">
      <w:pPr>
        <w:tabs>
          <w:tab w:val="center" w:pos="4819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outlineLvl w:val="0"/>
      </w:pPr>
      <w:bookmarkStart w:id="6" w:name="TextBodyBegin"/>
      <w:bookmarkEnd w:id="6"/>
      <w:r w:rsidRPr="008F3C6C">
        <w:t>(</w:t>
      </w:r>
      <w:r w:rsidRPr="008F3C6C">
        <w:rPr>
          <w:b/>
        </w:rPr>
        <w:t>Řádný legislativní postup: druhé čtení</w:t>
      </w:r>
      <w:r w:rsidRPr="008F3C6C">
        <w:t>)</w:t>
      </w:r>
    </w:p>
    <w:p w:rsidR="007573F5" w:rsidRPr="008F3C6C" w:rsidP="007573F5" w14:paraId="6274E5B2" w14:textId="77777777">
      <w:pPr>
        <w:pStyle w:val="EPComma"/>
      </w:pPr>
      <w:r w:rsidRPr="008F3C6C">
        <w:rPr>
          <w:i/>
        </w:rPr>
        <w:t>Evropský parlament</w:t>
      </w:r>
      <w:r w:rsidRPr="008F3C6C">
        <w:t>,</w:t>
      </w:r>
    </w:p>
    <w:p w:rsidR="007573F5" w:rsidRPr="008F3C6C" w:rsidP="007573F5" w14:paraId="399CC451" w14:textId="77777777">
      <w:pPr>
        <w:pStyle w:val="NormalHanging12a"/>
      </w:pPr>
      <w:r w:rsidRPr="008F3C6C">
        <w:t>–</w:t>
      </w:r>
      <w:r w:rsidRPr="008F3C6C">
        <w:tab/>
        <w:t>s ohledem na postoj Rady v prvním čtení (15614/2025 – C9</w:t>
      </w:r>
      <w:r w:rsidRPr="008F3C6C">
        <w:noBreakHyphen/>
        <w:t>0305/2023),</w:t>
      </w:r>
    </w:p>
    <w:p w:rsidR="007573F5" w:rsidRPr="008F3C6C" w:rsidP="007573F5" w14:paraId="4E242B6B" w14:textId="77777777">
      <w:pPr>
        <w:pStyle w:val="NormalHanging12a"/>
      </w:pPr>
      <w:r w:rsidRPr="008F3C6C">
        <w:t>–</w:t>
      </w:r>
      <w:r w:rsidRPr="008F3C6C">
        <w:tab/>
        <w:t>s ohledem na stanovisko Evropského hospodářského a sociálního výboru ze dne 25. října 2023</w:t>
      </w:r>
      <w:r>
        <w:rPr>
          <w:rStyle w:val="FootnoteReference"/>
        </w:rPr>
        <w:footnoteReference w:id="2"/>
      </w:r>
      <w:r w:rsidRPr="008F3C6C">
        <w:t>,</w:t>
      </w:r>
    </w:p>
    <w:p w:rsidR="007573F5" w:rsidRPr="008F3C6C" w:rsidP="007573F5" w14:paraId="5CA29976" w14:textId="77777777">
      <w:pPr>
        <w:pStyle w:val="NormalHanging12a"/>
      </w:pPr>
      <w:r w:rsidRPr="008F3C6C">
        <w:t>–</w:t>
      </w:r>
      <w:r w:rsidRPr="008F3C6C">
        <w:tab/>
        <w:t>s ohledem na stanovisko Výboru regionů ze dne 1. února 2024</w:t>
      </w:r>
      <w:r>
        <w:rPr>
          <w:rStyle w:val="FootnoteReference"/>
        </w:rPr>
        <w:footnoteReference w:id="3"/>
      </w:r>
      <w:r w:rsidRPr="008F3C6C">
        <w:t>,</w:t>
      </w:r>
    </w:p>
    <w:p w:rsidR="007573F5" w:rsidRPr="008F3C6C" w:rsidP="007573F5" w14:paraId="64E62BCA" w14:textId="77777777">
      <w:pPr>
        <w:pStyle w:val="NormalHanging12a"/>
      </w:pPr>
      <w:r w:rsidRPr="008F3C6C">
        <w:t>–</w:t>
      </w:r>
      <w:r w:rsidRPr="008F3C6C">
        <w:tab/>
        <w:t>s ohledem na svůj postoj v prvním čtení</w:t>
      </w:r>
      <w:r>
        <w:rPr>
          <w:rStyle w:val="FootnoteReference"/>
        </w:rPr>
        <w:footnoteReference w:id="4"/>
      </w:r>
      <w:r w:rsidRPr="008F3C6C">
        <w:t xml:space="preserve"> k návrhu Komise Evropskému parlamentu a Radě (</w:t>
      </w:r>
      <w:r w:rsidRPr="008F3C6C">
        <w:t>COM(</w:t>
      </w:r>
      <w:r w:rsidRPr="008F3C6C">
        <w:t>2023)0441),</w:t>
      </w:r>
    </w:p>
    <w:p w:rsidR="007573F5" w:rsidRPr="008F3C6C" w:rsidP="007573F5" w14:paraId="6D2AE21C" w14:textId="77777777">
      <w:pPr>
        <w:pStyle w:val="NormalHanging12a"/>
      </w:pPr>
      <w:r w:rsidRPr="008F3C6C">
        <w:t>–</w:t>
      </w:r>
      <w:r w:rsidRPr="008F3C6C">
        <w:tab/>
        <w:t>s ohledem na čl. 294 odst. 7 Smlouvy o fungování Evropské unie,</w:t>
      </w:r>
    </w:p>
    <w:p w:rsidR="007573F5" w:rsidRPr="008F3C6C" w:rsidP="007573F5" w14:paraId="2131446F" w14:textId="77777777">
      <w:pPr>
        <w:pStyle w:val="NormalHanging12a"/>
      </w:pPr>
      <w:r w:rsidRPr="008F3C6C">
        <w:t>–</w:t>
      </w:r>
      <w:r w:rsidRPr="008F3C6C">
        <w:tab/>
        <w:t>s ohledem na předběžnou dohodu přijatou příslušnými výbory podle čl. 75 odst. 4 jednacího řádu,</w:t>
      </w:r>
    </w:p>
    <w:p w:rsidR="007573F5" w:rsidRPr="008F3C6C" w:rsidP="007573F5" w14:paraId="7A1B1E54" w14:textId="77777777">
      <w:pPr>
        <w:pStyle w:val="NormalHanging12a"/>
      </w:pPr>
      <w:r w:rsidRPr="008F3C6C">
        <w:t>–</w:t>
      </w:r>
      <w:r w:rsidRPr="008F3C6C">
        <w:tab/>
        <w:t>s ohledem na článek 68 jednacího řádu,</w:t>
      </w:r>
    </w:p>
    <w:p w:rsidR="007573F5" w:rsidRPr="008F3C6C" w:rsidP="007573F5" w14:paraId="7D676BB5" w14:textId="77777777">
      <w:pPr>
        <w:pStyle w:val="NormalHanging12a"/>
      </w:pPr>
      <w:r w:rsidRPr="008F3C6C">
        <w:t>–</w:t>
      </w:r>
      <w:r w:rsidRPr="008F3C6C">
        <w:tab/>
        <w:t>s ohledem na doporučení pro druhé čtení Výboru pro životní prostředí, klima a bezpečnost potravin a Výboru pro dopravu a cestovní ruch (A10</w:t>
      </w:r>
      <w:r w:rsidRPr="008F3C6C">
        <w:noBreakHyphen/>
        <w:t>0062/2026),</w:t>
      </w:r>
    </w:p>
    <w:p w:rsidR="007573F5" w:rsidRPr="008F3C6C" w:rsidP="007573F5" w14:paraId="039BEDE0" w14:textId="77777777">
      <w:pPr>
        <w:pStyle w:val="NormalHanging12a"/>
      </w:pPr>
      <w:r w:rsidRPr="008F3C6C">
        <w:t>1.</w:t>
      </w:r>
      <w:r w:rsidRPr="008F3C6C">
        <w:tab/>
        <w:t>schvaluje postoj Rady v prvním čtení;</w:t>
      </w:r>
    </w:p>
    <w:p w:rsidR="007573F5" w:rsidRPr="008F3C6C" w:rsidP="007573F5" w14:paraId="10016C3D" w14:textId="77777777">
      <w:pPr>
        <w:pStyle w:val="NormalHanging12a"/>
      </w:pPr>
      <w:r w:rsidRPr="008F3C6C">
        <w:t>2.</w:t>
      </w:r>
      <w:r w:rsidRPr="008F3C6C">
        <w:tab/>
        <w:t>konstatuje, že akt je přijat v souladu s postojem Rady;</w:t>
      </w:r>
    </w:p>
    <w:p w:rsidR="007573F5" w:rsidRPr="008F3C6C" w:rsidP="007573F5" w14:paraId="21A22D0A" w14:textId="77777777">
      <w:pPr>
        <w:pStyle w:val="NormalHanging12a"/>
      </w:pPr>
      <w:r w:rsidRPr="008F3C6C">
        <w:t>3.</w:t>
      </w:r>
      <w:r w:rsidRPr="008F3C6C">
        <w:tab/>
        <w:t>pověřuje svou předsedkyni, aby společně s předsedou Rady podepsala akt podle čl. 297 odst. 1 Smlouvy o fungování Evropské unie;</w:t>
      </w:r>
    </w:p>
    <w:p w:rsidR="007573F5" w:rsidRPr="008F3C6C" w:rsidP="007573F5" w14:paraId="65A69A0B" w14:textId="77777777">
      <w:pPr>
        <w:pStyle w:val="NormalHanging12a"/>
      </w:pPr>
      <w:r w:rsidRPr="008F3C6C">
        <w:t>4.</w:t>
      </w:r>
      <w:r w:rsidRPr="008F3C6C">
        <w:tab/>
        <w:t>pověřuje svého generálního tajemníka, aby akt podepsal poté, co ověří, že všechny postupy byly řádně ukončeny, a aby společně s generální tajemnicí Rady zajistil jeho zveřejnění v </w:t>
      </w:r>
      <w:r w:rsidRPr="008F3C6C">
        <w:rPr>
          <w:i/>
          <w:iCs/>
        </w:rPr>
        <w:t>Úředním věstníku Evropské unie</w:t>
      </w:r>
      <w:r w:rsidRPr="008F3C6C">
        <w:t>;</w:t>
      </w:r>
    </w:p>
    <w:p w:rsidR="008F3C6C" w:rsidRPr="008F3C6C" w:rsidP="008F3C6C" w14:paraId="437087CA" w14:textId="7FB042F9">
      <w:pPr>
        <w:pStyle w:val="NormalHanging12a"/>
      </w:pPr>
      <w:r w:rsidRPr="008F3C6C">
        <w:t>5.</w:t>
      </w:r>
      <w:r w:rsidRPr="008F3C6C">
        <w:tab/>
        <w:t>pověřuje svou předsedkyni, aby předala postoj Parlamentu Radě</w:t>
      </w:r>
      <w:r w:rsidR="00A8031C">
        <w:t xml:space="preserve"> a</w:t>
      </w:r>
      <w:r w:rsidRPr="008F3C6C">
        <w:t xml:space="preserve"> Komisi, jakož i vnitrostátním parlamentům.</w:t>
      </w:r>
    </w:p>
    <w:p w:rsidR="00E365E1" w:rsidRPr="008F3C6C" w:rsidP="00C94A3D" w14:paraId="1274F294" w14:textId="101382AE"/>
    <w:sectPr w:rsidSect="008F3C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41D53A6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2260056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3759605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94A3D" w:rsidRPr="008F3C6C" w14:paraId="59F3287F" w14:textId="77777777">
      <w:r w:rsidRPr="008F3C6C">
        <w:separator/>
      </w:r>
    </w:p>
  </w:footnote>
  <w:footnote w:type="continuationSeparator" w:id="1">
    <w:p w:rsidR="00C94A3D" w:rsidRPr="008F3C6C" w14:paraId="2CBC57B6" w14:textId="77777777">
      <w:r w:rsidRPr="008F3C6C">
        <w:continuationSeparator/>
      </w:r>
    </w:p>
  </w:footnote>
  <w:footnote w:id="2">
    <w:p w:rsidR="007573F5" w:rsidRPr="008F3C6C" w:rsidP="008F3C6C" w14:paraId="206A1DDD" w14:textId="74315076">
      <w:pPr>
        <w:pStyle w:val="FootnoteText"/>
        <w:ind w:left="567" w:hanging="567"/>
        <w:rPr>
          <w:sz w:val="24"/>
          <w:szCs w:val="24"/>
          <w:lang w:val="cs-CZ"/>
        </w:rPr>
      </w:pPr>
      <w:r w:rsidRPr="008F3C6C">
        <w:rPr>
          <w:rStyle w:val="FootnoteReference"/>
          <w:sz w:val="24"/>
          <w:lang w:val="cs-CZ"/>
        </w:rPr>
        <w:footnoteRef/>
      </w:r>
      <w:r w:rsidRPr="008F3C6C" w:rsidR="008F3C6C">
        <w:rPr>
          <w:sz w:val="24"/>
          <w:lang w:val="cs-CZ"/>
        </w:rPr>
        <w:t xml:space="preserve"> </w:t>
      </w:r>
      <w:r w:rsidRPr="008F3C6C" w:rsidR="008F3C6C">
        <w:rPr>
          <w:sz w:val="24"/>
          <w:lang w:val="cs-CZ"/>
        </w:rPr>
        <w:tab/>
      </w:r>
      <w:r w:rsidRPr="008F3C6C">
        <w:rPr>
          <w:sz w:val="24"/>
          <w:lang w:val="cs-CZ"/>
        </w:rPr>
        <w:t>Úř</w:t>
      </w:r>
      <w:r w:rsidRPr="008F3C6C">
        <w:rPr>
          <w:sz w:val="24"/>
          <w:lang w:val="cs-CZ"/>
        </w:rPr>
        <w:t xml:space="preserve">. </w:t>
      </w:r>
      <w:r w:rsidRPr="008F3C6C">
        <w:rPr>
          <w:sz w:val="24"/>
          <w:lang w:val="cs-CZ"/>
        </w:rPr>
        <w:t>věst</w:t>
      </w:r>
      <w:r w:rsidRPr="008F3C6C">
        <w:rPr>
          <w:sz w:val="24"/>
          <w:lang w:val="cs-CZ"/>
        </w:rPr>
        <w:t xml:space="preserve">. C, C/2024/890, 6.2.2024, ELI: </w:t>
      </w:r>
      <w:hyperlink r:id="rId1" w:tgtFrame="_blank" w:tooltip="Umožňuje přístup k tomuto dokumentu prostřednictvím jeho identifikátoru ELI URI." w:history="1">
        <w:r w:rsidRPr="008F3C6C">
          <w:rPr>
            <w:rStyle w:val="Hyperlink"/>
            <w:sz w:val="24"/>
            <w:lang w:val="cs-CZ"/>
          </w:rPr>
          <w:t>http://data.europa.eu/eli/C/2024/890/oj</w:t>
        </w:r>
      </w:hyperlink>
      <w:r w:rsidRPr="008F3C6C">
        <w:rPr>
          <w:sz w:val="24"/>
          <w:lang w:val="cs-CZ"/>
        </w:rPr>
        <w:t>.</w:t>
      </w:r>
    </w:p>
  </w:footnote>
  <w:footnote w:id="3">
    <w:p w:rsidR="007573F5" w:rsidRPr="008F3C6C" w:rsidP="008F3C6C" w14:paraId="22087031" w14:textId="0C43C53F">
      <w:pPr>
        <w:pStyle w:val="FootnoteText"/>
        <w:ind w:left="567" w:hanging="567"/>
        <w:rPr>
          <w:sz w:val="24"/>
          <w:szCs w:val="24"/>
          <w:lang w:val="cs-CZ"/>
        </w:rPr>
      </w:pPr>
      <w:r w:rsidRPr="008F3C6C">
        <w:rPr>
          <w:rStyle w:val="FootnoteReference"/>
          <w:sz w:val="24"/>
          <w:lang w:val="cs-CZ"/>
        </w:rPr>
        <w:footnoteRef/>
      </w:r>
      <w:r w:rsidRPr="008F3C6C" w:rsidR="008F3C6C">
        <w:rPr>
          <w:sz w:val="24"/>
          <w:lang w:val="cs-CZ"/>
        </w:rPr>
        <w:t xml:space="preserve"> </w:t>
      </w:r>
      <w:r w:rsidRPr="008F3C6C" w:rsidR="008F3C6C">
        <w:rPr>
          <w:sz w:val="24"/>
          <w:lang w:val="cs-CZ"/>
        </w:rPr>
        <w:tab/>
      </w:r>
      <w:r w:rsidRPr="008F3C6C">
        <w:rPr>
          <w:sz w:val="24"/>
          <w:lang w:val="cs-CZ"/>
        </w:rPr>
        <w:t>Úř</w:t>
      </w:r>
      <w:r w:rsidRPr="008F3C6C">
        <w:rPr>
          <w:sz w:val="24"/>
          <w:lang w:val="cs-CZ"/>
        </w:rPr>
        <w:t xml:space="preserve">. </w:t>
      </w:r>
      <w:r w:rsidRPr="008F3C6C">
        <w:rPr>
          <w:sz w:val="24"/>
          <w:lang w:val="cs-CZ"/>
        </w:rPr>
        <w:t>věst</w:t>
      </w:r>
      <w:r w:rsidRPr="008F3C6C">
        <w:rPr>
          <w:sz w:val="24"/>
          <w:lang w:val="cs-CZ"/>
        </w:rPr>
        <w:t xml:space="preserve">. C, C/2024/1982, 18.3.2024, ELI: </w:t>
      </w:r>
      <w:hyperlink r:id="rId2" w:tgtFrame="_blank" w:tooltip="Umožňuje přístup k tomuto dokumentu prostřednictvím jeho identifikátoru ELI URI." w:history="1">
        <w:r w:rsidRPr="008F3C6C">
          <w:rPr>
            <w:rStyle w:val="Hyperlink"/>
            <w:sz w:val="24"/>
            <w:lang w:val="cs-CZ"/>
          </w:rPr>
          <w:t>http://data.europa.eu/eli/C/2024/1982/oj</w:t>
        </w:r>
      </w:hyperlink>
      <w:r w:rsidRPr="008F3C6C">
        <w:rPr>
          <w:rStyle w:val="Hyperlink"/>
          <w:sz w:val="24"/>
          <w:lang w:val="cs-CZ"/>
        </w:rPr>
        <w:t>.</w:t>
      </w:r>
    </w:p>
  </w:footnote>
  <w:footnote w:id="4">
    <w:p w:rsidR="007573F5" w:rsidRPr="008F3C6C" w:rsidP="008F3C6C" w14:paraId="38C4D786" w14:textId="755645BE">
      <w:pPr>
        <w:pStyle w:val="FootnoteText"/>
        <w:ind w:left="567" w:hanging="567"/>
        <w:rPr>
          <w:sz w:val="24"/>
          <w:lang w:val="cs-CZ"/>
        </w:rPr>
      </w:pPr>
      <w:r w:rsidRPr="008F3C6C">
        <w:rPr>
          <w:rStyle w:val="FootnoteReference"/>
          <w:sz w:val="24"/>
          <w:szCs w:val="24"/>
          <w:lang w:val="cs-CZ"/>
        </w:rPr>
        <w:footnoteRef/>
      </w:r>
      <w:r w:rsidRPr="008F3C6C" w:rsidR="008F3C6C">
        <w:rPr>
          <w:sz w:val="24"/>
          <w:lang w:val="cs-CZ"/>
        </w:rPr>
        <w:t xml:space="preserve"> </w:t>
      </w:r>
      <w:r w:rsidRPr="008F3C6C" w:rsidR="008F3C6C">
        <w:rPr>
          <w:sz w:val="24"/>
          <w:lang w:val="cs-CZ"/>
        </w:rPr>
        <w:tab/>
      </w:r>
      <w:r w:rsidRPr="008F3C6C">
        <w:rPr>
          <w:sz w:val="24"/>
          <w:lang w:val="cs-CZ"/>
        </w:rPr>
        <w:t>Úř</w:t>
      </w:r>
      <w:r w:rsidRPr="008F3C6C">
        <w:rPr>
          <w:sz w:val="24"/>
          <w:lang w:val="cs-CZ"/>
        </w:rPr>
        <w:t xml:space="preserve">. </w:t>
      </w:r>
      <w:r w:rsidRPr="008F3C6C">
        <w:rPr>
          <w:sz w:val="24"/>
          <w:lang w:val="cs-CZ"/>
        </w:rPr>
        <w:t>věst</w:t>
      </w:r>
      <w:r w:rsidRPr="008F3C6C">
        <w:rPr>
          <w:sz w:val="24"/>
          <w:lang w:val="cs-CZ"/>
        </w:rPr>
        <w:t xml:space="preserve">. C, C/2025/1313, 13.3.2025, ELI: </w:t>
      </w:r>
      <w:hyperlink r:id="rId3" w:tgtFrame="_blank" w:tooltip="Umožňuje přístup k tomuto dokumentu prostřednictvím jeho identifikátoru ELI URI." w:history="1">
        <w:r w:rsidRPr="008F3C6C">
          <w:rPr>
            <w:rStyle w:val="Hyperlink"/>
            <w:sz w:val="24"/>
            <w:lang w:val="cs-CZ"/>
          </w:rPr>
          <w:t>http://data.europa.eu/eli/C/2025/1313/oj</w:t>
        </w:r>
      </w:hyperlink>
      <w:r w:rsidRPr="008F3C6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6B1FA7F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18F96A3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3C6C" w14:paraId="56DA663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2110429">
    <w:abstractNumId w:val="9"/>
  </w:num>
  <w:num w:numId="2" w16cid:durableId="1926110765">
    <w:abstractNumId w:val="9"/>
  </w:num>
  <w:num w:numId="3" w16cid:durableId="1574702098">
    <w:abstractNumId w:val="7"/>
  </w:num>
  <w:num w:numId="4" w16cid:durableId="591403155">
    <w:abstractNumId w:val="7"/>
  </w:num>
  <w:num w:numId="5" w16cid:durableId="320549071">
    <w:abstractNumId w:val="6"/>
  </w:num>
  <w:num w:numId="6" w16cid:durableId="1108770605">
    <w:abstractNumId w:val="6"/>
  </w:num>
  <w:num w:numId="7" w16cid:durableId="1724674586">
    <w:abstractNumId w:val="5"/>
  </w:num>
  <w:num w:numId="8" w16cid:durableId="73674471">
    <w:abstractNumId w:val="5"/>
  </w:num>
  <w:num w:numId="9" w16cid:durableId="340162319">
    <w:abstractNumId w:val="4"/>
  </w:num>
  <w:num w:numId="10" w16cid:durableId="147984322">
    <w:abstractNumId w:val="4"/>
  </w:num>
  <w:num w:numId="11" w16cid:durableId="922184934">
    <w:abstractNumId w:val="8"/>
  </w:num>
  <w:num w:numId="12" w16cid:durableId="1546020935">
    <w:abstractNumId w:val="8"/>
  </w:num>
  <w:num w:numId="13" w16cid:durableId="1821967831">
    <w:abstractNumId w:val="3"/>
  </w:num>
  <w:num w:numId="14" w16cid:durableId="848718172">
    <w:abstractNumId w:val="3"/>
  </w:num>
  <w:num w:numId="15" w16cid:durableId="1608848534">
    <w:abstractNumId w:val="2"/>
  </w:num>
  <w:num w:numId="16" w16cid:durableId="1068116360">
    <w:abstractNumId w:val="2"/>
  </w:num>
  <w:num w:numId="17" w16cid:durableId="1848137389">
    <w:abstractNumId w:val="1"/>
  </w:num>
  <w:num w:numId="18" w16cid:durableId="936183026">
    <w:abstractNumId w:val="1"/>
  </w:num>
  <w:num w:numId="19" w16cid:durableId="1927691530">
    <w:abstractNumId w:val="0"/>
  </w:num>
  <w:num w:numId="20" w16cid:durableId="393313249">
    <w:abstractNumId w:val="0"/>
  </w:num>
  <w:num w:numId="21" w16cid:durableId="74713550">
    <w:abstractNumId w:val="9"/>
  </w:num>
  <w:num w:numId="22" w16cid:durableId="575745907">
    <w:abstractNumId w:val="7"/>
  </w:num>
  <w:num w:numId="23" w16cid:durableId="144395437">
    <w:abstractNumId w:val="6"/>
  </w:num>
  <w:num w:numId="24" w16cid:durableId="1048261711">
    <w:abstractNumId w:val="5"/>
  </w:num>
  <w:num w:numId="25" w16cid:durableId="1597400696">
    <w:abstractNumId w:val="4"/>
  </w:num>
  <w:num w:numId="26" w16cid:durableId="1748183011">
    <w:abstractNumId w:val="8"/>
  </w:num>
  <w:num w:numId="27" w16cid:durableId="2067491588">
    <w:abstractNumId w:val="3"/>
  </w:num>
  <w:num w:numId="28" w16cid:durableId="1485244841">
    <w:abstractNumId w:val="2"/>
  </w:num>
  <w:num w:numId="29" w16cid:durableId="198058092">
    <w:abstractNumId w:val="1"/>
  </w:num>
  <w:num w:numId="30" w16cid:durableId="629552160">
    <w:abstractNumId w:val="0"/>
  </w:num>
  <w:num w:numId="31" w16cid:durableId="1920097977">
    <w:abstractNumId w:val="9"/>
  </w:num>
  <w:num w:numId="32" w16cid:durableId="3408082">
    <w:abstractNumId w:val="7"/>
  </w:num>
  <w:num w:numId="33" w16cid:durableId="1429228384">
    <w:abstractNumId w:val="6"/>
  </w:num>
  <w:num w:numId="34" w16cid:durableId="921646210">
    <w:abstractNumId w:val="5"/>
  </w:num>
  <w:num w:numId="35" w16cid:durableId="190841796">
    <w:abstractNumId w:val="4"/>
  </w:num>
  <w:num w:numId="36" w16cid:durableId="439182220">
    <w:abstractNumId w:val="8"/>
  </w:num>
  <w:num w:numId="37" w16cid:durableId="1164131240">
    <w:abstractNumId w:val="3"/>
  </w:num>
  <w:num w:numId="38" w16cid:durableId="1323314838">
    <w:abstractNumId w:val="2"/>
  </w:num>
  <w:num w:numId="39" w16cid:durableId="1866017043">
    <w:abstractNumId w:val="1"/>
  </w:num>
  <w:num w:numId="40" w16cid:durableId="393740435">
    <w:abstractNumId w:val="0"/>
  </w:num>
  <w:num w:numId="41" w16cid:durableId="685056054">
    <w:abstractNumId w:val="10"/>
  </w:num>
  <w:num w:numId="42" w16cid:durableId="977153105">
    <w:abstractNumId w:val="10"/>
  </w:num>
  <w:num w:numId="43" w16cid:durableId="945577153">
    <w:abstractNumId w:val="10"/>
  </w:num>
  <w:num w:numId="44" w16cid:durableId="1421946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3D"/>
    <w:rsid w:val="00002272"/>
    <w:rsid w:val="000514AC"/>
    <w:rsid w:val="00064002"/>
    <w:rsid w:val="000677B9"/>
    <w:rsid w:val="000831BA"/>
    <w:rsid w:val="000A42CC"/>
    <w:rsid w:val="000D6B9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0F8D"/>
    <w:rsid w:val="00731ADD"/>
    <w:rsid w:val="00734777"/>
    <w:rsid w:val="00747932"/>
    <w:rsid w:val="00751A4A"/>
    <w:rsid w:val="00756632"/>
    <w:rsid w:val="007573F5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C6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31C"/>
    <w:rsid w:val="00A846AF"/>
    <w:rsid w:val="00AB441E"/>
    <w:rsid w:val="00AB6293"/>
    <w:rsid w:val="00AE0928"/>
    <w:rsid w:val="00AF3B82"/>
    <w:rsid w:val="00B12E95"/>
    <w:rsid w:val="00B22876"/>
    <w:rsid w:val="00B45125"/>
    <w:rsid w:val="00B558F0"/>
    <w:rsid w:val="00B723D6"/>
    <w:rsid w:val="00BD48FE"/>
    <w:rsid w:val="00BD7BD8"/>
    <w:rsid w:val="00BE6ADC"/>
    <w:rsid w:val="00C05BFE"/>
    <w:rsid w:val="00C23CD4"/>
    <w:rsid w:val="00C61C0C"/>
    <w:rsid w:val="00C941CB"/>
    <w:rsid w:val="00C94A3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CS"/>
    <w:docVar w:name="dvnumam" w:val="0"/>
    <w:docVar w:name="dvpe" w:val="785.227"/>
    <w:docVar w:name="dvrapporteur" w:val="Zpravodajové: "/>
    <w:docVar w:name="dvstar" w:val="***II"/>
    <w:docVar w:name="dvtitre" w:val="Legislativní usnesení Evropského parlamentu ze dne.... 2026 k postoji Rady v prvním čtení k přijetí nařízení Evropského parlamentu a Rady o započítávání emisí skleníkových plynů z dopravních služeb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37FB70"/>
  <w15:chartTrackingRefBased/>
  <w15:docId w15:val="{69065AE4-47A5-4079-BCCF-4618DD37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73F5"/>
    <w:pPr>
      <w:spacing w:before="480" w:after="240"/>
    </w:pPr>
  </w:style>
  <w:style w:type="paragraph" w:customStyle="1" w:styleId="NormalHanging12a">
    <w:name w:val="NormalHanging12a"/>
    <w:basedOn w:val="Normal"/>
    <w:rsid w:val="007573F5"/>
    <w:pPr>
      <w:spacing w:after="240"/>
      <w:ind w:left="567" w:hanging="567"/>
    </w:pPr>
  </w:style>
  <w:style w:type="character" w:styleId="Hyperlink">
    <w:name w:val="Hyperlink"/>
    <w:basedOn w:val="DefaultParagraphFont"/>
    <w:rsid w:val="007573F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8031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249</Words>
  <Characters>1634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2026-04-28T11:11:00Z</dcterms:created>
  <dcterms:modified xsi:type="dcterms:W3CDTF">2026-04-28T11:11:00Z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