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F94C9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13DE" w:rsidP="0010095E" w14:paraId="281C820A" w14:textId="36E1AC40">
            <w:pPr>
              <w:pStyle w:val="EPName"/>
            </w:pPr>
            <w:r w:rsidRPr="007A13DE">
              <w:t>Европейски</w:t>
            </w:r>
            <w:r w:rsidRPr="007A13DE" w:rsidR="00E95F9C">
              <w:t xml:space="preserve"> парламент</w:t>
            </w:r>
          </w:p>
          <w:p w:rsidR="00751A4A" w:rsidRPr="007A13DE" w:rsidP="005F1B17" w14:paraId="68B56F5B" w14:textId="4D44264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13DE">
              <w:t>2024</w:t>
            </w:r>
            <w:r w:rsidR="00253C65">
              <w:t> – </w:t>
            </w:r>
            <w:r w:rsidRPr="007A13DE" w:rsidR="00817416">
              <w:t>202</w:t>
            </w:r>
            <w:r w:rsidRPr="007A13D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A13DE" w:rsidP="0010095E" w14:paraId="137DD8F8" w14:textId="77777777">
            <w:pPr>
              <w:pStyle w:val="EPLogo"/>
            </w:pPr>
            <w:r w:rsidRPr="007A13D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13DE" w:rsidP="004C5D52" w14:paraId="3FFBA33B" w14:textId="77777777">
      <w:pPr>
        <w:pStyle w:val="LineTop"/>
      </w:pPr>
    </w:p>
    <w:p w:rsidR="00680577" w:rsidRPr="007A13DE" w:rsidP="00680577" w14:paraId="33B1E3A1" w14:textId="77777777">
      <w:pPr>
        <w:pStyle w:val="EPBodyTA1"/>
      </w:pPr>
      <w:r w:rsidRPr="007A13DE">
        <w:t>ПРИЕТИ ТЕКСТОВЕ</w:t>
      </w:r>
    </w:p>
    <w:p w:rsidR="00D058B8" w:rsidRPr="007A13DE" w:rsidP="00D058B8" w14:paraId="4A765F1F" w14:textId="77777777">
      <w:pPr>
        <w:pStyle w:val="LineBottom"/>
      </w:pPr>
    </w:p>
    <w:p w:rsidR="00E95F9C" w:rsidRPr="007A13DE" w:rsidP="00E95F9C" w14:paraId="3A2BF49D" w14:textId="4864F327">
      <w:pPr>
        <w:pStyle w:val="ATHeading1"/>
      </w:pPr>
      <w:bookmarkStart w:id="0" w:name="TANumber"/>
      <w:r w:rsidRPr="007A13DE">
        <w:t>P</w:t>
      </w:r>
      <w:r w:rsidR="005D7E89">
        <w:t>10</w:t>
      </w:r>
      <w:r w:rsidRPr="007A13DE">
        <w:t>_TA(2026)0</w:t>
      </w:r>
      <w:r w:rsidR="00366474">
        <w:rPr>
          <w:lang w:val="en-GB"/>
        </w:rPr>
        <w:t>114</w:t>
      </w:r>
      <w:bookmarkEnd w:id="0"/>
    </w:p>
    <w:p w:rsidR="00E95F9C" w:rsidRPr="007A13DE" w:rsidP="00E95F9C" w14:paraId="43540865" w14:textId="77777777">
      <w:pPr>
        <w:pStyle w:val="ATHeading2"/>
      </w:pPr>
      <w:bookmarkStart w:id="1" w:name="title"/>
      <w:r w:rsidRPr="007A13DE">
        <w:t>Обща схема от тарифни преференции</w:t>
      </w:r>
      <w:bookmarkEnd w:id="1"/>
    </w:p>
    <w:p w:rsidR="00E95F9C" w:rsidRPr="007A13DE" w:rsidP="00E95F9C" w14:paraId="09D2F0F9" w14:textId="53DB3028">
      <w:pPr>
        <w:rPr>
          <w:i/>
          <w:vanish/>
        </w:rPr>
      </w:pPr>
      <w:r>
        <w:rPr>
          <w:i/>
        </w:rPr>
        <w:fldChar w:fldCharType="begin"/>
      </w:r>
      <w:r w:rsidRPr="007A13DE">
        <w:rPr>
          <w:i/>
        </w:rPr>
        <w:instrText xml:space="preserve"> TC"(</w:instrText>
      </w:r>
      <w:bookmarkStart w:id="2" w:name="DocNumber"/>
      <w:r w:rsidRPr="007A13DE">
        <w:rPr>
          <w:i/>
        </w:rPr>
        <w:instrText>A9-0147/2022</w:instrText>
      </w:r>
      <w:bookmarkEnd w:id="2"/>
      <w:r w:rsidRPr="007A13DE">
        <w:rPr>
          <w:i/>
        </w:rPr>
        <w:instrText xml:space="preserve"> - Докладчик: </w:instrText>
      </w:r>
      <w:r w:rsidR="002E5C7A">
        <w:rPr>
          <w:i/>
        </w:rPr>
        <w:instrText>Бернд Ланге</w:instrText>
      </w:r>
      <w:r w:rsidRPr="007A13D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95F9C" w:rsidRPr="007A13DE" w:rsidP="00E95F9C" w14:paraId="7C73319B" w14:textId="77777777">
      <w:pPr>
        <w:rPr>
          <w:vanish/>
        </w:rPr>
      </w:pPr>
      <w:bookmarkStart w:id="3" w:name="Commission"/>
      <w:r w:rsidRPr="007A13DE">
        <w:rPr>
          <w:vanish/>
        </w:rPr>
        <w:t>Комисия по международна търговия</w:t>
      </w:r>
      <w:bookmarkEnd w:id="3"/>
    </w:p>
    <w:p w:rsidR="00E95F9C" w:rsidRPr="007A13DE" w:rsidP="00E95F9C" w14:paraId="6A430D81" w14:textId="77777777">
      <w:pPr>
        <w:rPr>
          <w:vanish/>
        </w:rPr>
      </w:pPr>
      <w:bookmarkStart w:id="4" w:name="PE"/>
      <w:r w:rsidRPr="007A13DE">
        <w:rPr>
          <w:vanish/>
        </w:rPr>
        <w:t>PE703.100</w:t>
      </w:r>
      <w:bookmarkEnd w:id="4"/>
    </w:p>
    <w:p w:rsidR="00E95F9C" w:rsidRPr="007A13DE" w:rsidP="00E95F9C" w14:paraId="2969F3FE" w14:textId="1AD361C6">
      <w:pPr>
        <w:pStyle w:val="ATHeading3"/>
      </w:pPr>
      <w:bookmarkStart w:id="5" w:name="Sujet"/>
      <w:r w:rsidRPr="007A13DE">
        <w:t xml:space="preserve">Законодателна резолюция на Европейския парламент от </w:t>
      </w:r>
      <w:r w:rsidRPr="00366474" w:rsidR="009960E0">
        <w:rPr>
          <w:lang w:val="ru-RU"/>
        </w:rPr>
        <w:t>28</w:t>
      </w:r>
      <w:r w:rsidR="000F22B3">
        <w:t xml:space="preserve"> април</w:t>
      </w:r>
      <w:r w:rsidRPr="007A13DE" w:rsidR="000F22B3">
        <w:t xml:space="preserve"> </w:t>
      </w:r>
      <w:r w:rsidRPr="007A13DE">
        <w:t>2026 г. относно предложението за регламент на Европейския парламент и на Съвета за прилагане на обща схема от тарифни преференции и за отмяна на Регламент (ЕС) № 978/2012 на Европейския парламент и на Съвета</w:t>
      </w:r>
      <w:bookmarkEnd w:id="5"/>
      <w:r w:rsidRPr="007A13DE">
        <w:t xml:space="preserve"> </w:t>
      </w:r>
      <w:bookmarkStart w:id="6" w:name="References"/>
      <w:r w:rsidRPr="007A13DE">
        <w:t>(COM(2021)0579 – C9-0364/2021– 2021/0297(COD))</w:t>
      </w:r>
      <w:bookmarkEnd w:id="6"/>
    </w:p>
    <w:p w:rsidR="002F5554" w:rsidRPr="007A13DE" w:rsidP="002F5554" w14:paraId="3C68323D" w14:textId="77777777">
      <w:pPr>
        <w:rPr>
          <w:b/>
        </w:rPr>
      </w:pPr>
      <w:r w:rsidRPr="007A13DE">
        <w:rPr>
          <w:b/>
        </w:rPr>
        <w:t>(Обикновена законодателна процедура: първо четене)</w:t>
      </w:r>
    </w:p>
    <w:p w:rsidR="002F5554" w:rsidRPr="007A13DE" w:rsidP="002F5554" w14:paraId="045C357E" w14:textId="77777777">
      <w:pPr>
        <w:spacing w:before="480" w:after="240"/>
      </w:pPr>
      <w:r w:rsidRPr="007A13DE">
        <w:rPr>
          <w:i/>
        </w:rPr>
        <w:t>Европейският парламент</w:t>
      </w:r>
      <w:r w:rsidRPr="007A13DE">
        <w:t>,</w:t>
      </w:r>
    </w:p>
    <w:p w:rsidR="002F5554" w:rsidRPr="007A13DE" w:rsidP="002F5554" w14:paraId="607CC264" w14:textId="3F17BDF6">
      <w:pPr>
        <w:spacing w:after="240"/>
        <w:ind w:left="567" w:hanging="567"/>
      </w:pPr>
      <w:r w:rsidRPr="007A13DE">
        <w:t>–</w:t>
      </w:r>
      <w:r w:rsidRPr="007A13DE">
        <w:tab/>
        <w:t xml:space="preserve">като взе предвид предложението на Комисията до </w:t>
      </w:r>
      <w:r w:rsidR="000F22B3">
        <w:t>П</w:t>
      </w:r>
      <w:r w:rsidRPr="007A13DE">
        <w:t>арламент</w:t>
      </w:r>
      <w:r w:rsidR="000F22B3">
        <w:t>а</w:t>
      </w:r>
      <w:r w:rsidRPr="007A13DE">
        <w:t xml:space="preserve"> и до Съвета (COM(2021)0579),</w:t>
      </w:r>
    </w:p>
    <w:p w:rsidR="002F5554" w:rsidRPr="007A13DE" w:rsidP="002F5554" w14:paraId="2D3A6932" w14:textId="0CDF4B01">
      <w:pPr>
        <w:spacing w:after="240"/>
        <w:ind w:left="567" w:hanging="567"/>
      </w:pPr>
      <w:r w:rsidRPr="007A13DE">
        <w:t>–</w:t>
      </w:r>
      <w:r w:rsidRPr="007A13DE">
        <w:tab/>
        <w:t>като взе предвид член 294, параграф 2 и член 207, параграф </w:t>
      </w:r>
      <w:r w:rsidRPr="00366474" w:rsidR="009960E0">
        <w:rPr>
          <w:lang w:val="ru-RU"/>
        </w:rPr>
        <w:t>2</w:t>
      </w:r>
      <w:r w:rsidRPr="007A13DE">
        <w:t xml:space="preserve"> от Договора за функционирането на Европейския съюз, съгласно които Комисията е внесла предложението в Парламента (C9-0364/2021),</w:t>
      </w:r>
    </w:p>
    <w:p w:rsidR="002F5554" w:rsidRPr="00366474" w:rsidP="002F5554" w14:paraId="34E26819" w14:textId="77777777">
      <w:pPr>
        <w:spacing w:after="240"/>
        <w:ind w:left="567" w:hanging="567"/>
        <w:rPr>
          <w:lang w:val="ru-RU"/>
        </w:rPr>
      </w:pPr>
      <w:r w:rsidRPr="007A13DE">
        <w:rPr>
          <w:rFonts w:ascii="Symbol" w:hAnsi="Symbol"/>
        </w:rPr>
        <w:sym w:font="Symbol" w:char="F02D"/>
      </w:r>
      <w:r w:rsidRPr="007A13DE">
        <w:tab/>
        <w:t>като взе предвид член 294, параграф 3 от Договора за функционирането на Европейския съюз,</w:t>
      </w:r>
    </w:p>
    <w:p w:rsidR="009960E0" w:rsidRPr="009960E0" w:rsidP="002F5554" w14:paraId="35A1F91C" w14:textId="63CA64F1">
      <w:pPr>
        <w:spacing w:after="240"/>
        <w:ind w:left="567" w:hanging="567"/>
        <w:rPr>
          <w:szCs w:val="24"/>
        </w:rPr>
      </w:pPr>
      <w:r>
        <w:t>–</w:t>
      </w:r>
      <w:r>
        <w:tab/>
      </w:r>
      <w:r w:rsidRPr="009960E0"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1</w:t>
      </w:r>
      <w:r>
        <w:t>9</w:t>
      </w:r>
      <w:r w:rsidRPr="009960E0">
        <w:t xml:space="preserve"> декември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2F5554" w:rsidRPr="007A13DE" w:rsidP="002F5554" w14:paraId="6CC0651D" w14:textId="6D4D2786">
      <w:pPr>
        <w:spacing w:after="240"/>
        <w:ind w:left="567" w:hanging="567"/>
      </w:pPr>
      <w:r w:rsidRPr="007A13DE">
        <w:t>–</w:t>
      </w:r>
      <w:r w:rsidRPr="007A13DE">
        <w:tab/>
        <w:t>като взе предвид член </w:t>
      </w:r>
      <w:r w:rsidRPr="00366474" w:rsidR="009960E0">
        <w:rPr>
          <w:lang w:val="ru-RU"/>
        </w:rPr>
        <w:t>60</w:t>
      </w:r>
      <w:r w:rsidRPr="007A13DE">
        <w:t xml:space="preserve"> от своя Правилник за дейността,</w:t>
      </w:r>
    </w:p>
    <w:p w:rsidR="002F5554" w:rsidRPr="007A13DE" w:rsidP="002F5554" w14:paraId="2BF4082A" w14:textId="77777777">
      <w:pPr>
        <w:spacing w:after="240"/>
        <w:ind w:left="567" w:hanging="567"/>
        <w:rPr>
          <w:color w:val="000000"/>
        </w:rPr>
      </w:pPr>
      <w:r w:rsidRPr="007A13DE">
        <w:t>–</w:t>
      </w:r>
      <w:r w:rsidRPr="007A13DE">
        <w:tab/>
        <w:t>като взе предвид становищата на комисията по външни работи и на комисията по развитие,</w:t>
      </w:r>
    </w:p>
    <w:p w:rsidR="002F5554" w:rsidRPr="007A13DE" w:rsidP="002F5554" w14:paraId="4BEA0C33" w14:textId="77777777">
      <w:pPr>
        <w:spacing w:after="240"/>
        <w:ind w:left="567" w:hanging="567"/>
      </w:pPr>
      <w:r w:rsidRPr="007A13DE">
        <w:t>–</w:t>
      </w:r>
      <w:r w:rsidRPr="007A13DE">
        <w:tab/>
        <w:t>като взе предвид доклада на комисията по международна търговия (A9-0147/2022),</w:t>
      </w:r>
    </w:p>
    <w:p w:rsidR="002F5554" w:rsidRPr="007A13DE" w:rsidP="002F5554" w14:paraId="6CE2CB4E" w14:textId="77777777">
      <w:pPr>
        <w:spacing w:after="240"/>
        <w:ind w:left="567" w:hanging="570"/>
      </w:pPr>
      <w:r w:rsidRPr="007A13DE">
        <w:t>1.</w:t>
      </w:r>
      <w:r w:rsidRPr="007A13DE">
        <w:tab/>
        <w:t>приема изложената по-долу позиция на първо четене;</w:t>
      </w:r>
    </w:p>
    <w:p w:rsidR="002F5554" w:rsidRPr="007A13DE" w:rsidP="002F5554" w14:paraId="539E53D0" w14:textId="77777777">
      <w:pPr>
        <w:spacing w:after="240"/>
        <w:ind w:left="567" w:hanging="570"/>
      </w:pPr>
      <w:r w:rsidRPr="007A13DE">
        <w:t>2.</w:t>
      </w:r>
      <w:r w:rsidRPr="007A13D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2F5554" w:rsidRPr="007A13DE" w:rsidP="002F5554" w14:paraId="7C0242BA" w14:textId="77777777">
      <w:pPr>
        <w:spacing w:after="240"/>
        <w:ind w:left="567" w:hanging="570"/>
      </w:pPr>
    </w:p>
    <w:p w:rsidR="005D7E89" w:rsidP="002F5554" w14:paraId="4226E8B7" w14:textId="77777777">
      <w:pPr>
        <w:pStyle w:val="AMNumberTabs0"/>
        <w:keepNext/>
        <w:sectPr w:rsidSect="007A13DE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D7E89" w:rsidP="005D7E89" w14:paraId="33A7D386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P10_TC1-COD(202</w:t>
      </w:r>
      <w:r>
        <w:rPr>
          <w:rFonts w:eastAsia="Calibri"/>
          <w:b/>
          <w:bCs/>
          <w:color w:val="000000"/>
          <w:szCs w:val="24"/>
        </w:rPr>
        <w:t>1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297</w:t>
      </w:r>
    </w:p>
    <w:p w:rsidR="005D7E89" w:rsidP="005D7E89" w14:paraId="524FD70C" w14:textId="3C05DB67">
      <w:pPr>
        <w:autoSpaceDE w:val="0"/>
        <w:autoSpaceDN w:val="0"/>
        <w:adjustRightInd w:val="0"/>
        <w:spacing w:after="24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5D7E89">
        <w:rPr>
          <w:b/>
          <w:szCs w:val="24"/>
        </w:rPr>
        <w:t>четене на 28 април 2026 г. с оглед на приемането на Регламент (ЕС) 2026/... на Европе</w:t>
      </w:r>
      <w:r w:rsidRPr="00900F1D">
        <w:rPr>
          <w:b/>
          <w:szCs w:val="24"/>
        </w:rPr>
        <w:t xml:space="preserve">йския парламент и на Съвета </w:t>
      </w:r>
      <w:r w:rsidRPr="00143B92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за прилагане на </w:t>
      </w:r>
      <w:r w:rsidRPr="00A1445E">
        <w:rPr>
          <w:rFonts w:eastAsia="Aptos"/>
          <w:b/>
          <w:kern w:val="2"/>
          <w:szCs w:val="24"/>
          <w:lang w:eastAsia="en-US"/>
          <w14:ligatures w14:val="standardContextual"/>
        </w:rPr>
        <w:t>обща</w:t>
      </w:r>
      <w:r w:rsidRPr="00143B92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схема от тарифни преференции и за отмяна на Регламент (ЕС) №</w:t>
      </w:r>
      <w:r>
        <w:rPr>
          <w:rFonts w:eastAsia="Aptos"/>
          <w:b/>
          <w:kern w:val="2"/>
          <w:szCs w:val="24"/>
          <w:lang w:val="en-GB" w:eastAsia="en-US"/>
          <w14:ligatures w14:val="standardContextual"/>
        </w:rPr>
        <w:t> </w:t>
      </w:r>
      <w:r w:rsidRPr="00143B92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978/2012 </w:t>
      </w:r>
    </w:p>
    <w:p w:rsidR="00A1445E" w:rsidRPr="00A1445E" w:rsidP="00A1445E" w14:paraId="3138E117" w14:textId="27887825">
      <w:pPr>
        <w:widowControl/>
        <w:spacing w:before="240"/>
        <w:rPr>
          <w:i/>
          <w:szCs w:val="24"/>
        </w:rPr>
      </w:pPr>
      <w:r w:rsidRPr="00A1445E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Регламент (ЕС) </w:t>
      </w:r>
      <w:r w:rsidRPr="00A1445E">
        <w:rPr>
          <w:i/>
          <w:szCs w:val="24"/>
          <w:lang w:val="fr-FR"/>
        </w:rPr>
        <w:t>202</w:t>
      </w:r>
      <w:r w:rsidRPr="00A1445E">
        <w:rPr>
          <w:i/>
          <w:szCs w:val="24"/>
          <w:lang w:val="en-GB"/>
        </w:rPr>
        <w:t>6</w:t>
      </w:r>
      <w:r w:rsidRPr="00A1445E">
        <w:rPr>
          <w:i/>
          <w:szCs w:val="24"/>
        </w:rPr>
        <w:t>/</w:t>
      </w:r>
      <w:r w:rsidRPr="00A1445E">
        <w:rPr>
          <w:i/>
          <w:szCs w:val="24"/>
        </w:rPr>
        <w:t>1395</w:t>
      </w:r>
      <w:r w:rsidRPr="00A1445E">
        <w:rPr>
          <w:i/>
          <w:szCs w:val="24"/>
        </w:rPr>
        <w:t>.)</w:t>
      </w:r>
    </w:p>
    <w:p w:rsidR="00A1445E" w:rsidP="005D7E89" w14:paraId="50CAA07B" w14:textId="77777777">
      <w:pPr>
        <w:autoSpaceDE w:val="0"/>
        <w:autoSpaceDN w:val="0"/>
        <w:adjustRightInd w:val="0"/>
        <w:spacing w:after="240"/>
        <w:rPr>
          <w:rFonts w:eastAsia="Aptos"/>
          <w:b/>
          <w:kern w:val="2"/>
          <w:szCs w:val="24"/>
          <w:lang w:eastAsia="en-US"/>
          <w14:ligatures w14:val="standardContextual"/>
        </w:rPr>
      </w:pPr>
    </w:p>
    <w:sectPr w:rsidSect="00A1445E"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52739577">
    <w:abstractNumId w:val="0"/>
  </w:num>
  <w:num w:numId="2" w16cid:durableId="923026857">
    <w:abstractNumId w:val="7"/>
  </w:num>
  <w:num w:numId="3" w16cid:durableId="1256604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9C"/>
    <w:rsid w:val="00002272"/>
    <w:rsid w:val="00064002"/>
    <w:rsid w:val="000677B9"/>
    <w:rsid w:val="000831BA"/>
    <w:rsid w:val="000948DE"/>
    <w:rsid w:val="000A42CC"/>
    <w:rsid w:val="000E7DD9"/>
    <w:rsid w:val="000F22B3"/>
    <w:rsid w:val="0010095E"/>
    <w:rsid w:val="00125B37"/>
    <w:rsid w:val="00143B92"/>
    <w:rsid w:val="00163A3B"/>
    <w:rsid w:val="00187494"/>
    <w:rsid w:val="001F32AE"/>
    <w:rsid w:val="00253C65"/>
    <w:rsid w:val="002767FF"/>
    <w:rsid w:val="002A0B9F"/>
    <w:rsid w:val="002B18FE"/>
    <w:rsid w:val="002B5493"/>
    <w:rsid w:val="002E5C7A"/>
    <w:rsid w:val="002F5554"/>
    <w:rsid w:val="00343214"/>
    <w:rsid w:val="00361C00"/>
    <w:rsid w:val="00366474"/>
    <w:rsid w:val="00376F7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42A"/>
    <w:rsid w:val="00560270"/>
    <w:rsid w:val="005C2568"/>
    <w:rsid w:val="005D7E8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3DE"/>
    <w:rsid w:val="007D1690"/>
    <w:rsid w:val="007E22AD"/>
    <w:rsid w:val="00817416"/>
    <w:rsid w:val="00842779"/>
    <w:rsid w:val="00865F67"/>
    <w:rsid w:val="00881A7B"/>
    <w:rsid w:val="008840E5"/>
    <w:rsid w:val="00887B3E"/>
    <w:rsid w:val="008B0390"/>
    <w:rsid w:val="008C2AC6"/>
    <w:rsid w:val="00900F1D"/>
    <w:rsid w:val="00930C23"/>
    <w:rsid w:val="0093193B"/>
    <w:rsid w:val="00941215"/>
    <w:rsid w:val="009509D8"/>
    <w:rsid w:val="00950B64"/>
    <w:rsid w:val="00981893"/>
    <w:rsid w:val="009960E0"/>
    <w:rsid w:val="00A1445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82D"/>
    <w:rsid w:val="00BD48FE"/>
    <w:rsid w:val="00BD7BD8"/>
    <w:rsid w:val="00BE6ADC"/>
    <w:rsid w:val="00C05BFE"/>
    <w:rsid w:val="00C23CD4"/>
    <w:rsid w:val="00C61C0C"/>
    <w:rsid w:val="00C941CB"/>
    <w:rsid w:val="00C94727"/>
    <w:rsid w:val="00CA6AB8"/>
    <w:rsid w:val="00CC2357"/>
    <w:rsid w:val="00CF071A"/>
    <w:rsid w:val="00D058B8"/>
    <w:rsid w:val="00D56C11"/>
    <w:rsid w:val="00D834A0"/>
    <w:rsid w:val="00D872DF"/>
    <w:rsid w:val="00D91E21"/>
    <w:rsid w:val="00DA7FCD"/>
    <w:rsid w:val="00DD28C4"/>
    <w:rsid w:val="00E365E1"/>
    <w:rsid w:val="00E501AD"/>
    <w:rsid w:val="00E820A4"/>
    <w:rsid w:val="00E95F9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F9C"/>
    <w:rsid w:val="00F87713"/>
    <w:rsid w:val="00FB4360"/>
    <w:rsid w:val="00FD0C70"/>
  </w:rsids>
  <w:docVars>
    <w:docVar w:name="dvdocse" w:val="A9-0147/2022"/>
    <w:docVar w:name="dvlangue" w:val="BG"/>
    <w:docVar w:name="dvnumam" w:val="239"/>
    <w:docVar w:name="dvpe" w:val="703.100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прилагане на обща схема от тарифни преференции и за отмяна на Регламент (ЕС) № 978/2012 на Европейския парламент и на Съвета(COM(2021)0579 – C9-0364/2021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F37A0DF"/>
  <w15:chartTrackingRefBased/>
  <w15:docId w15:val="{5CD44799-CEBE-4502-AB5C-00E5974C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555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F555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F555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55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55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554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554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554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554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2F555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555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F555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F5554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2F55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5554"/>
    <w:rPr>
      <w:b/>
    </w:rPr>
  </w:style>
  <w:style w:type="character" w:customStyle="1" w:styleId="NormalBoldChar">
    <w:name w:val="NormalBold Char"/>
    <w:link w:val="NormalBold"/>
    <w:locked/>
    <w:rsid w:val="002F5554"/>
    <w:rPr>
      <w:b/>
      <w:sz w:val="24"/>
      <w:lang w:val="bg-BG"/>
    </w:rPr>
  </w:style>
  <w:style w:type="paragraph" w:customStyle="1" w:styleId="NormalBold12a">
    <w:name w:val="NormalBold12a"/>
    <w:basedOn w:val="Normal"/>
    <w:rsid w:val="002F5554"/>
    <w:pPr>
      <w:spacing w:after="240"/>
    </w:pPr>
    <w:rPr>
      <w:b/>
    </w:rPr>
  </w:style>
  <w:style w:type="paragraph" w:customStyle="1" w:styleId="AmJustText">
    <w:name w:val="AmJustText"/>
    <w:basedOn w:val="Normal"/>
    <w:rsid w:val="002F555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F555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5554"/>
    <w:pPr>
      <w:spacing w:after="480"/>
      <w:ind w:left="1417"/>
    </w:pPr>
  </w:style>
  <w:style w:type="paragraph" w:customStyle="1" w:styleId="CoverNormal">
    <w:name w:val="CoverNormal"/>
    <w:basedOn w:val="Normal"/>
    <w:rsid w:val="002F5554"/>
    <w:pPr>
      <w:ind w:left="1418"/>
    </w:pPr>
  </w:style>
  <w:style w:type="paragraph" w:customStyle="1" w:styleId="AmCrossRef">
    <w:name w:val="AmCrossRef"/>
    <w:basedOn w:val="Normal"/>
    <w:rsid w:val="002F555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555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F555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555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555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555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55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554"/>
    <w:rPr>
      <w:sz w:val="24"/>
      <w:lang w:val="bg-BG"/>
    </w:rPr>
  </w:style>
  <w:style w:type="paragraph" w:customStyle="1" w:styleId="AmOrLang">
    <w:name w:val="AmOrLang"/>
    <w:basedOn w:val="Normal"/>
    <w:rsid w:val="002F555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555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F55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5554"/>
    <w:pPr>
      <w:spacing w:before="240"/>
    </w:pPr>
    <w:rPr>
      <w:b/>
    </w:rPr>
  </w:style>
  <w:style w:type="paragraph" w:customStyle="1" w:styleId="EPBody">
    <w:name w:val="EPBody"/>
    <w:basedOn w:val="Normal"/>
    <w:rsid w:val="002F555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555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F5554"/>
    <w:pPr>
      <w:spacing w:before="480" w:after="240"/>
    </w:pPr>
  </w:style>
  <w:style w:type="paragraph" w:customStyle="1" w:styleId="Lgendesigne">
    <w:name w:val="Légende signe"/>
    <w:basedOn w:val="Normal"/>
    <w:rsid w:val="002F555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F555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F5554"/>
    <w:rPr>
      <w:sz w:val="18"/>
    </w:rPr>
  </w:style>
  <w:style w:type="paragraph" w:styleId="ListParagraph">
    <w:name w:val="List Paragraph"/>
    <w:basedOn w:val="Normal"/>
    <w:uiPriority w:val="1"/>
    <w:qFormat/>
    <w:rsid w:val="002F5554"/>
    <w:pPr>
      <w:ind w:left="720"/>
      <w:contextualSpacing/>
    </w:pPr>
  </w:style>
  <w:style w:type="paragraph" w:customStyle="1" w:styleId="ManualConsidrant">
    <w:name w:val="Manual Considérant"/>
    <w:basedOn w:val="Normal"/>
    <w:rsid w:val="002F555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2F5554"/>
    <w:rPr>
      <w:b/>
      <w:bCs/>
      <w:i/>
      <w:iCs/>
      <w:spacing w:val="0"/>
    </w:rPr>
  </w:style>
  <w:style w:type="character" w:styleId="Hyperlink">
    <w:name w:val="Hyperlink"/>
    <w:unhideWhenUsed/>
    <w:rsid w:val="002F5554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2F5554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2F5554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2F5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555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55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5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F5554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2F55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5554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hidden/>
    <w:uiPriority w:val="99"/>
    <w:semiHidden/>
    <w:rsid w:val="002F5554"/>
    <w:rPr>
      <w:sz w:val="24"/>
      <w:lang w:val="bg-BG"/>
    </w:rPr>
  </w:style>
  <w:style w:type="character" w:customStyle="1" w:styleId="Sup">
    <w:name w:val="Sup"/>
    <w:uiPriority w:val="1"/>
    <w:qFormat/>
    <w:rsid w:val="002F5554"/>
    <w:rPr>
      <w:vertAlign w:val="superscript"/>
    </w:rPr>
  </w:style>
  <w:style w:type="character" w:customStyle="1" w:styleId="Normal6Char">
    <w:name w:val="Normal6 Char"/>
    <w:link w:val="Normal6"/>
    <w:locked/>
    <w:rsid w:val="002F5554"/>
    <w:rPr>
      <w:sz w:val="24"/>
    </w:rPr>
  </w:style>
  <w:style w:type="paragraph" w:customStyle="1" w:styleId="Normal6">
    <w:name w:val="Normal6"/>
    <w:basedOn w:val="Normal"/>
    <w:link w:val="Normal6Char"/>
    <w:rsid w:val="002F5554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2F5554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2F555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2F555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2F555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2F555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2F555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2F5554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2F5554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2F5554"/>
    <w:pPr>
      <w:spacing w:after="240"/>
    </w:pPr>
  </w:style>
  <w:style w:type="paragraph" w:customStyle="1" w:styleId="PageHeadingNotTOC">
    <w:name w:val="PageHeadingNotTOC"/>
    <w:basedOn w:val="Normal"/>
    <w:rsid w:val="002F55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F555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2F555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F5554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2F55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2F5554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2F555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F555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F555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F555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F555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F5554"/>
    <w:rPr>
      <w:sz w:val="24"/>
      <w:lang w:val="bg-BG"/>
    </w:rPr>
  </w:style>
  <w:style w:type="character" w:customStyle="1" w:styleId="SupBoldItalic">
    <w:name w:val="SupBoldItalic"/>
    <w:uiPriority w:val="1"/>
    <w:qFormat/>
    <w:rsid w:val="002F5554"/>
    <w:rPr>
      <w:b/>
      <w:i/>
      <w:vertAlign w:val="superscript"/>
    </w:rPr>
  </w:style>
  <w:style w:type="paragraph" w:customStyle="1" w:styleId="Normal12">
    <w:name w:val="Normal12"/>
    <w:basedOn w:val="Normal"/>
    <w:qFormat/>
    <w:rsid w:val="002F5554"/>
    <w:pPr>
      <w:snapToGrid w:val="0"/>
      <w:spacing w:after="240"/>
    </w:pPr>
    <w:rPr>
      <w:lang w:val="en-GB" w:bidi="en-GB"/>
    </w:rPr>
  </w:style>
  <w:style w:type="paragraph" w:styleId="Footer">
    <w:name w:val="footer"/>
    <w:basedOn w:val="Normal"/>
    <w:link w:val="FooterChar"/>
    <w:uiPriority w:val="99"/>
    <w:rsid w:val="002F55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554"/>
    <w:rPr>
      <w:sz w:val="24"/>
      <w:lang w:val="bg-BG"/>
    </w:rPr>
  </w:style>
  <w:style w:type="paragraph" w:customStyle="1" w:styleId="Olang">
    <w:name w:val="Olang"/>
    <w:rsid w:val="002F5554"/>
    <w:pPr>
      <w:jc w:val="right"/>
    </w:pPr>
    <w:rPr>
      <w:lang w:val="bg-BG"/>
    </w:rPr>
  </w:style>
  <w:style w:type="character" w:customStyle="1" w:styleId="bumpedfont15">
    <w:name w:val="bumpedfont15"/>
    <w:basedOn w:val="DefaultParagraphFont"/>
    <w:rsid w:val="002F5554"/>
  </w:style>
  <w:style w:type="paragraph" w:customStyle="1" w:styleId="AmDocTypeTab">
    <w:name w:val="AmDocTypeTab"/>
    <w:basedOn w:val="Normal"/>
    <w:rsid w:val="005D7E8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D7E89"/>
    <w:pPr>
      <w:spacing w:after="240"/>
      <w:jc w:val="center"/>
    </w:pPr>
  </w:style>
  <w:style w:type="paragraph" w:customStyle="1" w:styleId="AmDateTab">
    <w:name w:val="AmDateTab"/>
    <w:basedOn w:val="Normal"/>
    <w:rsid w:val="005D7E8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D7E8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D7E89"/>
  </w:style>
  <w:style w:type="paragraph" w:customStyle="1" w:styleId="Title1">
    <w:name w:val="Title1"/>
    <w:basedOn w:val="Normal"/>
    <w:next w:val="Normal"/>
    <w:uiPriority w:val="10"/>
    <w:qFormat/>
    <w:rsid w:val="005D7E89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7E89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5D7E89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7E89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D7E89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5D7E89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5D7E89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D7E89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7E89"/>
    <w:rPr>
      <w:rFonts w:eastAsia="Aptos"/>
      <w:i/>
      <w:kern w:val="2"/>
      <w:sz w:val="24"/>
      <w:szCs w:val="24"/>
      <w:lang w:val="bg-BG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89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89"/>
    <w:rPr>
      <w:rFonts w:eastAsia="Aptos"/>
      <w:b/>
      <w:i/>
      <w:kern w:val="2"/>
      <w:sz w:val="24"/>
      <w:szCs w:val="22"/>
      <w:lang w:val="bg-BG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5D7E89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5D7E8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D7E8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D7E89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5D7E89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5D7E89"/>
  </w:style>
  <w:style w:type="paragraph" w:styleId="TOC4">
    <w:name w:val="toc 4"/>
    <w:basedOn w:val="Normal"/>
    <w:next w:val="Normal"/>
    <w:uiPriority w:val="39"/>
    <w:unhideWhenUsed/>
    <w:rsid w:val="005D7E8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D7E89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D7E89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D7E89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D7E89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D7E89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5D7E89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5D7E89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5D7E89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D7E89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D7E89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5D7E8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D7E8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D7E89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5D7E89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5D7E89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5D7E89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5D7E89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5D7E89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5D7E89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5D7E89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5D7E89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5D7E89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5D7E89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5D7E89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5D7E89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5D7E89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5D7E89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5D7E89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5D7E89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5D7E89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5D7E89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5D7E89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5D7E89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5D7E89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5D7E89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5D7E89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5D7E8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5D7E8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5D7E8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5D7E8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5D7E8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5D7E8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5D7E8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5D7E8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5D7E8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5D7E8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5D7E8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5D7E8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5D7E89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5D7E89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5D7E89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5D7E89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5D7E89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5D7E89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5D7E89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5D7E89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5D7E89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D7E89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D7E89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D7E89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D7E89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D7E89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D7E89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D7E89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5D7E89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D7E8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D7E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D7E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D7E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D7E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D7E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D7E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D7E89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D7E89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D7E89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D7E89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5D7E89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5D7E89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5D7E89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5D7E89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5D7E89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5D7E89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5D7E89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5D7E89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5D7E89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5D7E89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5D7E89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5D7E89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5D7E89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5D7E89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5D7E89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5D7E89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5D7E89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5D7E89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D7E89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D7E89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D7E89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5D7E89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D7E89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D7E89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D7E89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D7E89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D7E89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D7E89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5D7E89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D7E89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D7E89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D7E89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D7E89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D7E8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D7E8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D7E89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5D7E89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5D7E89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5D7E89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5D7E89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5D7E89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5D7E89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D7E89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5D7E89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D7E89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D7E89"/>
    <w:pPr>
      <w:spacing w:before="240"/>
    </w:pPr>
  </w:style>
  <w:style w:type="paragraph" w:customStyle="1" w:styleId="Accordtitre">
    <w:name w:val="Accord titre"/>
    <w:basedOn w:val="Normal"/>
    <w:rsid w:val="005D7E89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5D7E8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5D7E8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D7E89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D7E89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D7E89"/>
    <w:pPr>
      <w:spacing w:after="240"/>
    </w:pPr>
  </w:style>
  <w:style w:type="paragraph" w:customStyle="1" w:styleId="Annexetitre">
    <w:name w:val="Annexe titre"/>
    <w:basedOn w:val="Normal"/>
    <w:next w:val="Normal"/>
    <w:rsid w:val="005D7E89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D7E89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D7E89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D7E89"/>
    <w:rPr>
      <w:rFonts w:eastAsia="Aptos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5D7E8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D7E89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5D7E89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5D7E89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5D7E89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D7E89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D7E89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D7E89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D7E89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D7E89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D7E89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D7E89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D7E89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D7E89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D7E89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D7E89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D7E89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D7E89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D7E89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D7E89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D7E89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D7E89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D7E89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D7E89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D7E89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D7E89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D7E89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5D7E89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5D7E8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D7E89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5D7E89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D7E89"/>
    <w:rPr>
      <w:sz w:val="24"/>
      <w:szCs w:val="24"/>
      <w:lang w:val="bg-BG" w:eastAsia="en-US"/>
    </w:rPr>
  </w:style>
  <w:style w:type="paragraph" w:customStyle="1" w:styleId="TableParagraph">
    <w:name w:val="Table Paragraph"/>
    <w:basedOn w:val="Normal"/>
    <w:uiPriority w:val="1"/>
    <w:qFormat/>
    <w:rsid w:val="005D7E89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D7E89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5D7E8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E8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D7E89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D7E89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5D7E89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89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5D7E8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styleId="Emphasis">
    <w:name w:val="Emphasis"/>
    <w:basedOn w:val="DefaultParagraphFont"/>
    <w:qFormat/>
    <w:rsid w:val="005D7E89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5D7E89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5D7E8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2026-09-01T09:14:00Z</dcterms:created>
  <dcterms:modified xsi:type="dcterms:W3CDTF">2026-09-01T09:14:00Z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