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DFD1C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72DC" w:rsidP="0010095E" w14:paraId="7194FD16" w14:textId="77777777">
            <w:pPr>
              <w:pStyle w:val="EPName"/>
            </w:pPr>
            <w:r w:rsidRPr="005772DC">
              <w:t>Evropský parlament</w:t>
            </w:r>
          </w:p>
          <w:p w:rsidR="00751A4A" w:rsidRPr="005772DC" w:rsidP="005F1B17" w14:paraId="7BBE27A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72DC">
              <w:t>2024</w:t>
            </w:r>
            <w:r w:rsidRPr="005772DC" w:rsidR="00817416">
              <w:t>-202</w:t>
            </w:r>
            <w:r w:rsidRPr="005772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772DC" w:rsidP="0010095E" w14:paraId="49034865" w14:textId="77777777">
            <w:pPr>
              <w:pStyle w:val="EPLogo"/>
            </w:pPr>
            <w:r w:rsidRPr="005772D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72DC" w:rsidP="004C5D52" w14:paraId="12445488" w14:textId="77777777">
      <w:pPr>
        <w:pStyle w:val="LineTop"/>
      </w:pPr>
    </w:p>
    <w:p w:rsidR="00680577" w:rsidRPr="005772DC" w:rsidP="00680577" w14:paraId="626B9F06" w14:textId="77777777">
      <w:pPr>
        <w:pStyle w:val="EPBodyTA1"/>
      </w:pPr>
      <w:r w:rsidRPr="005772DC">
        <w:t>PŘIJATÉ TEXTY</w:t>
      </w:r>
    </w:p>
    <w:p w:rsidR="00D058B8" w:rsidRPr="005772DC" w:rsidP="00D058B8" w14:paraId="55C09D2B" w14:textId="77777777">
      <w:pPr>
        <w:pStyle w:val="LineBottom"/>
      </w:pPr>
    </w:p>
    <w:p w:rsidR="00656B9F" w:rsidRPr="005772DC" w:rsidP="00656B9F" w14:paraId="595A5B5A" w14:textId="0A9F2C8A">
      <w:pPr>
        <w:pStyle w:val="ATHeading1"/>
      </w:pPr>
      <w:bookmarkStart w:id="0" w:name="TANumber"/>
      <w:r w:rsidRPr="005772DC">
        <w:t>P</w:t>
      </w:r>
      <w:r w:rsidR="00987550">
        <w:t>10</w:t>
      </w:r>
      <w:r w:rsidRPr="005772DC">
        <w:t>_</w:t>
      </w:r>
      <w:r w:rsidRPr="005772DC">
        <w:t>TA(</w:t>
      </w:r>
      <w:r w:rsidRPr="005772DC">
        <w:t>2026)0</w:t>
      </w:r>
      <w:r w:rsidR="00BA7EA0">
        <w:t>114</w:t>
      </w:r>
      <w:bookmarkEnd w:id="0"/>
    </w:p>
    <w:p w:rsidR="00656B9F" w:rsidRPr="005772DC" w:rsidP="00656B9F" w14:paraId="7A6F78A3" w14:textId="77777777">
      <w:pPr>
        <w:pStyle w:val="ATHeading2"/>
      </w:pPr>
      <w:bookmarkStart w:id="1" w:name="title"/>
      <w:r w:rsidRPr="005772DC">
        <w:t>Systém všeobecných celních preferencí</w:t>
      </w:r>
      <w:bookmarkEnd w:id="1"/>
    </w:p>
    <w:p w:rsidR="00656B9F" w:rsidRPr="005772DC" w:rsidP="00656B9F" w14:paraId="21740977" w14:textId="77777777">
      <w:pPr>
        <w:rPr>
          <w:i/>
          <w:vanish/>
        </w:rPr>
      </w:pPr>
      <w:r>
        <w:rPr>
          <w:i/>
        </w:rPr>
        <w:fldChar w:fldCharType="begin"/>
      </w:r>
      <w:r w:rsidRPr="005772DC">
        <w:rPr>
          <w:i/>
        </w:rPr>
        <w:instrText xml:space="preserve"> TC"(</w:instrText>
      </w:r>
      <w:bookmarkStart w:id="2" w:name="DocNumber"/>
      <w:r w:rsidRPr="005772DC">
        <w:rPr>
          <w:i/>
        </w:rPr>
        <w:instrText>A9-0147/2022</w:instrText>
      </w:r>
      <w:bookmarkEnd w:id="2"/>
      <w:r w:rsidRPr="005772DC">
        <w:rPr>
          <w:i/>
        </w:rPr>
        <w:instrText xml:space="preserve"> </w:instrText>
      </w:r>
      <w:r w:rsidRPr="00B34E5B">
        <w:rPr>
          <w:i/>
        </w:rPr>
        <w:instrText>- Zpravodaj: Bernd Lange)"\l3</w:instrText>
      </w:r>
      <w:r w:rsidRPr="005772DC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656B9F" w:rsidRPr="005772DC" w:rsidP="00656B9F" w14:paraId="7B9BE4A2" w14:textId="77777777">
      <w:pPr>
        <w:rPr>
          <w:vanish/>
        </w:rPr>
      </w:pPr>
      <w:bookmarkStart w:id="3" w:name="Commission"/>
      <w:r w:rsidRPr="005772DC">
        <w:rPr>
          <w:vanish/>
        </w:rPr>
        <w:t>Výbor pro mezinárodní obchod</w:t>
      </w:r>
      <w:bookmarkEnd w:id="3"/>
    </w:p>
    <w:p w:rsidR="00656B9F" w:rsidRPr="005772DC" w:rsidP="00656B9F" w14:paraId="269F02DB" w14:textId="77777777">
      <w:pPr>
        <w:rPr>
          <w:vanish/>
        </w:rPr>
      </w:pPr>
      <w:bookmarkStart w:id="4" w:name="PE"/>
      <w:r w:rsidRPr="005772DC">
        <w:rPr>
          <w:vanish/>
        </w:rPr>
        <w:t>PE703.100</w:t>
      </w:r>
      <w:bookmarkEnd w:id="4"/>
    </w:p>
    <w:p w:rsidR="00656B9F" w:rsidRPr="005772DC" w:rsidP="00656B9F" w14:paraId="3D3D4388" w14:textId="2228C299">
      <w:pPr>
        <w:pStyle w:val="ATHeading3"/>
      </w:pPr>
      <w:bookmarkStart w:id="5" w:name="Sujet"/>
      <w:r w:rsidRPr="005772DC">
        <w:t>Legislativní usnesení Evropského parlamentu ze dne</w:t>
      </w:r>
      <w:r w:rsidR="007F0BC1">
        <w:t xml:space="preserve"> </w:t>
      </w:r>
      <w:r w:rsidR="00B34E5B">
        <w:t>28</w:t>
      </w:r>
      <w:r w:rsidR="007F0BC1">
        <w:t>. dubna</w:t>
      </w:r>
      <w:r w:rsidRPr="005772DC">
        <w:t xml:space="preserve"> 2026 o návrhu nařízení Evropského parlamentu a Rady o uplatňování systému všeobecných celních preferencí a zrušení nařízení Evropského parlamentu a Rady (EU) č. 978/2012</w:t>
      </w:r>
      <w:bookmarkEnd w:id="5"/>
      <w:r w:rsidRPr="005772DC">
        <w:t xml:space="preserve"> </w:t>
      </w:r>
      <w:bookmarkStart w:id="6" w:name="References"/>
      <w:r w:rsidRPr="005772DC">
        <w:t>(</w:t>
      </w:r>
      <w:r w:rsidRPr="005772DC">
        <w:t>COM(</w:t>
      </w:r>
      <w:r w:rsidRPr="005772DC">
        <w:t>2021)0579 – C9-0364/2021 – 2021/0297(COD))</w:t>
      </w:r>
      <w:bookmarkEnd w:id="6"/>
    </w:p>
    <w:p w:rsidR="004C048E" w:rsidRPr="005772DC" w:rsidP="004C048E" w14:paraId="4FF1D573" w14:textId="77777777">
      <w:pPr>
        <w:rPr>
          <w:b/>
        </w:rPr>
      </w:pPr>
      <w:r w:rsidRPr="005772DC">
        <w:rPr>
          <w:b/>
        </w:rPr>
        <w:t>(Řádný legislativní postup: první čtení)</w:t>
      </w:r>
    </w:p>
    <w:p w:rsidR="004C048E" w:rsidRPr="005772DC" w:rsidP="004C048E" w14:paraId="0B967F76" w14:textId="77777777">
      <w:pPr>
        <w:spacing w:before="480" w:after="240"/>
      </w:pPr>
      <w:r w:rsidRPr="005772DC">
        <w:rPr>
          <w:i/>
        </w:rPr>
        <w:t>Evropský parlament</w:t>
      </w:r>
      <w:r w:rsidRPr="005772DC">
        <w:t>,</w:t>
      </w:r>
    </w:p>
    <w:p w:rsidR="004C048E" w:rsidRPr="005772DC" w:rsidP="004C048E" w14:paraId="27A48DD0" w14:textId="77777777">
      <w:pPr>
        <w:spacing w:after="240"/>
        <w:ind w:left="567" w:hanging="567"/>
      </w:pPr>
      <w:r w:rsidRPr="005772DC">
        <w:t>–</w:t>
      </w:r>
      <w:r w:rsidRPr="005772DC">
        <w:tab/>
        <w:t>s ohledem na návrh Komise předložený Evropskému parlamentu a Radě (</w:t>
      </w:r>
      <w:r w:rsidRPr="005772DC">
        <w:t>COM(</w:t>
      </w:r>
      <w:r w:rsidRPr="005772DC">
        <w:t>2021)0579),</w:t>
      </w:r>
    </w:p>
    <w:p w:rsidR="004C048E" w:rsidRPr="005772DC" w:rsidP="004C048E" w14:paraId="6EE12406" w14:textId="0C153082">
      <w:pPr>
        <w:spacing w:after="240"/>
        <w:ind w:left="567" w:hanging="567"/>
      </w:pPr>
      <w:r w:rsidRPr="005772DC">
        <w:t>–</w:t>
      </w:r>
      <w:r w:rsidRPr="005772DC">
        <w:tab/>
        <w:t xml:space="preserve">s ohledem na čl. 294 odst. 2 a čl. 207 odst. </w:t>
      </w:r>
      <w:r w:rsidR="00B34E5B">
        <w:t>2</w:t>
      </w:r>
      <w:r w:rsidRPr="005772DC" w:rsidR="00B34E5B">
        <w:t xml:space="preserve"> </w:t>
      </w:r>
      <w:r w:rsidRPr="005772DC">
        <w:t>Smlouvy o fungování Evropské unie, v </w:t>
      </w:r>
      <w:r w:rsidRPr="005772DC">
        <w:t>souladu</w:t>
      </w:r>
      <w:r w:rsidRPr="005772DC">
        <w:t xml:space="preserve"> </w:t>
      </w:r>
      <w:r w:rsidR="007F0BC1">
        <w:t>se kterými</w:t>
      </w:r>
      <w:r w:rsidRPr="005772DC">
        <w:t xml:space="preserve"> Komise předložila návrh Parlamentu</w:t>
      </w:r>
      <w:r w:rsidR="007F0BC1">
        <w:t xml:space="preserve"> </w:t>
      </w:r>
      <w:r w:rsidRPr="005772DC">
        <w:t>(C9-0364/2021),</w:t>
      </w:r>
    </w:p>
    <w:p w:rsidR="004C048E" w:rsidP="004C048E" w14:paraId="4E2FF49D" w14:textId="77777777">
      <w:pPr>
        <w:spacing w:after="240"/>
        <w:ind w:left="567" w:hanging="567"/>
      </w:pPr>
      <w:r w:rsidRPr="005772DC">
        <w:rPr>
          <w:rFonts w:ascii="Symbol" w:hAnsi="Symbol"/>
        </w:rPr>
        <w:sym w:font="Symbol" w:char="F02D"/>
      </w:r>
      <w:r w:rsidRPr="005772DC">
        <w:tab/>
        <w:t>s ohledem na čl. 294 odst. 3 Smlouvy o fungování Evropské unie,</w:t>
      </w:r>
    </w:p>
    <w:p w:rsidR="00B34E5B" w:rsidRPr="005772DC" w:rsidP="004C048E" w14:paraId="73FD4435" w14:textId="5DC2994D">
      <w:pPr>
        <w:spacing w:after="240"/>
        <w:ind w:left="567" w:hanging="567"/>
        <w:rPr>
          <w:szCs w:val="24"/>
        </w:rPr>
      </w:pPr>
      <w:r w:rsidRPr="005772DC">
        <w:rPr>
          <w:rFonts w:ascii="Symbol" w:hAnsi="Symbol"/>
        </w:rPr>
        <w:sym w:font="Symbol" w:char="F02D"/>
      </w:r>
      <w:r w:rsidRPr="005772DC">
        <w:tab/>
      </w:r>
      <w:r w:rsidRPr="00B34E5B">
        <w:rPr>
          <w:szCs w:val="24"/>
        </w:rPr>
        <w:t xml:space="preserve">s ohledem na předběžnou dohodu přijatou příslušným výborem podle čl. 74 odst. 4 jednacího řádu a s ohledem na to, že se zástupce Rady dopisem ze dne </w:t>
      </w:r>
      <w:r>
        <w:rPr>
          <w:szCs w:val="24"/>
        </w:rPr>
        <w:t>19</w:t>
      </w:r>
      <w:r w:rsidRPr="00B34E5B">
        <w:rPr>
          <w:szCs w:val="24"/>
        </w:rPr>
        <w:t xml:space="preserve">. </w:t>
      </w:r>
      <w:r>
        <w:rPr>
          <w:szCs w:val="24"/>
        </w:rPr>
        <w:t>prosince</w:t>
      </w:r>
      <w:r w:rsidRPr="00B34E5B">
        <w:rPr>
          <w:szCs w:val="24"/>
        </w:rPr>
        <w:t xml:space="preserve"> 202</w:t>
      </w:r>
      <w:r>
        <w:rPr>
          <w:szCs w:val="24"/>
        </w:rPr>
        <w:t>5</w:t>
      </w:r>
      <w:r w:rsidRPr="00B34E5B">
        <w:rPr>
          <w:szCs w:val="24"/>
        </w:rPr>
        <w:t xml:space="preserve"> zavázal schválit postoj Parlamentu v souladu s čl. 294 odst. 4 Smlouvy o fungování Evropské unie,</w:t>
      </w:r>
    </w:p>
    <w:p w:rsidR="004C048E" w:rsidRPr="005772DC" w:rsidP="004C048E" w14:paraId="20C7FD62" w14:textId="1414B411">
      <w:pPr>
        <w:spacing w:after="240"/>
        <w:ind w:left="567" w:hanging="567"/>
      </w:pPr>
      <w:r w:rsidRPr="005772DC">
        <w:t>–</w:t>
      </w:r>
      <w:r w:rsidRPr="005772DC">
        <w:tab/>
        <w:t xml:space="preserve">s ohledem na článek </w:t>
      </w:r>
      <w:r w:rsidR="00B34E5B">
        <w:t>60</w:t>
      </w:r>
      <w:r w:rsidRPr="005772DC" w:rsidR="00B34E5B">
        <w:t xml:space="preserve"> </w:t>
      </w:r>
      <w:r w:rsidRPr="005772DC">
        <w:t>jednacího řádu,</w:t>
      </w:r>
    </w:p>
    <w:p w:rsidR="004C048E" w:rsidRPr="005772DC" w:rsidP="004C048E" w14:paraId="335063FB" w14:textId="77777777">
      <w:pPr>
        <w:spacing w:after="240"/>
        <w:ind w:left="567" w:hanging="567"/>
      </w:pPr>
      <w:r w:rsidRPr="005772DC">
        <w:t>–</w:t>
      </w:r>
      <w:r w:rsidRPr="005772DC">
        <w:tab/>
        <w:t>s ohledem na stanoviska Výboru pro zahraniční věci a Výboru pro rozvoj,</w:t>
      </w:r>
    </w:p>
    <w:p w:rsidR="004C048E" w:rsidRPr="005772DC" w:rsidP="004C048E" w14:paraId="2E1863AF" w14:textId="77777777">
      <w:pPr>
        <w:spacing w:after="240"/>
        <w:ind w:left="567" w:hanging="567"/>
      </w:pPr>
      <w:r w:rsidRPr="005772DC">
        <w:t>–</w:t>
      </w:r>
      <w:r w:rsidRPr="005772DC">
        <w:tab/>
        <w:t>s ohledem na zprávu Výboru pro mezinárodní obchod (A9-0147/2022),</w:t>
      </w:r>
    </w:p>
    <w:p w:rsidR="004C048E" w:rsidRPr="005772DC" w:rsidP="004C048E" w14:paraId="78B4FFB2" w14:textId="77777777">
      <w:pPr>
        <w:spacing w:after="240"/>
        <w:ind w:left="567" w:hanging="570"/>
      </w:pPr>
      <w:r w:rsidRPr="005772DC">
        <w:t>1.</w:t>
      </w:r>
      <w:r w:rsidRPr="005772DC">
        <w:tab/>
        <w:t>přijímá níže uvedený postoj v prvním čtení;</w:t>
      </w:r>
    </w:p>
    <w:p w:rsidR="00841D2F" w:rsidP="00841D2F" w14:paraId="0D6A96C1" w14:textId="77777777">
      <w:pPr>
        <w:spacing w:after="240"/>
        <w:ind w:left="567" w:hanging="570"/>
        <w:sectPr w:rsidSect="0098755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772DC">
        <w:t>2.</w:t>
      </w:r>
      <w:r w:rsidRPr="005772DC">
        <w:tab/>
        <w:t>pověřuje svou předsedkyni, aby předala postoj Parlamentu Radě</w:t>
      </w:r>
      <w:r w:rsidR="00302033">
        <w:t xml:space="preserve"> a</w:t>
      </w:r>
      <w:r w:rsidRPr="005772DC">
        <w:t xml:space="preserve"> Komisi, jakož i vnitrostátním parlamentům.</w:t>
      </w:r>
    </w:p>
    <w:p w:rsidR="00987550" w:rsidP="00841D2F" w14:paraId="6BA18442" w14:textId="3FF1503B">
      <w:pPr>
        <w:spacing w:after="240"/>
        <w:ind w:left="567" w:hanging="57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</w:t>
      </w:r>
      <w:r w:rsidRPr="00163A3B">
        <w:rPr>
          <w:rFonts w:eastAsia="Calibri"/>
          <w:b/>
          <w:bCs/>
          <w:color w:val="000000"/>
          <w:szCs w:val="24"/>
        </w:rPr>
        <w:t>COD(</w:t>
      </w:r>
      <w:r w:rsidRPr="00163A3B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1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297</w:t>
      </w:r>
    </w:p>
    <w:p w:rsidR="00987550" w:rsidP="00987550" w14:paraId="4787C914" w14:textId="65E34FCA">
      <w:pPr>
        <w:autoSpaceDE w:val="0"/>
        <w:autoSpaceDN w:val="0"/>
        <w:adjustRightInd w:val="0"/>
        <w:spacing w:after="240"/>
        <w:rPr>
          <w:b/>
        </w:rPr>
      </w:pPr>
      <w:r>
        <w:rPr>
          <w:rFonts w:eastAsia="Calibri"/>
          <w:b/>
          <w:bCs/>
          <w:color w:val="000000"/>
          <w:szCs w:val="24"/>
        </w:rPr>
        <w:t xml:space="preserve">Postoj Evropského parlamentu přijatý v prvním čtení dne 28. dubna 2026 k přijetí nařízení Evropského parlamentu a Rady (EU) 2026/… </w:t>
      </w:r>
      <w:r w:rsidRPr="00CD1904">
        <w:rPr>
          <w:b/>
        </w:rPr>
        <w:t xml:space="preserve">o uplatňování </w:t>
      </w:r>
      <w:r w:rsidRPr="00841D2F">
        <w:rPr>
          <w:b/>
        </w:rPr>
        <w:t>všeobecného</w:t>
      </w:r>
      <w:r w:rsidRPr="00CD1904">
        <w:rPr>
          <w:b/>
        </w:rPr>
        <w:t xml:space="preserve"> systému celních preferencí a o zrušení nařízení (EU) č. 978/2012</w:t>
      </w:r>
    </w:p>
    <w:p w:rsidR="00841D2F" w:rsidRPr="00987550" w:rsidP="00841D2F" w14:paraId="42E64414" w14:textId="3FD1AD08">
      <w:pPr>
        <w:spacing w:before="360"/>
        <w:rPr>
          <w:rFonts w:eastAsia="Calibri"/>
          <w:b/>
          <w:bCs/>
          <w:color w:val="000000"/>
          <w:szCs w:val="24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1395</w:t>
      </w:r>
      <w:r>
        <w:rPr>
          <w:i/>
        </w:rPr>
        <w:t>.)</w:t>
      </w:r>
    </w:p>
    <w:sectPr w:rsidSect="005772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352B417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4FD7B2F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54ACA97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5650ECB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0543B64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72DC" w14:paraId="4BAE849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766610272">
    <w:abstractNumId w:val="0"/>
  </w:num>
  <w:num w:numId="2" w16cid:durableId="1330062337">
    <w:abstractNumId w:val="7"/>
  </w:num>
  <w:num w:numId="3" w16cid:durableId="18880305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9F"/>
    <w:rsid w:val="00002272"/>
    <w:rsid w:val="00032D13"/>
    <w:rsid w:val="00064002"/>
    <w:rsid w:val="000677B9"/>
    <w:rsid w:val="000831BA"/>
    <w:rsid w:val="000A42CC"/>
    <w:rsid w:val="000E7DD9"/>
    <w:rsid w:val="0010095E"/>
    <w:rsid w:val="00125B37"/>
    <w:rsid w:val="00163A3B"/>
    <w:rsid w:val="00187494"/>
    <w:rsid w:val="001F32AE"/>
    <w:rsid w:val="002443CD"/>
    <w:rsid w:val="00273751"/>
    <w:rsid w:val="002767FF"/>
    <w:rsid w:val="002B18FE"/>
    <w:rsid w:val="002B5493"/>
    <w:rsid w:val="0030203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48E"/>
    <w:rsid w:val="004C5D52"/>
    <w:rsid w:val="0050519A"/>
    <w:rsid w:val="005072A1"/>
    <w:rsid w:val="00514517"/>
    <w:rsid w:val="00545827"/>
    <w:rsid w:val="00560270"/>
    <w:rsid w:val="005772DC"/>
    <w:rsid w:val="00584686"/>
    <w:rsid w:val="005C2568"/>
    <w:rsid w:val="005F1B17"/>
    <w:rsid w:val="006037C0"/>
    <w:rsid w:val="00656B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BC1"/>
    <w:rsid w:val="00817416"/>
    <w:rsid w:val="00837F58"/>
    <w:rsid w:val="00841D2F"/>
    <w:rsid w:val="00842779"/>
    <w:rsid w:val="00865F67"/>
    <w:rsid w:val="00881A7B"/>
    <w:rsid w:val="008840E5"/>
    <w:rsid w:val="00887B3E"/>
    <w:rsid w:val="008977C0"/>
    <w:rsid w:val="008C2AC6"/>
    <w:rsid w:val="00930C23"/>
    <w:rsid w:val="0093193B"/>
    <w:rsid w:val="009509D8"/>
    <w:rsid w:val="00950B64"/>
    <w:rsid w:val="00981893"/>
    <w:rsid w:val="00987550"/>
    <w:rsid w:val="009B0256"/>
    <w:rsid w:val="009E5E88"/>
    <w:rsid w:val="00A1687D"/>
    <w:rsid w:val="00A43E52"/>
    <w:rsid w:val="00A4678D"/>
    <w:rsid w:val="00A778C7"/>
    <w:rsid w:val="00A846AF"/>
    <w:rsid w:val="00AB441E"/>
    <w:rsid w:val="00AB6293"/>
    <w:rsid w:val="00AE0928"/>
    <w:rsid w:val="00AF3B82"/>
    <w:rsid w:val="00B12E95"/>
    <w:rsid w:val="00B22876"/>
    <w:rsid w:val="00B34E5B"/>
    <w:rsid w:val="00B558F0"/>
    <w:rsid w:val="00B723D6"/>
    <w:rsid w:val="00BA7EA0"/>
    <w:rsid w:val="00BD48FE"/>
    <w:rsid w:val="00BD7BD8"/>
    <w:rsid w:val="00BE6ADC"/>
    <w:rsid w:val="00C05BFE"/>
    <w:rsid w:val="00C23CD4"/>
    <w:rsid w:val="00C61C0C"/>
    <w:rsid w:val="00C941CB"/>
    <w:rsid w:val="00CC2357"/>
    <w:rsid w:val="00CD190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DC9"/>
    <w:rsid w:val="00F74202"/>
    <w:rsid w:val="00F87713"/>
    <w:rsid w:val="00FB4360"/>
    <w:rsid w:val="00FD0C70"/>
  </w:rsids>
  <w:docVars>
    <w:docVar w:name="dvdocse" w:val="A9-0147/2022"/>
    <w:docVar w:name="dvlangue" w:val="CS"/>
    <w:docVar w:name="dvnumam" w:val="239"/>
    <w:docVar w:name="dvpe" w:val="703.100"/>
    <w:docVar w:name="dvrapporteur" w:val="Zpravodaj: "/>
    <w:docVar w:name="dvstar" w:val="***I"/>
    <w:docVar w:name="dvtitre" w:val="Legislativní usnesení Evropského parlamentu ze dne.... 2026 o návrhu nařízení Evropského parlamentu a Rady o uplatňování systému všeobecných celních preferencí a zrušení nařízení Evropského parlamentu a Rady (EU) č. 978/2012(COM(2021)0579 – C9-0364/2021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6AC67B"/>
  <w15:chartTrackingRefBased/>
  <w15:docId w15:val="{B59C727B-7906-4C5D-B393-31171F3B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C048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C048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C048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48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48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48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48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48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48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4C048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C04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C048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C048E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4C04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048E"/>
    <w:rPr>
      <w:b/>
    </w:rPr>
  </w:style>
  <w:style w:type="character" w:customStyle="1" w:styleId="NormalBoldChar">
    <w:name w:val="NormalBold Char"/>
    <w:link w:val="NormalBold"/>
    <w:locked/>
    <w:rsid w:val="004C048E"/>
    <w:rPr>
      <w:b/>
      <w:sz w:val="24"/>
      <w:lang w:val="cs-CZ"/>
    </w:rPr>
  </w:style>
  <w:style w:type="paragraph" w:customStyle="1" w:styleId="NormalBold12a">
    <w:name w:val="NormalBold12a"/>
    <w:basedOn w:val="Normal"/>
    <w:rsid w:val="004C048E"/>
    <w:pPr>
      <w:spacing w:after="240"/>
    </w:pPr>
    <w:rPr>
      <w:b/>
    </w:rPr>
  </w:style>
  <w:style w:type="paragraph" w:customStyle="1" w:styleId="AmJustText">
    <w:name w:val="AmJustText"/>
    <w:basedOn w:val="Normal"/>
    <w:rsid w:val="004C048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048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048E"/>
    <w:pPr>
      <w:spacing w:after="480"/>
      <w:ind w:left="1417"/>
    </w:pPr>
  </w:style>
  <w:style w:type="paragraph" w:customStyle="1" w:styleId="CoverNormal">
    <w:name w:val="CoverNormal"/>
    <w:basedOn w:val="Normal"/>
    <w:rsid w:val="004C048E"/>
    <w:pPr>
      <w:ind w:left="1418"/>
    </w:pPr>
  </w:style>
  <w:style w:type="paragraph" w:customStyle="1" w:styleId="AmCrossRef">
    <w:name w:val="AmCrossRef"/>
    <w:basedOn w:val="Normal"/>
    <w:rsid w:val="004C048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048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C048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048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048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048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C04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48E"/>
    <w:rPr>
      <w:sz w:val="24"/>
      <w:lang w:val="cs-CZ"/>
    </w:rPr>
  </w:style>
  <w:style w:type="paragraph" w:customStyle="1" w:styleId="AmOrLang">
    <w:name w:val="AmOrLang"/>
    <w:basedOn w:val="Normal"/>
    <w:rsid w:val="004C048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04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0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48E"/>
    <w:pPr>
      <w:spacing w:before="240"/>
    </w:pPr>
    <w:rPr>
      <w:b/>
    </w:rPr>
  </w:style>
  <w:style w:type="paragraph" w:customStyle="1" w:styleId="EPBody">
    <w:name w:val="EPBody"/>
    <w:basedOn w:val="Normal"/>
    <w:rsid w:val="004C048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C04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048E"/>
    <w:pPr>
      <w:spacing w:before="480" w:after="240"/>
    </w:pPr>
  </w:style>
  <w:style w:type="paragraph" w:customStyle="1" w:styleId="Lgendesigne">
    <w:name w:val="Légende signe"/>
    <w:basedOn w:val="Normal"/>
    <w:rsid w:val="004C048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048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048E"/>
    <w:rPr>
      <w:sz w:val="18"/>
    </w:rPr>
  </w:style>
  <w:style w:type="paragraph" w:styleId="ListParagraph">
    <w:name w:val="List Paragraph"/>
    <w:basedOn w:val="Normal"/>
    <w:uiPriority w:val="1"/>
    <w:qFormat/>
    <w:rsid w:val="004C048E"/>
    <w:pPr>
      <w:ind w:left="720"/>
      <w:contextualSpacing/>
    </w:pPr>
  </w:style>
  <w:style w:type="paragraph" w:customStyle="1" w:styleId="ManualConsidrant">
    <w:name w:val="Manual Considérant"/>
    <w:basedOn w:val="Normal"/>
    <w:rsid w:val="004C048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4C048E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4C04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4C048E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4C048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C04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48E"/>
    <w:rPr>
      <w:sz w:val="24"/>
      <w:lang w:val="cs-CZ"/>
    </w:rPr>
  </w:style>
  <w:style w:type="character" w:styleId="CommentReference">
    <w:name w:val="annotation reference"/>
    <w:basedOn w:val="DefaultParagraphFont"/>
    <w:uiPriority w:val="99"/>
    <w:rsid w:val="004C0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C04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048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C0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C048E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4C0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048E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4C048E"/>
    <w:rPr>
      <w:sz w:val="24"/>
      <w:lang w:val="cs-CZ"/>
    </w:rPr>
  </w:style>
  <w:style w:type="character" w:customStyle="1" w:styleId="Sup">
    <w:name w:val="Sup"/>
    <w:uiPriority w:val="1"/>
    <w:qFormat/>
    <w:rsid w:val="004C048E"/>
    <w:rPr>
      <w:vertAlign w:val="superscript"/>
    </w:rPr>
  </w:style>
  <w:style w:type="character" w:customStyle="1" w:styleId="Normal6Char">
    <w:name w:val="Normal6 Char"/>
    <w:link w:val="Normal6"/>
    <w:locked/>
    <w:rsid w:val="004C048E"/>
    <w:rPr>
      <w:sz w:val="24"/>
    </w:rPr>
  </w:style>
  <w:style w:type="paragraph" w:customStyle="1" w:styleId="Normal6">
    <w:name w:val="Normal6"/>
    <w:basedOn w:val="Normal"/>
    <w:link w:val="Normal6Char"/>
    <w:rsid w:val="004C048E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4C048E"/>
    <w:pPr>
      <w:spacing w:after="240"/>
      <w:jc w:val="center"/>
    </w:pPr>
    <w:rPr>
      <w:i/>
      <w:lang w:val="en-GB"/>
    </w:rPr>
  </w:style>
  <w:style w:type="paragraph" w:customStyle="1" w:styleId="NumPar1">
    <w:name w:val="NumPar 1"/>
    <w:basedOn w:val="Normal"/>
    <w:next w:val="Normal"/>
    <w:rsid w:val="004C048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Normal"/>
    <w:rsid w:val="004C048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Normal"/>
    <w:rsid w:val="004C048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Normal"/>
    <w:rsid w:val="004C048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Normal"/>
    <w:rsid w:val="004C048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Normal"/>
    <w:rsid w:val="004C048E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Normal"/>
    <w:rsid w:val="004C048E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Normal12a">
    <w:name w:val="Normal12a"/>
    <w:basedOn w:val="Normal"/>
    <w:rsid w:val="004C048E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4C048E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4C048E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12Italic">
    <w:name w:val="Normal12Italic"/>
    <w:basedOn w:val="Normal"/>
    <w:rsid w:val="004C048E"/>
    <w:pPr>
      <w:spacing w:after="240"/>
    </w:pPr>
    <w:rPr>
      <w:i/>
      <w:noProof/>
      <w:lang w:val="en-GB"/>
    </w:rPr>
  </w:style>
  <w:style w:type="paragraph" w:customStyle="1" w:styleId="JustificationTitle">
    <w:name w:val="JustificationTitle"/>
    <w:basedOn w:val="Normal"/>
    <w:next w:val="Normal"/>
    <w:rsid w:val="004C048E"/>
    <w:pPr>
      <w:keepNext/>
      <w:spacing w:before="240" w:after="240"/>
      <w:jc w:val="center"/>
    </w:pPr>
    <w:rPr>
      <w:i/>
      <w:noProof/>
      <w:lang w:val="en-GB"/>
    </w:rPr>
  </w:style>
  <w:style w:type="paragraph" w:customStyle="1" w:styleId="AMNumberTabs0">
    <w:name w:val="AMNumberTabs"/>
    <w:basedOn w:val="Normal"/>
    <w:rsid w:val="004C0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BoldItalicCenter6a">
    <w:name w:val="NormalBoldItalicCenter6a"/>
    <w:basedOn w:val="Normal6a"/>
    <w:qFormat/>
    <w:rsid w:val="004C048E"/>
    <w:pPr>
      <w:jc w:val="center"/>
    </w:pPr>
    <w:rPr>
      <w:rFonts w:eastAsia="Times New Roman"/>
      <w:b/>
      <w:bCs w:val="0"/>
      <w:i/>
      <w:iCs w:val="0"/>
      <w:lang w:val="en-GB" w:eastAsia="en-GB"/>
    </w:rPr>
  </w:style>
  <w:style w:type="paragraph" w:customStyle="1" w:styleId="RollCallSymbols14pt">
    <w:name w:val="RollCallSymbols14pt"/>
    <w:basedOn w:val="Normal"/>
    <w:rsid w:val="004C048E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4C048E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4C048E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4C048E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4C048E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4C048E"/>
    <w:rPr>
      <w:sz w:val="24"/>
    </w:rPr>
  </w:style>
  <w:style w:type="character" w:customStyle="1" w:styleId="SupBoldItalic">
    <w:name w:val="SupBoldItalic"/>
    <w:uiPriority w:val="1"/>
    <w:qFormat/>
    <w:rsid w:val="004C048E"/>
    <w:rPr>
      <w:b/>
      <w:i/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987550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7550"/>
    <w:rPr>
      <w:rFonts w:ascii="Arial" w:hAnsi="Arial" w:eastAsiaTheme="majorEastAsia" w:cs="Arial"/>
      <w:b/>
      <w:bCs/>
      <w:kern w:val="28"/>
      <w:sz w:val="32"/>
      <w:szCs w:val="32"/>
      <w:lang w:val="cs-CZ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0"/>
    <w:pPr>
      <w:widowControl/>
      <w:spacing w:after="60"/>
      <w:jc w:val="center"/>
      <w:outlineLvl w:val="1"/>
    </w:pPr>
    <w:rPr>
      <w:rFonts w:ascii="Arial" w:hAnsi="Arial" w:eastAsiaTheme="majorEastAsia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7550"/>
    <w:rPr>
      <w:rFonts w:ascii="Arial" w:hAnsi="Arial" w:eastAsiaTheme="majorEastAsia" w:cs="Arial"/>
      <w:kern w:val="2"/>
      <w:sz w:val="24"/>
      <w:szCs w:val="24"/>
      <w:lang w:val="cs-CZ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987550"/>
    <w:rPr>
      <w:b/>
      <w:bCs/>
    </w:rPr>
  </w:style>
  <w:style w:type="character" w:styleId="Emphasis">
    <w:name w:val="Emphasis"/>
    <w:basedOn w:val="DefaultParagraphFont"/>
    <w:uiPriority w:val="20"/>
    <w:qFormat/>
    <w:rsid w:val="0098755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87550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87550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7550"/>
    <w:rPr>
      <w:rFonts w:eastAsiaTheme="minorHAnsi"/>
      <w:i/>
      <w:kern w:val="2"/>
      <w:sz w:val="24"/>
      <w:szCs w:val="24"/>
      <w:lang w:val="cs-CZ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50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50"/>
    <w:rPr>
      <w:rFonts w:eastAsiaTheme="minorHAnsi"/>
      <w:b/>
      <w:i/>
      <w:kern w:val="2"/>
      <w:sz w:val="24"/>
      <w:szCs w:val="22"/>
      <w:lang w:val="cs-CZ" w:eastAsia="en-US"/>
      <w14:ligatures w14:val="standardContextual"/>
    </w:rPr>
  </w:style>
  <w:style w:type="character" w:styleId="SubtleEmphasis">
    <w:name w:val="Subtle Emphasis"/>
    <w:uiPriority w:val="19"/>
    <w:qFormat/>
    <w:rsid w:val="0098755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8755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8755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8755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87550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87550"/>
  </w:style>
  <w:style w:type="paragraph" w:styleId="TOC4">
    <w:name w:val="toc 4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8755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87550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87550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98755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8755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87550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98755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8755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8755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8755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8755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8755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8755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8755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98755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98755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98755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98755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87550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8755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87550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8755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8755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8755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8755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8755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8755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98755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98755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98755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98755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98755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8755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8755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8755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8755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98755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8755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8755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8755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8755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8755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98755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987550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987550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987550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987550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987550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987550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987550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987550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987550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8755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8755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8755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8755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8755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875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87550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87550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87550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87550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987550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87550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87550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87550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87550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87550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87550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87550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87550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87550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87550"/>
    <w:pPr>
      <w:widowControl/>
      <w:numPr>
        <w:numId w:val="15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87550"/>
    <w:pPr>
      <w:widowControl/>
      <w:numPr>
        <w:numId w:val="16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87550"/>
    <w:pPr>
      <w:widowControl/>
      <w:numPr>
        <w:numId w:val="17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87550"/>
    <w:pPr>
      <w:widowControl/>
      <w:numPr>
        <w:numId w:val="18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987550"/>
    <w:pPr>
      <w:widowControl/>
      <w:numPr>
        <w:numId w:val="19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987550"/>
    <w:pPr>
      <w:widowControl/>
      <w:numPr>
        <w:numId w:val="20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987550"/>
    <w:pPr>
      <w:widowControl/>
      <w:numPr>
        <w:numId w:val="21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987550"/>
    <w:pPr>
      <w:widowControl/>
      <w:numPr>
        <w:numId w:val="22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8755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8755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87550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87550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8755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7550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7550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7550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7550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7550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987550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755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7550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87550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8755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8755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8755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87550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987550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987550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987550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987550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98755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987550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8755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987550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8755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87550"/>
    <w:pPr>
      <w:spacing w:before="240"/>
    </w:pPr>
  </w:style>
  <w:style w:type="paragraph" w:customStyle="1" w:styleId="Accordtitre">
    <w:name w:val="Accord titre"/>
    <w:basedOn w:val="Normal"/>
    <w:rsid w:val="00987550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98755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98755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87550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8755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87550"/>
    <w:pPr>
      <w:spacing w:after="240"/>
    </w:pPr>
  </w:style>
  <w:style w:type="paragraph" w:customStyle="1" w:styleId="Annexetitre">
    <w:name w:val="Annexe titre"/>
    <w:basedOn w:val="Normal"/>
    <w:next w:val="Normal"/>
    <w:rsid w:val="0098755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87550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87550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87550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98755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8755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8755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8755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8755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8755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8755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8755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8755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8755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8755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8755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8755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8755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8755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8755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8755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8755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8755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8755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8755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8755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8755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8755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87550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8755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8755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987550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98755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87550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987550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87550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87550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987550"/>
    <w:pPr>
      <w:widowControl/>
      <w:spacing w:before="120" w:after="120" w:line="360" w:lineRule="auto"/>
    </w:pPr>
    <w:rPr>
      <w:rFonts w:eastAsiaTheme="minorHAnsi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87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2026-08-26T09:23:00Z</dcterms:created>
  <dcterms:modified xsi:type="dcterms:W3CDTF">2026-08-26T09:23:00Z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