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30163C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1694E" w:rsidP="0010095E" w14:paraId="473FBC97" w14:textId="4AB0578C">
            <w:pPr>
              <w:pStyle w:val="EPName"/>
            </w:pPr>
            <w:r w:rsidRPr="0041694E">
              <w:t>Europa-Parlamentet</w:t>
            </w:r>
          </w:p>
          <w:p w:rsidR="00751A4A" w:rsidRPr="0041694E" w:rsidP="005F1B17" w14:paraId="7332D51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694E">
              <w:t>2024</w:t>
            </w:r>
            <w:r w:rsidRPr="0041694E" w:rsidR="00817416">
              <w:t>-202</w:t>
            </w:r>
            <w:r w:rsidRPr="0041694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1694E" w:rsidP="0010095E" w14:paraId="00255382" w14:textId="77777777">
            <w:pPr>
              <w:pStyle w:val="EPLogo"/>
            </w:pPr>
            <w:r w:rsidRPr="0041694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1694E" w:rsidP="004C5D52" w14:paraId="575E13C0" w14:textId="77777777">
      <w:pPr>
        <w:pStyle w:val="LineTop"/>
      </w:pPr>
    </w:p>
    <w:p w:rsidR="00680577" w:rsidRPr="0041694E" w:rsidP="00680577" w14:paraId="4F288D08" w14:textId="3AF7A7EC">
      <w:pPr>
        <w:pStyle w:val="EPBodyTA1"/>
      </w:pPr>
      <w:r w:rsidRPr="0041694E">
        <w:t>VEDTAGNE TEKSTER</w:t>
      </w:r>
    </w:p>
    <w:p w:rsidR="00D058B8" w:rsidRPr="0041694E" w:rsidP="00D058B8" w14:paraId="61B75567" w14:textId="77777777">
      <w:pPr>
        <w:pStyle w:val="LineBottom"/>
      </w:pPr>
    </w:p>
    <w:p w:rsidR="004D07C6" w:rsidRPr="0065571A" w:rsidP="004D07C6" w14:paraId="7AD81BA1" w14:textId="3FD69CE7">
      <w:pPr>
        <w:pStyle w:val="ATHeading1"/>
      </w:pPr>
      <w:bookmarkStart w:id="0" w:name="TANumber"/>
      <w:r w:rsidRPr="0065571A">
        <w:t>P</w:t>
      </w:r>
      <w:r w:rsidRPr="0065571A" w:rsidR="00125A0A">
        <w:t>10</w:t>
      </w:r>
      <w:r w:rsidRPr="0065571A">
        <w:t>_TA(2026)0</w:t>
      </w:r>
      <w:r w:rsidR="005A73DB">
        <w:t>114</w:t>
      </w:r>
      <w:bookmarkEnd w:id="0"/>
    </w:p>
    <w:p w:rsidR="004D07C6" w:rsidRPr="0065571A" w:rsidP="004D07C6" w14:paraId="292548A4" w14:textId="77777777">
      <w:pPr>
        <w:pStyle w:val="ATHeading2"/>
      </w:pPr>
      <w:bookmarkStart w:id="1" w:name="title"/>
      <w:r w:rsidRPr="0065571A">
        <w:t>Arrangement med generelle toldpræferencer</w:t>
      </w:r>
      <w:bookmarkEnd w:id="1"/>
    </w:p>
    <w:p w:rsidR="004D07C6" w:rsidRPr="0041694E" w:rsidP="004D07C6" w14:paraId="2B7416FE" w14:textId="438E48B5">
      <w:pPr>
        <w:rPr>
          <w:i/>
          <w:vanish/>
        </w:rPr>
      </w:pPr>
      <w:r>
        <w:rPr>
          <w:i/>
        </w:rPr>
        <w:fldChar w:fldCharType="begin"/>
      </w:r>
      <w:r w:rsidRPr="0041694E">
        <w:rPr>
          <w:i/>
        </w:rPr>
        <w:instrText xml:space="preserve"> TC"(</w:instrText>
      </w:r>
      <w:bookmarkStart w:id="2" w:name="DocNumber"/>
      <w:r w:rsidRPr="0041694E">
        <w:rPr>
          <w:i/>
        </w:rPr>
        <w:instrText>A9-0147/2022</w:instrText>
      </w:r>
      <w:bookmarkEnd w:id="2"/>
      <w:r w:rsidRPr="0041694E">
        <w:rPr>
          <w:i/>
        </w:rPr>
        <w:instrText xml:space="preserve"> - Ordfører: </w:instrText>
      </w:r>
      <w:r w:rsidRPr="0041694E" w:rsidR="00125A0A">
        <w:rPr>
          <w:i/>
        </w:rPr>
        <w:instrText>Bernd Lange</w:instrText>
      </w:r>
      <w:r w:rsidRPr="0041694E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D07C6" w:rsidRPr="0041694E" w:rsidP="004D07C6" w14:paraId="4295E7DC" w14:textId="77777777">
      <w:pPr>
        <w:rPr>
          <w:vanish/>
        </w:rPr>
      </w:pPr>
      <w:bookmarkStart w:id="3" w:name="Commission"/>
      <w:r w:rsidRPr="0041694E">
        <w:rPr>
          <w:vanish/>
        </w:rPr>
        <w:t>Udvalget om International Handel</w:t>
      </w:r>
      <w:bookmarkEnd w:id="3"/>
    </w:p>
    <w:p w:rsidR="004D07C6" w:rsidRPr="0041694E" w:rsidP="004D07C6" w14:paraId="3FFAE407" w14:textId="77777777">
      <w:pPr>
        <w:rPr>
          <w:vanish/>
        </w:rPr>
      </w:pPr>
      <w:bookmarkStart w:id="4" w:name="PE"/>
      <w:r w:rsidRPr="0041694E">
        <w:rPr>
          <w:vanish/>
        </w:rPr>
        <w:t>PE703.100</w:t>
      </w:r>
      <w:bookmarkEnd w:id="4"/>
    </w:p>
    <w:p w:rsidR="004D07C6" w:rsidRPr="0065571A" w:rsidP="004D07C6" w14:paraId="7BC93F99" w14:textId="32CBB4EE">
      <w:pPr>
        <w:pStyle w:val="ATHeading3"/>
      </w:pPr>
      <w:bookmarkStart w:id="5" w:name="Sujet"/>
      <w:r w:rsidRPr="0065571A">
        <w:t xml:space="preserve">Europa-Parlamentets lovgivningsmæssige beslutning af </w:t>
      </w:r>
      <w:r w:rsidRPr="0065571A" w:rsidR="00125A0A">
        <w:t>28</w:t>
      </w:r>
      <w:r w:rsidRPr="0065571A">
        <w:t>. april 2026 om forslag til Europa-Parlamentets og Rådets forordning om anvendelse af et arrangement med generelle toldpræferencer og om ophævelse af Europa-Parlamentets og Rådets forordning (EU) nr.</w:t>
      </w:r>
      <w:r w:rsidRPr="0065571A" w:rsidR="00961A80">
        <w:t> </w:t>
      </w:r>
      <w:r w:rsidRPr="0065571A">
        <w:t>978/2012</w:t>
      </w:r>
      <w:bookmarkEnd w:id="5"/>
      <w:r w:rsidRPr="0065571A">
        <w:t xml:space="preserve"> </w:t>
      </w:r>
      <w:bookmarkStart w:id="6" w:name="References"/>
      <w:r w:rsidRPr="0065571A">
        <w:t>(COM(2021)0579 – C9-0364/2021 – 2021/0297(COD))</w:t>
      </w:r>
      <w:bookmarkEnd w:id="6"/>
    </w:p>
    <w:p w:rsidR="00027CBB" w:rsidRPr="0041694E" w:rsidP="00027CBB" w14:paraId="5ED03C93" w14:textId="77777777">
      <w:pPr>
        <w:rPr>
          <w:b/>
        </w:rPr>
      </w:pPr>
      <w:r w:rsidRPr="0041694E">
        <w:rPr>
          <w:b/>
        </w:rPr>
        <w:t>(Almindelig lovgivningsprocedure: førstebehandling)</w:t>
      </w:r>
    </w:p>
    <w:p w:rsidR="00027CBB" w:rsidRPr="0065571A" w:rsidP="00027CBB" w14:paraId="75B0B388" w14:textId="77777777">
      <w:pPr>
        <w:spacing w:before="480" w:after="240"/>
        <w:rPr>
          <w:bCs/>
          <w:i/>
        </w:rPr>
      </w:pPr>
      <w:r w:rsidRPr="0065571A">
        <w:rPr>
          <w:bCs/>
          <w:i/>
        </w:rPr>
        <w:t>Europa-Parlamentet,</w:t>
      </w:r>
    </w:p>
    <w:p w:rsidR="00027CBB" w:rsidRPr="0041694E" w:rsidP="00027CBB" w14:paraId="16E46A56" w14:textId="77777777">
      <w:pPr>
        <w:spacing w:after="240"/>
        <w:ind w:left="567" w:hanging="567"/>
      </w:pPr>
      <w:r w:rsidRPr="0041694E">
        <w:t>–</w:t>
      </w:r>
      <w:r w:rsidRPr="0041694E">
        <w:tab/>
        <w:t>der henviser til Kommissionens forslag til Europa-Parlamentet og Rådet (COM(2021)0579),</w:t>
      </w:r>
    </w:p>
    <w:p w:rsidR="00027CBB" w:rsidRPr="0041694E" w:rsidP="00027CBB" w14:paraId="53D01785" w14:textId="40C6B954">
      <w:pPr>
        <w:spacing w:after="240"/>
        <w:ind w:left="567" w:hanging="567"/>
      </w:pPr>
      <w:r w:rsidRPr="0041694E">
        <w:t>–</w:t>
      </w:r>
      <w:r w:rsidRPr="0041694E">
        <w:tab/>
        <w:t xml:space="preserve">der henviser til artikel 294, stk. 2, og artikel 207, stk. </w:t>
      </w:r>
      <w:r w:rsidRPr="0041694E" w:rsidR="00125A0A">
        <w:t>2</w:t>
      </w:r>
      <w:r w:rsidRPr="0041694E">
        <w:t>, i traktaten om Den Europæiske Unions funktionsmåde, på grundlag af hvilke Kommissionen har forelagt Parlamentet forslaget (C9-0364/2021),</w:t>
      </w:r>
    </w:p>
    <w:p w:rsidR="00027CBB" w:rsidRPr="0041694E" w:rsidP="00027CBB" w14:paraId="71231E95" w14:textId="77777777">
      <w:pPr>
        <w:spacing w:after="240"/>
        <w:ind w:left="567" w:hanging="567"/>
      </w:pPr>
      <w:r w:rsidRPr="0041694E">
        <w:rPr>
          <w:rFonts w:ascii="Symbol" w:hAnsi="Symbol"/>
        </w:rPr>
        <w:sym w:font="Symbol" w:char="F02D"/>
      </w:r>
      <w:r w:rsidRPr="0041694E">
        <w:tab/>
        <w:t>der henviser til artikel 294, stk. 3, i traktaten om Den Europæiske Unions funktionsmåde,</w:t>
      </w:r>
    </w:p>
    <w:p w:rsidR="00125A0A" w:rsidRPr="0041694E" w:rsidP="00027CBB" w14:paraId="36878D20" w14:textId="07D32FDF">
      <w:pPr>
        <w:spacing w:after="240"/>
        <w:ind w:left="567" w:hanging="567"/>
        <w:rPr>
          <w:szCs w:val="24"/>
        </w:rPr>
      </w:pPr>
      <w:r w:rsidRPr="0041694E">
        <w:rPr>
          <w:rFonts w:ascii="Symbol" w:hAnsi="Symbol"/>
        </w:rPr>
        <w:sym w:font="Symbol" w:char="F02D"/>
      </w:r>
      <w:r w:rsidRPr="0041694E">
        <w:tab/>
        <w:t>der henviser til, at det kompetente udvalg har godkendt den foreløbige aftale i henhold til forretningsordenens artikel 75, stk. 4, og at Rådets repræsentant ved skrivelse af 19. december 2025 forpligtede sig til at godkende Europa-Parlamentets holdning, jf. artikel 294, stk. 4, i traktaten om Den Europæiske Unions funktionsmåde,</w:t>
      </w:r>
    </w:p>
    <w:p w:rsidR="00027CBB" w:rsidRPr="0041694E" w:rsidP="00027CBB" w14:paraId="6B592F17" w14:textId="22C0B58B">
      <w:pPr>
        <w:spacing w:after="240"/>
        <w:ind w:left="567" w:hanging="567"/>
      </w:pPr>
      <w:r w:rsidRPr="0041694E">
        <w:t>–</w:t>
      </w:r>
      <w:r w:rsidRPr="0041694E">
        <w:tab/>
        <w:t xml:space="preserve">der henviser til forretningsordenens artikel </w:t>
      </w:r>
      <w:r w:rsidRPr="0041694E" w:rsidR="00125A0A">
        <w:t>60</w:t>
      </w:r>
      <w:r w:rsidRPr="0041694E">
        <w:t>,</w:t>
      </w:r>
    </w:p>
    <w:p w:rsidR="00027CBB" w:rsidRPr="0041694E" w:rsidP="00027CBB" w14:paraId="57707406" w14:textId="77777777">
      <w:pPr>
        <w:spacing w:after="240"/>
        <w:ind w:left="567" w:hanging="567"/>
        <w:rPr>
          <w:color w:val="000000"/>
        </w:rPr>
      </w:pPr>
      <w:r w:rsidRPr="0041694E">
        <w:t>–</w:t>
      </w:r>
      <w:r w:rsidRPr="0041694E">
        <w:tab/>
        <w:t>der henviser til udtalelser fra Udenrigsudvalget og Udviklingsudvalget,</w:t>
      </w:r>
    </w:p>
    <w:p w:rsidR="00027CBB" w:rsidRPr="0041694E" w:rsidP="00027CBB" w14:paraId="101FEEF6" w14:textId="77777777">
      <w:pPr>
        <w:spacing w:after="240"/>
        <w:ind w:left="567" w:hanging="567"/>
      </w:pPr>
      <w:r w:rsidRPr="0041694E">
        <w:t>–</w:t>
      </w:r>
      <w:r w:rsidRPr="0041694E">
        <w:tab/>
        <w:t>der henviser til betænkningen fra Udvalget om International Handel (A9</w:t>
      </w:r>
      <w:r w:rsidRPr="0041694E">
        <w:noBreakHyphen/>
        <w:t>0147/2022),</w:t>
      </w:r>
    </w:p>
    <w:p w:rsidR="00027CBB" w:rsidRPr="0041694E" w:rsidP="00027CBB" w14:paraId="341F129C" w14:textId="77777777">
      <w:pPr>
        <w:spacing w:after="240"/>
        <w:ind w:left="567" w:hanging="570"/>
      </w:pPr>
      <w:r w:rsidRPr="0041694E">
        <w:t>1.</w:t>
      </w:r>
      <w:r w:rsidRPr="0041694E">
        <w:tab/>
        <w:t>vedtager nedenstående holdning ved førstebehandling;</w:t>
      </w:r>
    </w:p>
    <w:p w:rsidR="00027CBB" w:rsidRPr="0041694E" w:rsidP="00027CBB" w14:paraId="2719A9D7" w14:textId="77777777">
      <w:pPr>
        <w:spacing w:after="240"/>
        <w:ind w:left="567" w:hanging="570"/>
      </w:pPr>
      <w:r w:rsidRPr="0041694E">
        <w:t>2.</w:t>
      </w:r>
      <w:r w:rsidRPr="0041694E">
        <w:tab/>
        <w:t>pålægger sin formand at sende Europa-Parlamentets holdning til Rådet og Kommissionen samt til de nationale parlamenter.</w:t>
      </w:r>
    </w:p>
    <w:p w:rsidR="00753FC5" w:rsidRPr="0041694E" w:rsidP="00753FC5" w14:paraId="0708DA1A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  <w:sectPr w:rsidSect="00753FC5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pgSz w:w="11920" w:h="16850"/>
          <w:pgMar w:top="1134" w:right="1134" w:bottom="1134" w:left="1134" w:header="0" w:footer="1050" w:gutter="0"/>
          <w:cols w:space="720"/>
          <w:docGrid w:linePitch="326"/>
        </w:sectPr>
      </w:pPr>
      <w:bookmarkStart w:id="7" w:name="_DV_M223"/>
      <w:bookmarkStart w:id="8" w:name="_DV_M224"/>
      <w:bookmarkStart w:id="9" w:name="_Hlk211495952"/>
      <w:bookmarkEnd w:id="7"/>
      <w:bookmarkEnd w:id="8"/>
    </w:p>
    <w:p w:rsidR="00753FC5" w:rsidRPr="0041694E" w:rsidP="00753FC5" w14:paraId="00B787AB" w14:textId="1DBB558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41694E">
        <w:rPr>
          <w:rFonts w:eastAsia="Calibri"/>
          <w:b/>
          <w:bCs/>
          <w:color w:val="000000"/>
        </w:rPr>
        <w:t>P10_TC1-COD(2021)0297</w:t>
      </w:r>
    </w:p>
    <w:p w:rsidR="00753FC5" w:rsidP="00753FC5" w14:paraId="1777EC18" w14:textId="77777777">
      <w:pPr>
        <w:pStyle w:val="AmNumberTabs"/>
        <w:rPr>
          <w:rFonts w:eastAsia="Calibri"/>
        </w:rPr>
      </w:pPr>
      <w:r w:rsidRPr="0041694E">
        <w:t xml:space="preserve">Europa-Parlamentets holdning fastlagt ved førstebehandlingen den 28. april 2026 med henblik på vedtagelse af Europa-Parlamentets og Rådets </w:t>
      </w:r>
      <w:r w:rsidRPr="0041694E">
        <w:rPr>
          <w:rFonts w:eastAsia="Calibri"/>
        </w:rPr>
        <w:t xml:space="preserve">forordning </w:t>
      </w:r>
      <w:r w:rsidRPr="0041694E">
        <w:t xml:space="preserve">(EU) </w:t>
      </w:r>
      <w:r w:rsidRPr="0041694E">
        <w:rPr>
          <w:rFonts w:eastAsia="Calibri"/>
        </w:rPr>
        <w:t>2026/…</w:t>
      </w:r>
      <w:bookmarkEnd w:id="9"/>
      <w:r w:rsidRPr="0041694E">
        <w:rPr>
          <w:rFonts w:eastAsia="Calibri"/>
        </w:rPr>
        <w:t xml:space="preserve"> om anvendelse af et arrangement med generelle toldpræferencer og om ophævelse af forordning (EU) nr. 978/2012</w:t>
      </w:r>
    </w:p>
    <w:p w:rsidR="004C7154" w:rsidRPr="004C7154" w:rsidP="00753FC5" w14:paraId="0DEF66AB" w14:textId="0C695E1D">
      <w:pPr>
        <w:pStyle w:val="AmNumberTabs"/>
        <w:rPr>
          <w:rFonts w:eastAsia="Calibri"/>
          <w:b w:val="0"/>
          <w:bCs/>
          <w:i/>
        </w:rPr>
      </w:pPr>
      <w:r w:rsidRPr="004C7154">
        <w:rPr>
          <w:b w:val="0"/>
          <w:bCs/>
          <w:i/>
        </w:rPr>
        <w:t>(Eftersom der var indgået en aftale mellem Parlamentet og Rådet, svarer Parlamentets holdning til den endelige retsakt, forordning (EU) 202</w:t>
      </w:r>
      <w:r w:rsidR="00C71976">
        <w:rPr>
          <w:b w:val="0"/>
          <w:bCs/>
          <w:i/>
        </w:rPr>
        <w:t>6</w:t>
      </w:r>
      <w:r w:rsidRPr="004C7154">
        <w:rPr>
          <w:b w:val="0"/>
          <w:bCs/>
          <w:i/>
        </w:rPr>
        <w:t>/1395.)</w:t>
      </w:r>
    </w:p>
    <w:sectPr w:rsidSect="004C715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20" w:h="16850"/>
      <w:pgMar w:top="1134" w:right="1134" w:bottom="1134" w:left="1134" w:header="0" w:footer="105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53FC5" w14:paraId="6DB757B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53FC5" w:rsidRPr="003963D5" w:rsidP="003963D5" w14:paraId="076DC7B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53FC5" w14:paraId="59EEA18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386C" w14:paraId="2F36DADD" w14:textId="7777777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386C" w14:paraId="7FBE1729" w14:textId="77777777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386C" w14:paraId="4012F6F0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53FC5" w14:paraId="21D2133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53FC5" w:rsidRPr="003963D5" w:rsidP="003963D5" w14:paraId="49FA353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53FC5" w14:paraId="552B0D0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386C" w14:paraId="2637045F" w14:textId="77777777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386C" w14:paraId="125607A6" w14:textId="77777777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386C" w14:paraId="1702B6B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6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7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543298594">
    <w:abstractNumId w:val="0"/>
  </w:num>
  <w:num w:numId="2" w16cid:durableId="1993098452">
    <w:abstractNumId w:val="7"/>
  </w:num>
  <w:num w:numId="3" w16cid:durableId="5242495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0071770">
    <w:abstractNumId w:val="4"/>
  </w:num>
  <w:num w:numId="5" w16cid:durableId="1059862582">
    <w:abstractNumId w:val="11"/>
  </w:num>
  <w:num w:numId="6" w16cid:durableId="192768498">
    <w:abstractNumId w:val="14"/>
  </w:num>
  <w:num w:numId="7" w16cid:durableId="307787253">
    <w:abstractNumId w:val="13"/>
  </w:num>
  <w:num w:numId="8" w16cid:durableId="703754214">
    <w:abstractNumId w:val="21"/>
  </w:num>
  <w:num w:numId="9" w16cid:durableId="1792554488">
    <w:abstractNumId w:val="8"/>
  </w:num>
  <w:num w:numId="10" w16cid:durableId="1186288313">
    <w:abstractNumId w:val="9"/>
  </w:num>
  <w:num w:numId="11" w16cid:durableId="525561290">
    <w:abstractNumId w:val="10"/>
  </w:num>
  <w:num w:numId="12" w16cid:durableId="50227971">
    <w:abstractNumId w:val="12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C6"/>
    <w:rsid w:val="00002272"/>
    <w:rsid w:val="00021EB6"/>
    <w:rsid w:val="00027CBB"/>
    <w:rsid w:val="0004479B"/>
    <w:rsid w:val="00064002"/>
    <w:rsid w:val="000677B9"/>
    <w:rsid w:val="000831BA"/>
    <w:rsid w:val="000A42CC"/>
    <w:rsid w:val="000E7DD9"/>
    <w:rsid w:val="0010095E"/>
    <w:rsid w:val="00125A0A"/>
    <w:rsid w:val="00125B37"/>
    <w:rsid w:val="00187494"/>
    <w:rsid w:val="001911E1"/>
    <w:rsid w:val="001E4DDD"/>
    <w:rsid w:val="001F32AE"/>
    <w:rsid w:val="00264103"/>
    <w:rsid w:val="002767FF"/>
    <w:rsid w:val="002B18FE"/>
    <w:rsid w:val="002B5493"/>
    <w:rsid w:val="002D060D"/>
    <w:rsid w:val="00343214"/>
    <w:rsid w:val="00361C00"/>
    <w:rsid w:val="00395FA1"/>
    <w:rsid w:val="003963D5"/>
    <w:rsid w:val="003E15D4"/>
    <w:rsid w:val="00411CCE"/>
    <w:rsid w:val="0041666E"/>
    <w:rsid w:val="0041694E"/>
    <w:rsid w:val="00421060"/>
    <w:rsid w:val="00471C19"/>
    <w:rsid w:val="004867E3"/>
    <w:rsid w:val="00494A28"/>
    <w:rsid w:val="004C0004"/>
    <w:rsid w:val="004C5D52"/>
    <w:rsid w:val="004C7154"/>
    <w:rsid w:val="004D07C6"/>
    <w:rsid w:val="0050519A"/>
    <w:rsid w:val="005072A1"/>
    <w:rsid w:val="00514517"/>
    <w:rsid w:val="00545827"/>
    <w:rsid w:val="00560270"/>
    <w:rsid w:val="005A73DB"/>
    <w:rsid w:val="005C2568"/>
    <w:rsid w:val="005F1B17"/>
    <w:rsid w:val="006037C0"/>
    <w:rsid w:val="0065571A"/>
    <w:rsid w:val="006631B6"/>
    <w:rsid w:val="00680577"/>
    <w:rsid w:val="006F74FA"/>
    <w:rsid w:val="00731ADD"/>
    <w:rsid w:val="00734777"/>
    <w:rsid w:val="00747932"/>
    <w:rsid w:val="00751A4A"/>
    <w:rsid w:val="00753FC5"/>
    <w:rsid w:val="00756632"/>
    <w:rsid w:val="00761D2E"/>
    <w:rsid w:val="00762C74"/>
    <w:rsid w:val="00786EC0"/>
    <w:rsid w:val="007B58E4"/>
    <w:rsid w:val="007D1690"/>
    <w:rsid w:val="007E22AD"/>
    <w:rsid w:val="0081096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A80"/>
    <w:rsid w:val="00981893"/>
    <w:rsid w:val="009824D5"/>
    <w:rsid w:val="00A11217"/>
    <w:rsid w:val="00A1687D"/>
    <w:rsid w:val="00A43E52"/>
    <w:rsid w:val="00A464D0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6B50"/>
    <w:rsid w:val="00C61C0C"/>
    <w:rsid w:val="00C71976"/>
    <w:rsid w:val="00C941CB"/>
    <w:rsid w:val="00CC2357"/>
    <w:rsid w:val="00CD386C"/>
    <w:rsid w:val="00CF071A"/>
    <w:rsid w:val="00D058B8"/>
    <w:rsid w:val="00D0755C"/>
    <w:rsid w:val="00D56C11"/>
    <w:rsid w:val="00D73EB7"/>
    <w:rsid w:val="00D834A0"/>
    <w:rsid w:val="00D872DF"/>
    <w:rsid w:val="00D91E21"/>
    <w:rsid w:val="00DA7FCD"/>
    <w:rsid w:val="00E22987"/>
    <w:rsid w:val="00E365E1"/>
    <w:rsid w:val="00E43DB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1D54"/>
    <w:rsid w:val="00F87713"/>
    <w:rsid w:val="00FA72D6"/>
    <w:rsid w:val="00FB4360"/>
    <w:rsid w:val="00FD0C70"/>
  </w:rsids>
  <w:docVars>
    <w:docVar w:name="dvdocse" w:val="A9-0147/2022"/>
    <w:docVar w:name="dvlangue" w:val="DA"/>
    <w:docVar w:name="dvnumam" w:val="0"/>
    <w:docVar w:name="dvpe" w:val="703.100"/>
    <w:docVar w:name="dvrapporteur" w:val="Ordfører: "/>
    <w:docVar w:name="dvstar" w:val="***I"/>
    <w:docVar w:name="dvtitre" w:val="Europa-Parlamentets lovgivningsmæssige beslutning af xx. april 2026 om forslag til Europa-Parlamentets og Rådets forordning om anvendelse af et arrangement med generelle toldpræferencer og om ophævelse af Europa-Parlamentets og Rådets forordning (EU) nr. 978/2012(COM(2021)0579 – C9-0364/2021 – 2021/0297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7E96C3C"/>
  <w15:chartTrackingRefBased/>
  <w15:docId w15:val="{F4333388-F30D-4BC2-B110-010A5E5F4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27CB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027CB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027CB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CB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CB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CBB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CBB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CBB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CBB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027CB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27CB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27CB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27CBB"/>
    <w:pPr>
      <w:spacing w:after="120"/>
    </w:pPr>
    <w:rPr>
      <w:rFonts w:eastAsia="Calibri"/>
      <w:bCs/>
      <w:iCs/>
      <w:lang w:eastAsia="en-US"/>
    </w:rPr>
  </w:style>
  <w:style w:type="paragraph" w:customStyle="1" w:styleId="PageHeading">
    <w:name w:val="PageHeading"/>
    <w:basedOn w:val="Normal"/>
    <w:rsid w:val="00027CB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27CBB"/>
    <w:rPr>
      <w:b/>
    </w:rPr>
  </w:style>
  <w:style w:type="paragraph" w:customStyle="1" w:styleId="NormalBold12a">
    <w:name w:val="NormalBold12a"/>
    <w:basedOn w:val="Normal"/>
    <w:rsid w:val="00027CBB"/>
    <w:pPr>
      <w:spacing w:after="240"/>
    </w:pPr>
    <w:rPr>
      <w:b/>
    </w:rPr>
  </w:style>
  <w:style w:type="paragraph" w:customStyle="1" w:styleId="AmJustText">
    <w:name w:val="AmJustText"/>
    <w:basedOn w:val="Normal"/>
    <w:rsid w:val="00027CB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27CB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27CBB"/>
    <w:pPr>
      <w:spacing w:after="480"/>
      <w:ind w:left="1417"/>
    </w:pPr>
  </w:style>
  <w:style w:type="paragraph" w:customStyle="1" w:styleId="CoverNormal">
    <w:name w:val="CoverNormal"/>
    <w:basedOn w:val="Normal"/>
    <w:rsid w:val="00027CBB"/>
    <w:pPr>
      <w:ind w:left="1418"/>
    </w:pPr>
  </w:style>
  <w:style w:type="paragraph" w:customStyle="1" w:styleId="AmCrossRef">
    <w:name w:val="AmCrossRef"/>
    <w:basedOn w:val="Normal"/>
    <w:rsid w:val="00027CB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27CB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27CB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27CB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27CB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27CB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27C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7CBB"/>
    <w:rPr>
      <w:sz w:val="24"/>
      <w:lang w:val="da-DK"/>
    </w:rPr>
  </w:style>
  <w:style w:type="paragraph" w:customStyle="1" w:styleId="AmOrLang">
    <w:name w:val="AmOrLang"/>
    <w:basedOn w:val="Normal"/>
    <w:rsid w:val="00027CB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27CB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27CB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27CBB"/>
    <w:pPr>
      <w:spacing w:before="240"/>
    </w:pPr>
    <w:rPr>
      <w:b/>
    </w:rPr>
  </w:style>
  <w:style w:type="paragraph" w:customStyle="1" w:styleId="EPBody">
    <w:name w:val="EPBody"/>
    <w:basedOn w:val="Normal"/>
    <w:rsid w:val="00027CB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27CB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27CBB"/>
    <w:pPr>
      <w:spacing w:before="480" w:after="240"/>
    </w:pPr>
  </w:style>
  <w:style w:type="paragraph" w:customStyle="1" w:styleId="Lgendesigne">
    <w:name w:val="Légende signe"/>
    <w:basedOn w:val="Normal"/>
    <w:rsid w:val="00027CB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27CB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27CBB"/>
    <w:rPr>
      <w:sz w:val="18"/>
    </w:rPr>
  </w:style>
  <w:style w:type="paragraph" w:styleId="ListParagraph">
    <w:name w:val="List Paragraph"/>
    <w:basedOn w:val="Normal"/>
    <w:uiPriority w:val="1"/>
    <w:qFormat/>
    <w:rsid w:val="00027CBB"/>
    <w:pPr>
      <w:ind w:left="720"/>
      <w:contextualSpacing/>
    </w:pPr>
  </w:style>
  <w:style w:type="paragraph" w:customStyle="1" w:styleId="ManualConsidrant">
    <w:name w:val="Manual Considérant"/>
    <w:basedOn w:val="Normal"/>
    <w:rsid w:val="00027CB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DeltaViewInsertion">
    <w:name w:val="DeltaView Insertion"/>
    <w:rsid w:val="00027CBB"/>
    <w:rPr>
      <w:b/>
      <w:bCs/>
      <w:i/>
      <w:iCs/>
      <w:spacing w:val="0"/>
    </w:rPr>
  </w:style>
  <w:style w:type="character" w:styleId="Hyperlink">
    <w:name w:val="Hyperlink"/>
    <w:uiPriority w:val="99"/>
    <w:unhideWhenUsed/>
    <w:rsid w:val="00027CB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027CBB"/>
    <w:rPr>
      <w:color w:val="954F72" w:themeColor="followedHyperlink"/>
      <w:u w:val="single"/>
    </w:rPr>
  </w:style>
  <w:style w:type="paragraph" w:customStyle="1" w:styleId="msonormal">
    <w:name w:val="msonormal"/>
    <w:basedOn w:val="Normal"/>
    <w:rsid w:val="00027CBB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027C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CBB"/>
    <w:rPr>
      <w:sz w:val="24"/>
      <w:lang w:val="da-DK"/>
    </w:rPr>
  </w:style>
  <w:style w:type="character" w:styleId="CommentReference">
    <w:name w:val="annotation reference"/>
    <w:basedOn w:val="DefaultParagraphFont"/>
    <w:uiPriority w:val="99"/>
    <w:rsid w:val="00027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27CB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7CBB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27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27CBB"/>
    <w:rPr>
      <w:b/>
      <w:bCs/>
      <w:lang w:val="da-DK"/>
    </w:rPr>
  </w:style>
  <w:style w:type="paragraph" w:styleId="BalloonText">
    <w:name w:val="Balloon Text"/>
    <w:basedOn w:val="Normal"/>
    <w:link w:val="BalloonTextChar"/>
    <w:unhideWhenUsed/>
    <w:rsid w:val="00027C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7CBB"/>
    <w:rPr>
      <w:rFonts w:ascii="Segoe UI" w:hAnsi="Segoe UI" w:cs="Segoe UI"/>
      <w:sz w:val="18"/>
      <w:szCs w:val="18"/>
      <w:lang w:val="da-DK"/>
    </w:rPr>
  </w:style>
  <w:style w:type="paragraph" w:styleId="Revision">
    <w:name w:val="Revision"/>
    <w:hidden/>
    <w:uiPriority w:val="99"/>
    <w:semiHidden/>
    <w:rsid w:val="00027CBB"/>
    <w:rPr>
      <w:sz w:val="24"/>
      <w:lang w:val="da-DK"/>
    </w:rPr>
  </w:style>
  <w:style w:type="character" w:customStyle="1" w:styleId="NormalBoldChar">
    <w:name w:val="NormalBold Char"/>
    <w:link w:val="NormalBold"/>
    <w:locked/>
    <w:rsid w:val="00027CBB"/>
    <w:rPr>
      <w:b/>
      <w:sz w:val="24"/>
      <w:lang w:val="da-DK"/>
    </w:rPr>
  </w:style>
  <w:style w:type="character" w:customStyle="1" w:styleId="Sup">
    <w:name w:val="Sup"/>
    <w:uiPriority w:val="1"/>
    <w:qFormat/>
    <w:rsid w:val="00027CBB"/>
    <w:rPr>
      <w:vertAlign w:val="superscript"/>
    </w:rPr>
  </w:style>
  <w:style w:type="character" w:customStyle="1" w:styleId="Normal6Char">
    <w:name w:val="Normal6 Char"/>
    <w:link w:val="Normal6"/>
    <w:locked/>
    <w:rsid w:val="00027CBB"/>
    <w:rPr>
      <w:sz w:val="24"/>
    </w:rPr>
  </w:style>
  <w:style w:type="paragraph" w:customStyle="1" w:styleId="Normal6">
    <w:name w:val="Normal6"/>
    <w:basedOn w:val="Normal"/>
    <w:link w:val="Normal6Char"/>
    <w:rsid w:val="00027CBB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027CBB"/>
    <w:pPr>
      <w:spacing w:after="240"/>
      <w:jc w:val="center"/>
    </w:pPr>
    <w:rPr>
      <w:i/>
    </w:rPr>
  </w:style>
  <w:style w:type="paragraph" w:customStyle="1" w:styleId="NumPar1">
    <w:name w:val="NumPar 1"/>
    <w:basedOn w:val="Normal"/>
    <w:next w:val="Normal"/>
    <w:rsid w:val="00027CBB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Normal"/>
    <w:rsid w:val="00027CBB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Normal"/>
    <w:rsid w:val="00027CBB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Normal"/>
    <w:rsid w:val="00027CBB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Normal"/>
    <w:rsid w:val="00027CBB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Normal"/>
    <w:rsid w:val="00027CBB"/>
    <w:pPr>
      <w:widowControl/>
      <w:numPr>
        <w:ilvl w:val="5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Normal"/>
    <w:rsid w:val="00027CBB"/>
    <w:pPr>
      <w:widowControl/>
      <w:numPr>
        <w:ilvl w:val="6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027CBB"/>
    <w:pPr>
      <w:spacing w:after="240"/>
    </w:pPr>
  </w:style>
  <w:style w:type="paragraph" w:customStyle="1" w:styleId="PageHeadingNotTOC">
    <w:name w:val="PageHeadingNotTOC"/>
    <w:basedOn w:val="Normal"/>
    <w:rsid w:val="00027CB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27CB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12Italic">
    <w:name w:val="Normal12Italic"/>
    <w:basedOn w:val="Normal"/>
    <w:rsid w:val="00027CBB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027CBB"/>
    <w:pPr>
      <w:keepNext/>
      <w:spacing w:before="240" w:after="240"/>
      <w:jc w:val="center"/>
    </w:pPr>
    <w:rPr>
      <w:i/>
      <w:noProof/>
    </w:rPr>
  </w:style>
  <w:style w:type="paragraph" w:customStyle="1" w:styleId="AMNumberTabs0">
    <w:name w:val="AMNumberTabs"/>
    <w:basedOn w:val="Normal"/>
    <w:rsid w:val="00027CB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ItalicCenter6a">
    <w:name w:val="NormalBoldItalicCenter6a"/>
    <w:basedOn w:val="Normal6a"/>
    <w:qFormat/>
    <w:rsid w:val="00027CBB"/>
    <w:pPr>
      <w:jc w:val="center"/>
    </w:pPr>
    <w:rPr>
      <w:rFonts w:eastAsia="Times New Roman"/>
      <w:b/>
      <w:bCs w:val="0"/>
      <w:i/>
      <w:iCs w:val="0"/>
      <w:lang w:eastAsia="en-GB"/>
    </w:rPr>
  </w:style>
  <w:style w:type="paragraph" w:customStyle="1" w:styleId="RollCallSymbols14pt">
    <w:name w:val="RollCallSymbols14pt"/>
    <w:basedOn w:val="Normal"/>
    <w:rsid w:val="00027CB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27CB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27CB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27CBB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027CBB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027CBB"/>
    <w:rPr>
      <w:sz w:val="24"/>
      <w:lang w:val="da-DK"/>
    </w:rPr>
  </w:style>
  <w:style w:type="character" w:customStyle="1" w:styleId="SupBoldItalic">
    <w:name w:val="SupBoldItalic"/>
    <w:uiPriority w:val="1"/>
    <w:qFormat/>
    <w:rsid w:val="00027CBB"/>
    <w:rPr>
      <w:b/>
      <w:i/>
      <w:vertAlign w:val="superscript"/>
    </w:rPr>
  </w:style>
  <w:style w:type="paragraph" w:customStyle="1" w:styleId="Olang">
    <w:name w:val="Olang"/>
    <w:rsid w:val="00027CBB"/>
    <w:pPr>
      <w:jc w:val="right"/>
    </w:pPr>
    <w:rPr>
      <w:lang w:val="da-DK"/>
    </w:rPr>
  </w:style>
  <w:style w:type="character" w:customStyle="1" w:styleId="bumpedfont15">
    <w:name w:val="bumpedfont15"/>
    <w:basedOn w:val="DefaultParagraphFont"/>
    <w:rsid w:val="00027CBB"/>
  </w:style>
  <w:style w:type="paragraph" w:styleId="Title">
    <w:name w:val="Title"/>
    <w:basedOn w:val="Normal"/>
    <w:next w:val="Normal"/>
    <w:link w:val="TitleChar"/>
    <w:uiPriority w:val="10"/>
    <w:qFormat/>
    <w:rsid w:val="00753FC5"/>
    <w:pPr>
      <w:widowControl/>
      <w:spacing w:before="240" w:after="60"/>
      <w:jc w:val="center"/>
      <w:outlineLvl w:val="0"/>
    </w:pPr>
    <w:rPr>
      <w:rFonts w:ascii="Arial" w:hAnsi="Arial" w:eastAsiaTheme="majorEastAsia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53FC5"/>
    <w:rPr>
      <w:rFonts w:ascii="Arial" w:hAnsi="Arial" w:eastAsiaTheme="majorEastAsia" w:cs="Arial"/>
      <w:b/>
      <w:bCs/>
      <w:kern w:val="28"/>
      <w:sz w:val="32"/>
      <w:szCs w:val="32"/>
      <w:lang w:val="da-DK"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FC5"/>
    <w:pPr>
      <w:widowControl/>
      <w:spacing w:after="60"/>
      <w:jc w:val="center"/>
      <w:outlineLvl w:val="1"/>
    </w:pPr>
    <w:rPr>
      <w:rFonts w:ascii="Arial" w:hAnsi="Arial" w:eastAsiaTheme="majorEastAsia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53FC5"/>
    <w:rPr>
      <w:rFonts w:ascii="Arial" w:hAnsi="Arial" w:eastAsiaTheme="majorEastAsia" w:cs="Arial"/>
      <w:kern w:val="2"/>
      <w:sz w:val="24"/>
      <w:szCs w:val="24"/>
      <w:lang w:val="da-DK" w:eastAsia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753FC5"/>
    <w:rPr>
      <w:b/>
      <w:bCs/>
    </w:rPr>
  </w:style>
  <w:style w:type="character" w:styleId="Emphasis">
    <w:name w:val="Emphasis"/>
    <w:basedOn w:val="DefaultParagraphFont"/>
    <w:uiPriority w:val="20"/>
    <w:qFormat/>
    <w:rsid w:val="00753FC5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53FC5"/>
    <w:pPr>
      <w:widowControl/>
      <w:jc w:val="both"/>
    </w:pPr>
    <w:rPr>
      <w:rFonts w:eastAsiaTheme="minorHAnsi"/>
      <w:kern w:val="2"/>
      <w:szCs w:val="32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753FC5"/>
    <w:pPr>
      <w:widowControl/>
      <w:jc w:val="both"/>
    </w:pPr>
    <w:rPr>
      <w:rFonts w:eastAsiaTheme="minorHAnsi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53FC5"/>
    <w:rPr>
      <w:rFonts w:eastAsiaTheme="minorHAnsi"/>
      <w:i/>
      <w:kern w:val="2"/>
      <w:sz w:val="24"/>
      <w:szCs w:val="24"/>
      <w:lang w:val="da-DK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FC5"/>
    <w:pPr>
      <w:widowControl/>
      <w:ind w:left="720" w:right="720"/>
      <w:jc w:val="both"/>
    </w:pPr>
    <w:rPr>
      <w:rFonts w:eastAsiaTheme="minorHAnsi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FC5"/>
    <w:rPr>
      <w:rFonts w:eastAsiaTheme="minorHAnsi"/>
      <w:b/>
      <w:i/>
      <w:kern w:val="2"/>
      <w:sz w:val="24"/>
      <w:szCs w:val="22"/>
      <w:lang w:val="da-DK" w:eastAsia="en-US"/>
      <w14:ligatures w14:val="standardContextual"/>
    </w:rPr>
  </w:style>
  <w:style w:type="character" w:styleId="SubtleEmphasis">
    <w:name w:val="Subtle Emphasis"/>
    <w:uiPriority w:val="19"/>
    <w:qFormat/>
    <w:rsid w:val="00753FC5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53FC5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53FC5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53FC5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53FC5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753FC5"/>
  </w:style>
  <w:style w:type="paragraph" w:styleId="TOC4">
    <w:name w:val="toc 4"/>
    <w:basedOn w:val="Normal"/>
    <w:next w:val="Normal"/>
    <w:uiPriority w:val="39"/>
    <w:unhideWhenUsed/>
    <w:rsid w:val="00753FC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53FC5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53FC5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53FC5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53FC5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53FC5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753FC5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753FC5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753FC5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53FC5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753FC5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753FC5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753FC5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753FC5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753FC5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753FC5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753FC5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753FC5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753FC5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753FC5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753FC5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753FC5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753FC5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753FC5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753FC5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753FC5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753FC5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753FC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753FC5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753FC5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753FC5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753FC5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753FC5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753FC5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753FC5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753FC5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753FC5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753FC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753FC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753FC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753FC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753FC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753FC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753FC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753FC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753FC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753FC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753FC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753FC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753FC5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753FC5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753FC5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753FC5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753FC5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753FC5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753FC5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753FC5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753FC5"/>
    <w:pPr>
      <w:widowControl/>
      <w:numPr>
        <w:numId w:val="1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53FC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53FC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53FC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53FC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53FC5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53FC5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53FC5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753FC5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53FC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53FC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53FC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53FC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753FC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753FC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753FC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53FC5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53FC5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53FC5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53FC5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753FC5"/>
    <w:pPr>
      <w:widowControl/>
      <w:numPr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753FC5"/>
    <w:pPr>
      <w:widowControl/>
      <w:numPr>
        <w:ilvl w:val="2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753FC5"/>
    <w:pPr>
      <w:widowControl/>
      <w:numPr>
        <w:ilvl w:val="4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753FC5"/>
    <w:pPr>
      <w:widowControl/>
      <w:numPr>
        <w:ilvl w:val="6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753FC5"/>
    <w:pPr>
      <w:widowControl/>
      <w:numPr>
        <w:ilvl w:val="1"/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753FC5"/>
    <w:pPr>
      <w:widowControl/>
      <w:numPr>
        <w:ilvl w:val="3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753FC5"/>
    <w:pPr>
      <w:widowControl/>
      <w:numPr>
        <w:ilvl w:val="5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753FC5"/>
    <w:pPr>
      <w:widowControl/>
      <w:numPr>
        <w:ilvl w:val="7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753FC5"/>
    <w:pPr>
      <w:widowControl/>
      <w:numPr>
        <w:ilvl w:val="8"/>
        <w:numId w:val="13"/>
      </w:numPr>
      <w:tabs>
        <w:tab w:val="num" w:pos="360"/>
        <w:tab w:val="clear" w:pos="3118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753FC5"/>
    <w:pPr>
      <w:widowControl/>
      <w:numPr>
        <w:numId w:val="14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753FC5"/>
    <w:pPr>
      <w:widowControl/>
      <w:numPr>
        <w:numId w:val="15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753FC5"/>
    <w:pPr>
      <w:widowControl/>
      <w:numPr>
        <w:numId w:val="16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753FC5"/>
    <w:pPr>
      <w:widowControl/>
      <w:numPr>
        <w:numId w:val="17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753FC5"/>
    <w:pPr>
      <w:widowControl/>
      <w:numPr>
        <w:numId w:val="18"/>
      </w:numPr>
      <w:tabs>
        <w:tab w:val="num" w:pos="360"/>
        <w:tab w:val="clear" w:pos="3118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753FC5"/>
    <w:pPr>
      <w:widowControl/>
      <w:numPr>
        <w:numId w:val="19"/>
      </w:numPr>
      <w:tabs>
        <w:tab w:val="num" w:pos="360"/>
        <w:tab w:val="clear" w:pos="3685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753FC5"/>
    <w:pPr>
      <w:widowControl/>
      <w:numPr>
        <w:numId w:val="20"/>
      </w:numPr>
      <w:tabs>
        <w:tab w:val="num" w:pos="360"/>
        <w:tab w:val="clear" w:pos="4252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753FC5"/>
    <w:pPr>
      <w:widowControl/>
      <w:numPr>
        <w:numId w:val="21"/>
      </w:numPr>
      <w:tabs>
        <w:tab w:val="num" w:pos="360"/>
        <w:tab w:val="clear" w:pos="4819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753FC5"/>
    <w:pPr>
      <w:widowControl/>
      <w:numPr>
        <w:numId w:val="22"/>
      </w:numPr>
      <w:tabs>
        <w:tab w:val="num" w:pos="360"/>
        <w:tab w:val="clear" w:pos="5386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753FC5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53FC5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53FC5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753FC5"/>
    <w:pPr>
      <w:widowControl/>
      <w:numPr>
        <w:numId w:val="2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53FC5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53FC5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53FC5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53FC5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53FC5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53FC5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753FC5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753FC5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53FC5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753FC5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753FC5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753FC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53FC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53FC5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753FC5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753FC5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753FC5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753FC5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753FC5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753FC5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53FC5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753FC5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53FC5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53FC5"/>
    <w:pPr>
      <w:spacing w:before="240"/>
    </w:pPr>
  </w:style>
  <w:style w:type="paragraph" w:customStyle="1" w:styleId="Accordtitre">
    <w:name w:val="Accord titre"/>
    <w:basedOn w:val="Normal"/>
    <w:rsid w:val="00753FC5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753FC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753FC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53FC5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53FC5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53FC5"/>
    <w:pPr>
      <w:spacing w:after="240"/>
    </w:pPr>
  </w:style>
  <w:style w:type="paragraph" w:customStyle="1" w:styleId="Annexetitre">
    <w:name w:val="Annexe titre"/>
    <w:basedOn w:val="Normal"/>
    <w:next w:val="Normal"/>
    <w:rsid w:val="00753FC5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753FC5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753FC5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53FC5"/>
    <w:rPr>
      <w:rFonts w:eastAsiaTheme="minorHAnsi"/>
      <w:lang w:val="da-DK" w:eastAsia="en-US"/>
    </w:rPr>
  </w:style>
  <w:style w:type="character" w:styleId="EndnoteReference">
    <w:name w:val="endnote reference"/>
    <w:basedOn w:val="DefaultParagraphFont"/>
    <w:uiPriority w:val="99"/>
    <w:unhideWhenUsed/>
    <w:rsid w:val="00753FC5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753FC5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53FC5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53FC5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53FC5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53FC5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53FC5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53FC5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53FC5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53FC5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53FC5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53FC5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53FC5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53FC5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53FC5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53FC5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53FC5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53FC5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53FC5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53FC5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53FC5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53FC5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53FC5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53FC5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53FC5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53FC5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53FC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753FC5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="Arial"/>
      <w:i/>
      <w:sz w:val="22"/>
      <w:szCs w:val="22"/>
      <w:lang w:val="da-DK" w:eastAsia="en-US"/>
    </w:rPr>
  </w:style>
  <w:style w:type="paragraph" w:customStyle="1" w:styleId="CommentFwdQuotedText">
    <w:name w:val="CommentFwdQuotedText"/>
    <w:basedOn w:val="Normal"/>
    <w:rsid w:val="00753FC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53FC5"/>
    <w:pPr>
      <w:pBdr>
        <w:top w:val="none" w:sz="0" w:space="0" w:color="auto"/>
        <w:left w:val="single" w:sz="4" w:space="20" w:color="auto"/>
      </w:pBdr>
    </w:pPr>
  </w:style>
  <w:style w:type="paragraph" w:styleId="BodyText">
    <w:name w:val="Body Text"/>
    <w:basedOn w:val="Normal"/>
    <w:link w:val="BodyTextChar"/>
    <w:uiPriority w:val="1"/>
    <w:qFormat/>
    <w:rsid w:val="00753FC5"/>
    <w:pPr>
      <w:autoSpaceDE w:val="0"/>
      <w:autoSpaceDN w:val="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53FC5"/>
    <w:rPr>
      <w:sz w:val="24"/>
      <w:szCs w:val="24"/>
      <w:lang w:val="da-DK" w:eastAsia="en-US"/>
    </w:rPr>
  </w:style>
  <w:style w:type="paragraph" w:customStyle="1" w:styleId="TableParagraph">
    <w:name w:val="Table Paragraph"/>
    <w:basedOn w:val="Normal"/>
    <w:uiPriority w:val="1"/>
    <w:qFormat/>
    <w:rsid w:val="00753FC5"/>
    <w:pPr>
      <w:autoSpaceDE w:val="0"/>
      <w:autoSpaceDN w:val="0"/>
      <w:spacing w:before="50"/>
      <w:ind w:left="112"/>
    </w:pPr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53FC5"/>
    <w:pPr>
      <w:widowControl/>
      <w:spacing w:before="120" w:after="120" w:line="360" w:lineRule="auto"/>
    </w:pPr>
    <w:rPr>
      <w:rFonts w:eastAsiaTheme="minorHAnsi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53F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4.xml" /><Relationship Id="rId15" Type="http://schemas.openxmlformats.org/officeDocument/2006/relationships/footer" Target="footer5.xml" /><Relationship Id="rId16" Type="http://schemas.openxmlformats.org/officeDocument/2006/relationships/header" Target="header6.xml" /><Relationship Id="rId17" Type="http://schemas.openxmlformats.org/officeDocument/2006/relationships/footer" Target="footer6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2026-08-25T09:33:00Z</dcterms:created>
  <dcterms:modified xsi:type="dcterms:W3CDTF">2026-09-21T09:12:00Z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P10_TA(2026)0114_</vt:lpwstr>
  </property>
  <property fmtid="{D5CDD505-2E9C-101B-9397-08002B2CF9AE}" pid="4" name="&lt;Type&gt;">
    <vt:lpwstr>RR</vt:lpwstr>
  </property>
</Properties>
</file>