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57E824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905DE" w:rsidP="0010095E" w14:paraId="74BDA8BD" w14:textId="7BE19CC4">
            <w:pPr>
              <w:pStyle w:val="EPName"/>
            </w:pPr>
            <w:r w:rsidRPr="00A905DE">
              <w:t>Parlement européen</w:t>
            </w:r>
          </w:p>
          <w:p w:rsidR="00751A4A" w:rsidRPr="00A905DE" w:rsidP="005F1B17" w14:paraId="2AFF4C7A" w14:textId="34E767E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05DE">
              <w:t>2024</w:t>
            </w:r>
            <w:r w:rsidRPr="00A905DE" w:rsidR="00817416">
              <w:t>-</w:t>
            </w:r>
            <w:r w:rsidRPr="00A905DE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A905DE" w:rsidP="0010095E" w14:paraId="1F25BADD" w14:textId="77777777">
            <w:pPr>
              <w:pStyle w:val="EPLogo"/>
            </w:pPr>
            <w:r w:rsidRPr="00A905D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905DE" w:rsidP="004C5D52" w14:paraId="6157ECE0" w14:textId="77777777">
      <w:pPr>
        <w:pStyle w:val="LineTop"/>
      </w:pPr>
    </w:p>
    <w:p w:rsidR="00680577" w:rsidRPr="00A905DE" w:rsidP="00680577" w14:paraId="0527317C" w14:textId="7A85F690">
      <w:pPr>
        <w:pStyle w:val="EPBodyTA1"/>
      </w:pPr>
      <w:r w:rsidRPr="00A905DE">
        <w:t>TEXTES ADOPTÉS</w:t>
      </w:r>
    </w:p>
    <w:p w:rsidR="00D058B8" w:rsidRPr="00A905DE" w:rsidP="00D058B8" w14:paraId="4BA208EF" w14:textId="77777777">
      <w:pPr>
        <w:pStyle w:val="LineBottom"/>
      </w:pPr>
    </w:p>
    <w:p w:rsidR="00955EAE" w:rsidRPr="00A905DE" w:rsidP="00955EAE" w14:paraId="63E9D17B" w14:textId="21E40AEE">
      <w:pPr>
        <w:pStyle w:val="ATHeading1"/>
      </w:pPr>
      <w:bookmarkStart w:id="0" w:name="TANumber"/>
      <w:r w:rsidRPr="00A905DE">
        <w:t>P</w:t>
      </w:r>
      <w:r w:rsidRPr="00A905DE" w:rsidR="001179EF">
        <w:t>10</w:t>
      </w:r>
      <w:r w:rsidRPr="00A905DE">
        <w:t>_TA(</w:t>
      </w:r>
      <w:r w:rsidRPr="00A905DE" w:rsidR="001179EF">
        <w:t>2026</w:t>
      </w:r>
      <w:r w:rsidRPr="00A905DE">
        <w:t>)</w:t>
      </w:r>
      <w:r w:rsidRPr="00A905DE" w:rsidR="001179EF">
        <w:t>01</w:t>
      </w:r>
      <w:bookmarkEnd w:id="0"/>
      <w:r w:rsidRPr="00A905DE" w:rsidR="001179EF">
        <w:t>14</w:t>
      </w:r>
    </w:p>
    <w:p w:rsidR="00955EAE" w:rsidRPr="00A905DE" w:rsidP="00955EAE" w14:paraId="3DB8AD40" w14:textId="78A4886F">
      <w:pPr>
        <w:pStyle w:val="ATHeading2"/>
      </w:pPr>
      <w:bookmarkStart w:id="1" w:name="title"/>
      <w:r w:rsidRPr="00A905DE">
        <w:rPr>
          <w:bCs/>
        </w:rPr>
        <w:t>Schéma de préférences tarifaires généralisé</w:t>
      </w:r>
      <w:bookmarkEnd w:id="1"/>
    </w:p>
    <w:p w:rsidR="00955EAE" w:rsidRPr="00A905DE" w:rsidP="00955EAE" w14:paraId="6D297DD3" w14:textId="47F975D3">
      <w:pPr>
        <w:rPr>
          <w:i/>
          <w:vanish/>
        </w:rPr>
      </w:pPr>
      <w:r>
        <w:rPr>
          <w:i/>
        </w:rPr>
        <w:fldChar w:fldCharType="begin"/>
      </w:r>
      <w:r w:rsidRPr="00A905DE">
        <w:rPr>
          <w:i/>
        </w:rPr>
        <w:instrText xml:space="preserve"> TC"(</w:instrText>
      </w:r>
      <w:bookmarkStart w:id="2" w:name="DocNumber"/>
      <w:r w:rsidRPr="00A905DE">
        <w:rPr>
          <w:i/>
        </w:rPr>
        <w:instrText>A</w:instrText>
      </w:r>
      <w:r w:rsidRPr="00A905DE" w:rsidR="001179EF">
        <w:rPr>
          <w:i/>
        </w:rPr>
        <w:instrText>9</w:instrText>
      </w:r>
      <w:r w:rsidRPr="00A905DE">
        <w:rPr>
          <w:i/>
        </w:rPr>
        <w:instrText>-</w:instrText>
      </w:r>
      <w:r w:rsidRPr="00A905DE" w:rsidR="001179EF">
        <w:rPr>
          <w:i/>
        </w:rPr>
        <w:instrText>0147</w:instrText>
      </w:r>
      <w:r w:rsidRPr="00A905DE">
        <w:rPr>
          <w:i/>
        </w:rPr>
        <w:instrText>/</w:instrText>
      </w:r>
      <w:r w:rsidRPr="00A905DE" w:rsidR="001179EF">
        <w:rPr>
          <w:i/>
        </w:rPr>
        <w:instrText>20</w:instrText>
      </w:r>
      <w:bookmarkEnd w:id="2"/>
      <w:r w:rsidRPr="00A905DE" w:rsidR="001179EF">
        <w:rPr>
          <w:i/>
        </w:rPr>
        <w:instrText>22</w:instrText>
      </w:r>
      <w:r w:rsidRPr="00A905DE">
        <w:rPr>
          <w:i/>
        </w:rPr>
        <w:instrText xml:space="preserve"> - Rapporteur: </w:instrText>
      </w:r>
      <w:r w:rsidRPr="00A905DE" w:rsidR="004D0D71">
        <w:rPr>
          <w:i/>
        </w:rPr>
        <w:instrText>Bernd Lange</w:instrText>
      </w:r>
      <w:r w:rsidRPr="00A905DE">
        <w:rPr>
          <w:i/>
        </w:rPr>
        <w:instrText>)"\l</w:instrText>
      </w:r>
      <w:r w:rsidRPr="00A905DE" w:rsidR="001179EF">
        <w:rPr>
          <w:i/>
        </w:rPr>
        <w:instrText>3</w:instrText>
      </w:r>
      <w:r w:rsidRPr="00A905DE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955EAE" w:rsidRPr="00A905DE" w:rsidP="00955EAE" w14:paraId="7C4280FB" w14:textId="77777777">
      <w:pPr>
        <w:rPr>
          <w:vanish/>
        </w:rPr>
      </w:pPr>
      <w:bookmarkStart w:id="3" w:name="Commission"/>
      <w:r w:rsidRPr="00A905DE">
        <w:rPr>
          <w:vanish/>
        </w:rPr>
        <w:t>Commission du commerce international</w:t>
      </w:r>
      <w:bookmarkEnd w:id="3"/>
    </w:p>
    <w:p w:rsidR="00955EAE" w:rsidRPr="00A905DE" w:rsidP="00955EAE" w14:paraId="73CA3C7B" w14:textId="59A6531D">
      <w:pPr>
        <w:rPr>
          <w:vanish/>
        </w:rPr>
      </w:pPr>
      <w:bookmarkStart w:id="4" w:name="PE"/>
      <w:r w:rsidRPr="00A905DE">
        <w:rPr>
          <w:vanish/>
        </w:rPr>
        <w:t>PE</w:t>
      </w:r>
      <w:r w:rsidRPr="00A905DE" w:rsidR="001179EF">
        <w:rPr>
          <w:vanish/>
        </w:rPr>
        <w:t>703</w:t>
      </w:r>
      <w:r w:rsidRPr="00A905DE">
        <w:rPr>
          <w:vanish/>
        </w:rPr>
        <w:t>.</w:t>
      </w:r>
      <w:r w:rsidRPr="00A905DE" w:rsidR="001179EF">
        <w:rPr>
          <w:vanish/>
        </w:rPr>
        <w:t>1</w:t>
      </w:r>
      <w:bookmarkEnd w:id="4"/>
      <w:r w:rsidRPr="00A905DE" w:rsidR="001179EF">
        <w:rPr>
          <w:vanish/>
        </w:rPr>
        <w:t>00</w:t>
      </w:r>
    </w:p>
    <w:p w:rsidR="00955EAE" w:rsidRPr="00A905DE" w:rsidP="00955EAE" w14:paraId="5CA6B89B" w14:textId="2CEFAF68">
      <w:pPr>
        <w:pStyle w:val="ATHeading3"/>
      </w:pPr>
      <w:bookmarkStart w:id="5" w:name="Sujet"/>
      <w:r w:rsidRPr="00A905DE">
        <w:t xml:space="preserve">Résolution législative du Parlement européen du </w:t>
      </w:r>
      <w:r w:rsidRPr="00A905DE" w:rsidR="001179EF">
        <w:t>28</w:t>
      </w:r>
      <w:r w:rsidRPr="00A905DE" w:rsidR="007B6A90">
        <w:t xml:space="preserve"> avril</w:t>
      </w:r>
      <w:r w:rsidRPr="00A905DE">
        <w:t xml:space="preserve"> </w:t>
      </w:r>
      <w:r w:rsidRPr="00A905DE" w:rsidR="001179EF">
        <w:t>2026</w:t>
      </w:r>
      <w:r w:rsidRPr="00A905DE">
        <w:t xml:space="preserve"> sur la proposition de règlement du Parlement européen et du Conseil relatif à l’application d’un schéma de préférences tarifaires généralisé et abrogeant le règlement (UE) nº </w:t>
      </w:r>
      <w:r w:rsidRPr="00A905DE" w:rsidR="001179EF">
        <w:t>978</w:t>
      </w:r>
      <w:r w:rsidRPr="00A905DE">
        <w:t>/</w:t>
      </w:r>
      <w:r w:rsidRPr="00A905DE" w:rsidR="001179EF">
        <w:t>2012</w:t>
      </w:r>
      <w:r w:rsidRPr="00A905DE">
        <w:t xml:space="preserve"> du Parlement européen et du Conseil</w:t>
      </w:r>
      <w:bookmarkEnd w:id="5"/>
      <w:r w:rsidRPr="00A905DE">
        <w:t xml:space="preserve"> </w:t>
      </w:r>
      <w:bookmarkStart w:id="6" w:name="References"/>
      <w:r w:rsidRPr="00A905DE">
        <w:t>(COM(</w:t>
      </w:r>
      <w:r w:rsidRPr="00A905DE" w:rsidR="001179EF">
        <w:t>2021</w:t>
      </w:r>
      <w:r w:rsidRPr="00A905DE">
        <w:t>)</w:t>
      </w:r>
      <w:r w:rsidRPr="00A905DE" w:rsidR="001179EF">
        <w:t>0579</w:t>
      </w:r>
      <w:r w:rsidRPr="00A905DE">
        <w:t xml:space="preserve"> – C</w:t>
      </w:r>
      <w:r w:rsidRPr="00A905DE" w:rsidR="001179EF">
        <w:t>9</w:t>
      </w:r>
      <w:r w:rsidRPr="00A905DE">
        <w:t>-</w:t>
      </w:r>
      <w:r w:rsidRPr="00A905DE" w:rsidR="001179EF">
        <w:t>0364</w:t>
      </w:r>
      <w:r w:rsidRPr="00A905DE" w:rsidR="0064623B">
        <w:t>/</w:t>
      </w:r>
      <w:r w:rsidRPr="00A905DE" w:rsidR="001179EF">
        <w:t>2021</w:t>
      </w:r>
      <w:r w:rsidRPr="00A905DE">
        <w:t xml:space="preserve"> – </w:t>
      </w:r>
      <w:r w:rsidRPr="00A905DE" w:rsidR="001179EF">
        <w:t>2021</w:t>
      </w:r>
      <w:r w:rsidRPr="00A905DE">
        <w:t>/</w:t>
      </w:r>
      <w:r w:rsidRPr="00A905DE" w:rsidR="001179EF">
        <w:t>0297</w:t>
      </w:r>
      <w:r w:rsidRPr="00A905DE">
        <w:t>(COD))</w:t>
      </w:r>
      <w:bookmarkEnd w:id="6"/>
    </w:p>
    <w:p w:rsidR="004B6CAC" w:rsidRPr="00A905DE" w:rsidP="004B6CAC" w14:paraId="2AAFBB6D" w14:textId="77777777">
      <w:pPr>
        <w:rPr>
          <w:b/>
        </w:rPr>
      </w:pPr>
      <w:r w:rsidRPr="00A905DE">
        <w:rPr>
          <w:b/>
        </w:rPr>
        <w:t>(Procédure législative ordinaire: première lecture)</w:t>
      </w:r>
    </w:p>
    <w:p w:rsidR="004B6CAC" w:rsidRPr="00A905DE" w:rsidP="004B6CAC" w14:paraId="32B619F1" w14:textId="77777777">
      <w:pPr>
        <w:spacing w:before="480" w:after="240"/>
      </w:pPr>
      <w:r w:rsidRPr="00A905DE">
        <w:rPr>
          <w:i/>
        </w:rPr>
        <w:t>Le Parlement européen</w:t>
      </w:r>
      <w:r w:rsidRPr="00A905DE">
        <w:t>,</w:t>
      </w:r>
    </w:p>
    <w:p w:rsidR="004B6CAC" w:rsidRPr="00A905DE" w:rsidP="004B6CAC" w14:paraId="0F0E081F" w14:textId="48E1FFA5">
      <w:pPr>
        <w:spacing w:after="240"/>
        <w:ind w:left="567" w:hanging="567"/>
      </w:pPr>
      <w:r w:rsidRPr="00A905DE">
        <w:t>–</w:t>
      </w:r>
      <w:r w:rsidRPr="00A905DE">
        <w:tab/>
        <w:t>vu la proposition de la Commission au Parlement européen et au Conseil (COM(</w:t>
      </w:r>
      <w:r w:rsidRPr="00A905DE" w:rsidR="001179EF">
        <w:t>2021</w:t>
      </w:r>
      <w:r w:rsidRPr="00A905DE">
        <w:t>)</w:t>
      </w:r>
      <w:r w:rsidRPr="00A905DE" w:rsidR="001179EF">
        <w:t>0579</w:t>
      </w:r>
      <w:r w:rsidRPr="00A905DE">
        <w:t>),</w:t>
      </w:r>
    </w:p>
    <w:p w:rsidR="004B6CAC" w:rsidRPr="00A905DE" w:rsidP="004B6CAC" w14:paraId="285A5160" w14:textId="3AA3B6B7">
      <w:pPr>
        <w:spacing w:after="240"/>
        <w:ind w:left="567" w:hanging="567"/>
      </w:pPr>
      <w:r w:rsidRPr="00A905DE">
        <w:t>–</w:t>
      </w:r>
      <w:r w:rsidRPr="00A905DE">
        <w:tab/>
        <w:t>vu l’article </w:t>
      </w:r>
      <w:r w:rsidRPr="00A905DE" w:rsidR="001179EF">
        <w:t>294</w:t>
      </w:r>
      <w:r w:rsidRPr="00A905DE">
        <w:t>, paragraphe </w:t>
      </w:r>
      <w:r w:rsidRPr="00A905DE" w:rsidR="001179EF">
        <w:t>2</w:t>
      </w:r>
      <w:r w:rsidRPr="00A905DE">
        <w:t>, et l’article </w:t>
      </w:r>
      <w:r w:rsidRPr="00A905DE" w:rsidR="001179EF">
        <w:t>207</w:t>
      </w:r>
      <w:r w:rsidRPr="00A905DE">
        <w:t>, paragraphe </w:t>
      </w:r>
      <w:r w:rsidRPr="00A905DE" w:rsidR="001179EF">
        <w:t>2</w:t>
      </w:r>
      <w:r w:rsidRPr="00A905DE">
        <w:t>, du traité sur le fonctionnement de l’Union européenne, conformément auxquels la proposition lui a été présentée par la Commission (C</w:t>
      </w:r>
      <w:r w:rsidRPr="00A905DE" w:rsidR="001179EF">
        <w:t>9</w:t>
      </w:r>
      <w:r w:rsidRPr="00A905DE">
        <w:t>-</w:t>
      </w:r>
      <w:r w:rsidRPr="00A905DE" w:rsidR="001179EF">
        <w:t>0364</w:t>
      </w:r>
      <w:r w:rsidRPr="00A905DE">
        <w:t>/</w:t>
      </w:r>
      <w:r w:rsidRPr="00A905DE" w:rsidR="001179EF">
        <w:t>2021</w:t>
      </w:r>
      <w:r w:rsidRPr="00A905DE">
        <w:t>),</w:t>
      </w:r>
    </w:p>
    <w:p w:rsidR="004B6CAC" w:rsidRPr="00A905DE" w:rsidP="004B6CAC" w14:paraId="2BF087A0" w14:textId="1190C6D4">
      <w:pPr>
        <w:spacing w:after="240"/>
        <w:ind w:left="567" w:hanging="567"/>
      </w:pPr>
      <w:r w:rsidRPr="00A905DE">
        <w:rPr>
          <w:rFonts w:ascii="Symbol" w:hAnsi="Symbol"/>
        </w:rPr>
        <w:sym w:font="Symbol" w:char="F02D"/>
      </w:r>
      <w:r w:rsidRPr="00A905DE" w:rsidR="00966715">
        <w:tab/>
      </w:r>
      <w:r w:rsidRPr="00A905DE">
        <w:t>vu l’article </w:t>
      </w:r>
      <w:r w:rsidRPr="00A905DE" w:rsidR="001179EF">
        <w:t>294</w:t>
      </w:r>
      <w:r w:rsidRPr="00A905DE">
        <w:t>, paragraphe </w:t>
      </w:r>
      <w:r w:rsidRPr="00A905DE" w:rsidR="001179EF">
        <w:t>3</w:t>
      </w:r>
      <w:r w:rsidRPr="00A905DE">
        <w:t>, du traité sur le fonctionnement de l’Union européenne,</w:t>
      </w:r>
    </w:p>
    <w:p w:rsidR="00966715" w:rsidRPr="00A905DE" w:rsidP="004B6CAC" w14:paraId="6F76E708" w14:textId="71C46F62">
      <w:pPr>
        <w:spacing w:after="240"/>
        <w:ind w:left="567" w:hanging="567"/>
        <w:rPr>
          <w:szCs w:val="24"/>
        </w:rPr>
      </w:pPr>
      <w:r w:rsidRPr="00A905DE">
        <w:rPr>
          <w:rFonts w:ascii="Symbol" w:hAnsi="Symbol"/>
        </w:rPr>
        <w:sym w:font="Symbol" w:char="F02D"/>
      </w:r>
      <w:r w:rsidRPr="00A905DE">
        <w:rPr>
          <w:rFonts w:ascii="Symbol" w:hAnsi="Symbol"/>
        </w:rPr>
        <w:tab/>
      </w:r>
      <w:r w:rsidRPr="00A905DE">
        <w:t>v</w:t>
      </w:r>
      <w:bookmarkStart w:id="7" w:name="_Hlk223944918"/>
      <w:r w:rsidRPr="00A905DE">
        <w:t>u l’accord provisoire approuvé en vertu de l’article </w:t>
      </w:r>
      <w:r w:rsidRPr="00A905DE" w:rsidR="001179EF">
        <w:t>75</w:t>
      </w:r>
      <w:r w:rsidRPr="00A905DE">
        <w:t>, paragraphe </w:t>
      </w:r>
      <w:r w:rsidRPr="00A905DE" w:rsidR="001179EF">
        <w:t>4</w:t>
      </w:r>
      <w:r w:rsidRPr="00A905DE">
        <w:t xml:space="preserve">, de son règlement intérieur par la commission compétente et l’engagement pris par le représentant du Conseil, par lettre du </w:t>
      </w:r>
      <w:r w:rsidRPr="00A905DE" w:rsidR="001179EF">
        <w:t>19</w:t>
      </w:r>
      <w:r w:rsidRPr="00A905DE">
        <w:t xml:space="preserve"> décembre </w:t>
      </w:r>
      <w:r w:rsidRPr="00A905DE" w:rsidR="001179EF">
        <w:t>2025</w:t>
      </w:r>
      <w:r w:rsidRPr="00A905DE">
        <w:t>, d’approuver la position du Parlement européen, conformément à l’article </w:t>
      </w:r>
      <w:r w:rsidRPr="00A905DE" w:rsidR="001179EF">
        <w:t>294</w:t>
      </w:r>
      <w:r w:rsidRPr="00A905DE">
        <w:t>, paragraphe </w:t>
      </w:r>
      <w:r w:rsidRPr="00A905DE" w:rsidR="001179EF">
        <w:t>4</w:t>
      </w:r>
      <w:r w:rsidRPr="00A905DE">
        <w:t>, du traité sur le fonctionnement de l’Union européenne,</w:t>
      </w:r>
      <w:bookmarkEnd w:id="7"/>
    </w:p>
    <w:p w:rsidR="004B6CAC" w:rsidRPr="00A905DE" w:rsidP="004B6CAC" w14:paraId="458FBDFF" w14:textId="10A6ABFB">
      <w:pPr>
        <w:spacing w:after="240"/>
        <w:ind w:left="567" w:hanging="567"/>
      </w:pPr>
      <w:r w:rsidRPr="00A905DE">
        <w:t>–</w:t>
      </w:r>
      <w:r w:rsidRPr="00A905DE">
        <w:tab/>
        <w:t>vu l’article </w:t>
      </w:r>
      <w:r w:rsidRPr="00A905DE" w:rsidR="001179EF">
        <w:t>60</w:t>
      </w:r>
      <w:r w:rsidRPr="00A905DE" w:rsidR="00966715">
        <w:t xml:space="preserve"> </w:t>
      </w:r>
      <w:r w:rsidRPr="00A905DE">
        <w:t>de son règlement intérieur,</w:t>
      </w:r>
      <w:r w:rsidRPr="00A905DE" w:rsidR="004D0D71">
        <w:t xml:space="preserve"> </w:t>
      </w:r>
    </w:p>
    <w:p w:rsidR="004B6CAC" w:rsidRPr="00A905DE" w:rsidP="004B6CAC" w14:paraId="3678B44E" w14:textId="77777777">
      <w:pPr>
        <w:spacing w:after="240"/>
        <w:ind w:left="567" w:hanging="567"/>
        <w:rPr>
          <w:color w:val="000000"/>
        </w:rPr>
      </w:pPr>
      <w:r w:rsidRPr="00A905DE">
        <w:t>–</w:t>
      </w:r>
      <w:r w:rsidRPr="00A905DE">
        <w:tab/>
        <w:t xml:space="preserve">vu les avis de la commission des </w:t>
      </w:r>
      <w:r w:rsidRPr="00A905DE">
        <w:rPr>
          <w:color w:val="000000"/>
        </w:rPr>
        <w:t xml:space="preserve">affaires étrangères et </w:t>
      </w:r>
      <w:r w:rsidRPr="00A905DE">
        <w:t xml:space="preserve">de la commission du </w:t>
      </w:r>
      <w:r w:rsidRPr="00A905DE">
        <w:rPr>
          <w:color w:val="000000"/>
        </w:rPr>
        <w:t>développement,</w:t>
      </w:r>
    </w:p>
    <w:p w:rsidR="004B6CAC" w:rsidRPr="00A905DE" w:rsidP="004B6CAC" w14:paraId="4FA9F7EA" w14:textId="3C7491AC">
      <w:pPr>
        <w:spacing w:after="240"/>
        <w:ind w:left="567" w:hanging="567"/>
      </w:pPr>
      <w:r w:rsidRPr="00A905DE">
        <w:t>–</w:t>
      </w:r>
      <w:r w:rsidRPr="00A905DE">
        <w:tab/>
        <w:t>vu le rapport de la commission du commerce international (A</w:t>
      </w:r>
      <w:r w:rsidRPr="00A905DE" w:rsidR="001179EF">
        <w:t>9</w:t>
      </w:r>
      <w:r w:rsidRPr="00A905DE">
        <w:t>-</w:t>
      </w:r>
      <w:r w:rsidRPr="00A905DE" w:rsidR="001179EF">
        <w:t>0147</w:t>
      </w:r>
      <w:r w:rsidRPr="00A905DE">
        <w:t>/</w:t>
      </w:r>
      <w:r w:rsidRPr="00A905DE" w:rsidR="001179EF">
        <w:t>2022</w:t>
      </w:r>
      <w:r w:rsidRPr="00A905DE">
        <w:t>),</w:t>
      </w:r>
    </w:p>
    <w:p w:rsidR="004B6CAC" w:rsidRPr="00A905DE" w:rsidP="004B6CAC" w14:paraId="4698B535" w14:textId="523DCC78">
      <w:pPr>
        <w:spacing w:after="240"/>
        <w:ind w:left="567" w:hanging="570"/>
      </w:pPr>
      <w:r w:rsidRPr="00A905DE">
        <w:t>1</w:t>
      </w:r>
      <w:r w:rsidRPr="00A905DE">
        <w:t>.</w:t>
      </w:r>
      <w:r w:rsidRPr="00A905DE">
        <w:tab/>
        <w:t>arrête la position en première lecture figurant ci-après;</w:t>
      </w:r>
    </w:p>
    <w:p w:rsidR="00F57194" w:rsidRPr="00A905DE" w:rsidP="004B6CAC" w14:paraId="47B8DAFF" w14:textId="0341A943">
      <w:pPr>
        <w:spacing w:after="240"/>
        <w:ind w:left="567" w:hanging="570"/>
        <w:sectPr w:rsidSect="00F57194">
          <w:footnotePr>
            <w:numRestart w:val="eachSect"/>
          </w:footnotePr>
          <w:pgSz w:w="11920" w:h="16850"/>
          <w:pgMar w:top="1134" w:right="1134" w:bottom="1134" w:left="1134" w:header="0" w:footer="1050" w:gutter="0"/>
          <w:cols w:space="720"/>
          <w:docGrid w:linePitch="326"/>
        </w:sectPr>
      </w:pPr>
      <w:r w:rsidRPr="00A905DE">
        <w:t>2</w:t>
      </w:r>
      <w:r w:rsidRPr="00A905DE" w:rsidR="004B6CAC">
        <w:t>.</w:t>
      </w:r>
      <w:r w:rsidRPr="00A905DE" w:rsidR="004B6CAC">
        <w:tab/>
        <w:t>charge sa Présidente de transmettre la position du Parlement au Conseil et à la Commission ainsi qu’aux parlements nationaux.</w:t>
      </w:r>
    </w:p>
    <w:p w:rsidR="00F57194" w:rsidRPr="00A905DE" w:rsidP="00F57194" w14:paraId="1BF10F05" w14:textId="63F2502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905DE">
        <w:rPr>
          <w:rFonts w:eastAsia="Calibri"/>
          <w:b/>
          <w:bCs/>
          <w:color w:val="000000"/>
          <w:szCs w:val="24"/>
        </w:rPr>
        <w:t>P</w:t>
      </w:r>
      <w:r w:rsidRPr="00A905DE" w:rsidR="001179EF">
        <w:rPr>
          <w:rFonts w:eastAsia="Calibri"/>
          <w:b/>
          <w:bCs/>
          <w:color w:val="000000"/>
          <w:szCs w:val="24"/>
        </w:rPr>
        <w:t>10</w:t>
      </w:r>
      <w:r w:rsidRPr="00A905DE">
        <w:rPr>
          <w:rFonts w:eastAsia="Calibri"/>
          <w:b/>
          <w:bCs/>
          <w:color w:val="000000"/>
          <w:szCs w:val="24"/>
        </w:rPr>
        <w:t>_TC</w:t>
      </w:r>
      <w:r w:rsidRPr="00A905DE" w:rsidR="001179EF">
        <w:rPr>
          <w:rFonts w:eastAsia="Calibri"/>
          <w:b/>
          <w:bCs/>
          <w:color w:val="000000"/>
          <w:szCs w:val="24"/>
        </w:rPr>
        <w:t>1</w:t>
      </w:r>
      <w:r w:rsidRPr="00A905DE">
        <w:rPr>
          <w:rFonts w:eastAsia="Calibri"/>
          <w:b/>
          <w:bCs/>
          <w:color w:val="000000"/>
          <w:szCs w:val="24"/>
        </w:rPr>
        <w:t>-COD(</w:t>
      </w:r>
      <w:r w:rsidRPr="00A905DE" w:rsidR="001179EF">
        <w:rPr>
          <w:rFonts w:eastAsia="Calibri"/>
          <w:b/>
          <w:bCs/>
          <w:color w:val="000000"/>
          <w:szCs w:val="24"/>
        </w:rPr>
        <w:t>2021</w:t>
      </w:r>
      <w:r w:rsidRPr="00A905DE">
        <w:rPr>
          <w:rFonts w:eastAsia="Calibri"/>
          <w:b/>
          <w:bCs/>
          <w:color w:val="000000"/>
          <w:szCs w:val="24"/>
        </w:rPr>
        <w:t>)</w:t>
      </w:r>
      <w:r w:rsidRPr="00A905DE" w:rsidR="001179EF">
        <w:rPr>
          <w:rFonts w:eastAsia="Calibri"/>
          <w:b/>
          <w:bCs/>
          <w:color w:val="000000"/>
          <w:szCs w:val="24"/>
        </w:rPr>
        <w:t>0297</w:t>
      </w:r>
    </w:p>
    <w:p w:rsidR="00F57194" w:rsidP="00F57194" w14:paraId="2A5EE5E3" w14:textId="1DBB2C7F">
      <w:pPr>
        <w:spacing w:after="240"/>
        <w:ind w:hanging="3"/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</w:pPr>
      <w:r w:rsidRPr="00A905DE">
        <w:rPr>
          <w:b/>
        </w:rPr>
        <w:t xml:space="preserve">Position du Parlement européen arrêtée en première lecture le </w:t>
      </w:r>
      <w:r w:rsidRPr="00A905DE" w:rsidR="001179EF">
        <w:rPr>
          <w:b/>
        </w:rPr>
        <w:t>28</w:t>
      </w:r>
      <w:r w:rsidRPr="00A905DE">
        <w:rPr>
          <w:b/>
        </w:rPr>
        <w:t xml:space="preserve"> avril </w:t>
      </w:r>
      <w:r w:rsidRPr="00A905DE" w:rsidR="001179EF">
        <w:rPr>
          <w:b/>
        </w:rPr>
        <w:t>2026</w:t>
      </w:r>
      <w:r w:rsidRPr="00A905DE">
        <w:rPr>
          <w:b/>
        </w:rPr>
        <w:t xml:space="preserve"> en vue de l’adoption du règlement (UE) </w:t>
      </w:r>
      <w:r w:rsidRPr="00A905DE" w:rsidR="001179EF">
        <w:rPr>
          <w:b/>
        </w:rPr>
        <w:t>2026</w:t>
      </w:r>
      <w:r w:rsidRPr="00A905DE">
        <w:rPr>
          <w:b/>
        </w:rPr>
        <w:t xml:space="preserve">/... du Parlement européen et du Conseil </w:t>
      </w:r>
      <w:r w:rsidRPr="00A905DE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relatif à l’application d’un schéma de préférences tarifaires </w:t>
      </w:r>
      <w:r w:rsidRPr="00A905DE">
        <w:rPr>
          <w:rFonts w:eastAsia="Aptos"/>
          <w:b/>
          <w:i/>
          <w:iCs/>
          <w:color w:val="000000"/>
          <w:kern w:val="2"/>
          <w:szCs w:val="24"/>
          <w:lang w:eastAsia="en-US"/>
          <w14:ligatures w14:val="standardContextual"/>
        </w:rPr>
        <w:t>généralisé</w:t>
      </w:r>
      <w:r w:rsidRPr="00A905DE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 et abrogeant le règlement (UE) nº </w:t>
      </w:r>
      <w:r w:rsidRPr="00A905DE" w:rsidR="001179E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978</w:t>
      </w:r>
      <w:r w:rsidRPr="00A905DE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/</w:t>
      </w:r>
      <w:r w:rsidRPr="00A905DE" w:rsidR="001179E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2012</w:t>
      </w:r>
    </w:p>
    <w:p w:rsidR="00165B84" w:rsidRPr="0070765D" w:rsidP="00165B84" w14:paraId="365F6029" w14:textId="12F274D1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1395</w:t>
      </w:r>
      <w:r w:rsidRPr="0070765D">
        <w:rPr>
          <w:b w:val="0"/>
          <w:i/>
          <w:szCs w:val="24"/>
        </w:rPr>
        <w:t>.)</w:t>
      </w:r>
    </w:p>
    <w:p w:rsidR="00165B84" w:rsidRPr="00A905DE" w:rsidP="00F57194" w14:paraId="092D9FFD" w14:textId="77777777">
      <w:pPr>
        <w:spacing w:after="240"/>
        <w:ind w:hanging="3"/>
      </w:pPr>
    </w:p>
    <w:sectPr w:rsidSect="00165B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20" w:h="16850"/>
      <w:pgMar w:top="1134" w:right="1134" w:bottom="1134" w:left="1134" w:header="0" w:footer="10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4D82" w14:paraId="0C63DC5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4D82" w14:paraId="4AD5B0E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4D82" w14:paraId="6EB4F6A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4D82" w14:paraId="76A648B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4D82" w14:paraId="3F8BFC9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4D82" w14:paraId="6AB2A3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99386703">
    <w:abstractNumId w:val="0"/>
  </w:num>
  <w:num w:numId="2" w16cid:durableId="1093207956">
    <w:abstractNumId w:val="7"/>
  </w:num>
  <w:num w:numId="3" w16cid:durableId="3336485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AE"/>
    <w:rsid w:val="00002272"/>
    <w:rsid w:val="00064002"/>
    <w:rsid w:val="000677B9"/>
    <w:rsid w:val="000831BA"/>
    <w:rsid w:val="000A42CC"/>
    <w:rsid w:val="000A7063"/>
    <w:rsid w:val="000E1A48"/>
    <w:rsid w:val="000E7DD9"/>
    <w:rsid w:val="0010095E"/>
    <w:rsid w:val="001179EF"/>
    <w:rsid w:val="00125B37"/>
    <w:rsid w:val="00165B84"/>
    <w:rsid w:val="00187494"/>
    <w:rsid w:val="001F32AE"/>
    <w:rsid w:val="002767FF"/>
    <w:rsid w:val="002A24FB"/>
    <w:rsid w:val="002B18FE"/>
    <w:rsid w:val="002B5493"/>
    <w:rsid w:val="002F48FC"/>
    <w:rsid w:val="00330EF6"/>
    <w:rsid w:val="00343214"/>
    <w:rsid w:val="00344D8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CAC"/>
    <w:rsid w:val="004C0004"/>
    <w:rsid w:val="004C5D52"/>
    <w:rsid w:val="004D0D71"/>
    <w:rsid w:val="00500DBE"/>
    <w:rsid w:val="0050519A"/>
    <w:rsid w:val="005072A1"/>
    <w:rsid w:val="00514517"/>
    <w:rsid w:val="00545827"/>
    <w:rsid w:val="0055085D"/>
    <w:rsid w:val="00554B35"/>
    <w:rsid w:val="00560270"/>
    <w:rsid w:val="00584523"/>
    <w:rsid w:val="005C2568"/>
    <w:rsid w:val="005F1B17"/>
    <w:rsid w:val="006037C0"/>
    <w:rsid w:val="0064623B"/>
    <w:rsid w:val="006631B6"/>
    <w:rsid w:val="00663E01"/>
    <w:rsid w:val="00680577"/>
    <w:rsid w:val="006C62AF"/>
    <w:rsid w:val="006F74FA"/>
    <w:rsid w:val="0070765D"/>
    <w:rsid w:val="00731ADD"/>
    <w:rsid w:val="00734777"/>
    <w:rsid w:val="00746F88"/>
    <w:rsid w:val="00747932"/>
    <w:rsid w:val="00751A4A"/>
    <w:rsid w:val="00756632"/>
    <w:rsid w:val="00762C74"/>
    <w:rsid w:val="00786EC0"/>
    <w:rsid w:val="007A5063"/>
    <w:rsid w:val="007B55B5"/>
    <w:rsid w:val="007B6A90"/>
    <w:rsid w:val="007D1690"/>
    <w:rsid w:val="007E22AD"/>
    <w:rsid w:val="00817416"/>
    <w:rsid w:val="00842779"/>
    <w:rsid w:val="00865F67"/>
    <w:rsid w:val="00881A7B"/>
    <w:rsid w:val="008840E5"/>
    <w:rsid w:val="00887B3E"/>
    <w:rsid w:val="008B4729"/>
    <w:rsid w:val="008C2AC6"/>
    <w:rsid w:val="00930C23"/>
    <w:rsid w:val="0093193B"/>
    <w:rsid w:val="009509D8"/>
    <w:rsid w:val="00950B64"/>
    <w:rsid w:val="00955EAE"/>
    <w:rsid w:val="00966715"/>
    <w:rsid w:val="00981893"/>
    <w:rsid w:val="009D1744"/>
    <w:rsid w:val="00A13EC3"/>
    <w:rsid w:val="00A1687D"/>
    <w:rsid w:val="00A43E52"/>
    <w:rsid w:val="00A4678D"/>
    <w:rsid w:val="00A778C7"/>
    <w:rsid w:val="00A905DE"/>
    <w:rsid w:val="00AB441E"/>
    <w:rsid w:val="00AB6293"/>
    <w:rsid w:val="00AE0928"/>
    <w:rsid w:val="00AF3B82"/>
    <w:rsid w:val="00B0257A"/>
    <w:rsid w:val="00B050FB"/>
    <w:rsid w:val="00B12E95"/>
    <w:rsid w:val="00B13D23"/>
    <w:rsid w:val="00B142AF"/>
    <w:rsid w:val="00B221CA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24C"/>
    <w:rsid w:val="00D058B8"/>
    <w:rsid w:val="00D11A6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6A8"/>
    <w:rsid w:val="00EC3AFC"/>
    <w:rsid w:val="00EC50BC"/>
    <w:rsid w:val="00ED169E"/>
    <w:rsid w:val="00ED4235"/>
    <w:rsid w:val="00ED5A2E"/>
    <w:rsid w:val="00F04346"/>
    <w:rsid w:val="00F075DC"/>
    <w:rsid w:val="00F149E9"/>
    <w:rsid w:val="00F40A8E"/>
    <w:rsid w:val="00F5134D"/>
    <w:rsid w:val="00F57194"/>
    <w:rsid w:val="00F74202"/>
    <w:rsid w:val="00F82395"/>
    <w:rsid w:val="00F87713"/>
    <w:rsid w:val="00FB4360"/>
    <w:rsid w:val="00FD0C70"/>
    <w:rsid w:val="00FD12B6"/>
  </w:rsids>
  <w:docVars>
    <w:docVar w:name="dvdocse" w:val="A9-0147/2022"/>
    <w:docVar w:name="dvlangue" w:val="FR"/>
    <w:docVar w:name="dvnumam" w:val="0"/>
    <w:docVar w:name="dvpe" w:val="703.100"/>
    <w:docVar w:name="dvrapporteur" w:val="Rapporteure: "/>
    <w:docVar w:name="dvstar" w:val="***I"/>
    <w:docVar w:name="dvtitre" w:val="Résolution législative du Parlement européen du ... 2026 sur la proposition de règlement du Parlement européen et du Conseil relatif à l’application d’un schéma de préférences tarifaires généralisé et abrogeant le règlement (UE) nº 978/2012 du Parlement européen et du Conseil(COM(2021)0579 – C9-978/2012 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5CA5A1"/>
  <w15:chartTrackingRefBased/>
  <w15:docId w15:val="{172F9809-5644-420D-A012-6A66A8F2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B6CA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B6CA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B6CA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CA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CA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CAC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CAC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CAC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CAC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4B6CA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B6CA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B6CA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B6CAC"/>
    <w:pPr>
      <w:spacing w:after="120"/>
    </w:pPr>
  </w:style>
  <w:style w:type="paragraph" w:customStyle="1" w:styleId="PageHeading">
    <w:name w:val="PageHeading"/>
    <w:basedOn w:val="Normal"/>
    <w:rsid w:val="004B6C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B6CAC"/>
    <w:rPr>
      <w:b/>
    </w:rPr>
  </w:style>
  <w:style w:type="character" w:customStyle="1" w:styleId="NormalBoldChar">
    <w:name w:val="NormalBold Char"/>
    <w:link w:val="NormalBold"/>
    <w:locked/>
    <w:rsid w:val="004B6CAC"/>
    <w:rPr>
      <w:b/>
      <w:sz w:val="24"/>
      <w:lang w:val="fr-FR"/>
    </w:rPr>
  </w:style>
  <w:style w:type="paragraph" w:customStyle="1" w:styleId="NormalBold12a">
    <w:name w:val="NormalBold12a"/>
    <w:basedOn w:val="Normal"/>
    <w:rsid w:val="004B6CAC"/>
    <w:pPr>
      <w:spacing w:after="240"/>
    </w:pPr>
    <w:rPr>
      <w:b/>
    </w:rPr>
  </w:style>
  <w:style w:type="paragraph" w:customStyle="1" w:styleId="AmJustText">
    <w:name w:val="AmJustText"/>
    <w:basedOn w:val="Normal"/>
    <w:rsid w:val="004B6CA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B6CA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B6CAC"/>
    <w:pPr>
      <w:spacing w:after="480"/>
      <w:ind w:left="1417"/>
    </w:pPr>
  </w:style>
  <w:style w:type="paragraph" w:customStyle="1" w:styleId="CoverNormal">
    <w:name w:val="CoverNormal"/>
    <w:basedOn w:val="Normal"/>
    <w:rsid w:val="004B6CAC"/>
    <w:pPr>
      <w:ind w:left="1418"/>
    </w:pPr>
  </w:style>
  <w:style w:type="paragraph" w:customStyle="1" w:styleId="AmCrossRef">
    <w:name w:val="AmCrossRef"/>
    <w:basedOn w:val="Normal"/>
    <w:rsid w:val="004B6CA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B6CA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B6CA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B6CA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B6CA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B6CA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B6C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6CAC"/>
    <w:rPr>
      <w:sz w:val="24"/>
      <w:lang w:val="fr-FR"/>
    </w:rPr>
  </w:style>
  <w:style w:type="paragraph" w:customStyle="1" w:styleId="AmOrLang">
    <w:name w:val="AmOrLang"/>
    <w:basedOn w:val="Normal"/>
    <w:rsid w:val="004B6CA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B6CA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B6C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B6CAC"/>
    <w:pPr>
      <w:spacing w:before="240"/>
    </w:pPr>
    <w:rPr>
      <w:b/>
    </w:rPr>
  </w:style>
  <w:style w:type="paragraph" w:customStyle="1" w:styleId="EPBody">
    <w:name w:val="EPBody"/>
    <w:basedOn w:val="Normal"/>
    <w:rsid w:val="004B6CA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B6CA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B6CAC"/>
    <w:pPr>
      <w:spacing w:before="480" w:after="240"/>
    </w:pPr>
  </w:style>
  <w:style w:type="paragraph" w:customStyle="1" w:styleId="Lgendesigne">
    <w:name w:val="Légende signe"/>
    <w:basedOn w:val="Normal"/>
    <w:rsid w:val="004B6CA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standard">
    <w:name w:val="Légende standard"/>
    <w:basedOn w:val="Lgendesigne"/>
    <w:rsid w:val="004B6CAC"/>
    <w:pPr>
      <w:ind w:left="0" w:firstLine="0"/>
    </w:pPr>
  </w:style>
  <w:style w:type="paragraph" w:customStyle="1" w:styleId="Lgendetitre">
    <w:name w:val="Légende titre"/>
    <w:basedOn w:val="Normal"/>
    <w:rsid w:val="004B6CAC"/>
    <w:pPr>
      <w:spacing w:before="240" w:after="240"/>
    </w:pPr>
    <w:rPr>
      <w:b/>
      <w:i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4B6CAC"/>
    <w:pPr>
      <w:ind w:left="720"/>
      <w:contextualSpacing/>
    </w:pPr>
  </w:style>
  <w:style w:type="paragraph" w:customStyle="1" w:styleId="ManualConsidrant">
    <w:name w:val="Manual Considérant"/>
    <w:basedOn w:val="Normal"/>
    <w:rsid w:val="004B6CA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4B6CAC"/>
    <w:rPr>
      <w:b/>
      <w:bCs/>
      <w:i/>
      <w:iCs/>
      <w:spacing w:val="0"/>
    </w:rPr>
  </w:style>
  <w:style w:type="character" w:styleId="Hyperlink">
    <w:name w:val="Hyperlink"/>
    <w:unhideWhenUsed/>
    <w:rsid w:val="004B6CAC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4B6CAC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4B6CAC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4B6C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6CA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CA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B6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B6CAC"/>
    <w:rPr>
      <w:b/>
      <w:bCs/>
      <w:lang w:val="fr-FR"/>
    </w:rPr>
  </w:style>
  <w:style w:type="paragraph" w:styleId="BalloonText">
    <w:name w:val="Balloon Text"/>
    <w:basedOn w:val="Normal"/>
    <w:link w:val="BalloonTextChar"/>
    <w:unhideWhenUsed/>
    <w:rsid w:val="004B6C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CAC"/>
    <w:rPr>
      <w:rFonts w:ascii="Segoe UI" w:hAnsi="Segoe UI" w:cs="Segoe UI"/>
      <w:sz w:val="18"/>
      <w:szCs w:val="18"/>
      <w:lang w:val="fr-FR"/>
    </w:rPr>
  </w:style>
  <w:style w:type="character" w:customStyle="1" w:styleId="Sup">
    <w:name w:val="Sup"/>
    <w:uiPriority w:val="1"/>
    <w:qFormat/>
    <w:rsid w:val="004B6CAC"/>
    <w:rPr>
      <w:vertAlign w:val="superscript"/>
    </w:rPr>
  </w:style>
  <w:style w:type="character" w:customStyle="1" w:styleId="Normal6Char">
    <w:name w:val="Normal6 Char"/>
    <w:link w:val="Normal6"/>
    <w:locked/>
    <w:rsid w:val="004B6CAC"/>
    <w:rPr>
      <w:sz w:val="24"/>
    </w:rPr>
  </w:style>
  <w:style w:type="paragraph" w:customStyle="1" w:styleId="Normal6">
    <w:name w:val="Normal6"/>
    <w:basedOn w:val="Normal"/>
    <w:link w:val="Normal6Char"/>
    <w:rsid w:val="004B6CAC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4B6CAC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4B6C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4B6C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4B6C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4B6C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4B6CA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4B6CAC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4B6CAC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4B6CAC"/>
    <w:pPr>
      <w:spacing w:after="240"/>
    </w:pPr>
  </w:style>
  <w:style w:type="paragraph" w:customStyle="1" w:styleId="PageHeadingNotTOC">
    <w:name w:val="PageHeadingNotTOC"/>
    <w:basedOn w:val="Normal"/>
    <w:rsid w:val="004B6C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B6CA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4B6CAC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4B6CAC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4B6C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4B6CAC"/>
    <w:pPr>
      <w:jc w:val="center"/>
    </w:pPr>
    <w:rPr>
      <w:b/>
      <w:i/>
    </w:rPr>
  </w:style>
  <w:style w:type="paragraph" w:customStyle="1" w:styleId="RollCallSymbols14pt">
    <w:name w:val="RollCallSymbols14pt"/>
    <w:basedOn w:val="Normal"/>
    <w:rsid w:val="004B6CA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B6CA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B6CA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B6CAC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4B6CA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4B6CAC"/>
    <w:rPr>
      <w:sz w:val="24"/>
      <w:lang w:val="fr-FR"/>
    </w:rPr>
  </w:style>
  <w:style w:type="character" w:customStyle="1" w:styleId="SupBoldItalic">
    <w:name w:val="SupBoldItalic"/>
    <w:uiPriority w:val="1"/>
    <w:qFormat/>
    <w:rsid w:val="004B6CAC"/>
    <w:rPr>
      <w:b/>
      <w:i/>
      <w:vertAlign w:val="superscript"/>
    </w:rPr>
  </w:style>
  <w:style w:type="paragraph" w:styleId="Footer">
    <w:name w:val="footer"/>
    <w:basedOn w:val="Normal"/>
    <w:link w:val="FooterChar"/>
    <w:uiPriority w:val="99"/>
    <w:rsid w:val="004B6C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CAC"/>
    <w:rPr>
      <w:sz w:val="24"/>
      <w:lang w:val="fr-FR"/>
    </w:rPr>
  </w:style>
  <w:style w:type="paragraph" w:styleId="Revision">
    <w:name w:val="Revision"/>
    <w:hidden/>
    <w:uiPriority w:val="99"/>
    <w:semiHidden/>
    <w:rsid w:val="00966715"/>
    <w:rPr>
      <w:sz w:val="24"/>
      <w:lang w:val="fr-FR"/>
    </w:rPr>
  </w:style>
  <w:style w:type="paragraph" w:customStyle="1" w:styleId="AmDocTypeTab">
    <w:name w:val="AmDocTypeTab"/>
    <w:basedOn w:val="Normal"/>
    <w:rsid w:val="00F5719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57194"/>
    <w:pPr>
      <w:spacing w:after="240"/>
      <w:jc w:val="center"/>
    </w:pPr>
  </w:style>
  <w:style w:type="paragraph" w:customStyle="1" w:styleId="AmDateTab">
    <w:name w:val="AmDateTab"/>
    <w:basedOn w:val="Normal"/>
    <w:rsid w:val="00F5719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5719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57194"/>
  </w:style>
  <w:style w:type="paragraph" w:customStyle="1" w:styleId="Title1">
    <w:name w:val="Title1"/>
    <w:basedOn w:val="Normal"/>
    <w:next w:val="Normal"/>
    <w:uiPriority w:val="10"/>
    <w:qFormat/>
    <w:rsid w:val="00F57194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7194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F57194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7194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F57194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F57194"/>
    <w:rPr>
      <w:rFonts w:ascii="Aptos" w:hAnsi="Aptos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F57194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customStyle="1" w:styleId="ListParagraph1">
    <w:name w:val="List Paragraph1"/>
    <w:basedOn w:val="Normal"/>
    <w:next w:val="ListParagraph"/>
    <w:uiPriority w:val="1"/>
    <w:qFormat/>
    <w:rsid w:val="00F57194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F57194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7194"/>
    <w:rPr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F57194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194"/>
    <w:rPr>
      <w:b/>
      <w:i/>
      <w:sz w:val="24"/>
    </w:rPr>
  </w:style>
  <w:style w:type="character" w:customStyle="1" w:styleId="SubtleEmphasis1">
    <w:name w:val="Subtle Emphasis1"/>
    <w:uiPriority w:val="19"/>
    <w:qFormat/>
    <w:rsid w:val="00F57194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F5719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5719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57194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F57194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F57194"/>
  </w:style>
  <w:style w:type="paragraph" w:customStyle="1" w:styleId="TOC11">
    <w:name w:val="TOC 1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F57194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F57194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F57194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F57194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57194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57194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F5719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57194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57194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F57194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F57194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F57194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F57194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F57194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F57194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F57194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F57194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F57194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F57194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F57194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F57194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F57194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F5719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F57194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F57194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F57194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F57194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F57194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F57194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F57194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F57194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F57194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F5719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F5719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F5719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F5719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F5719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F5719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F5719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F5719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F5719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F5719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F5719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F5719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F57194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F57194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F57194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F57194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F57194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F57194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F57194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F57194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F57194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5719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5719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5719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5719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57194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57194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57194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F57194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5719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5719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5719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5719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5719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5719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5719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57194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57194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57194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57194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F57194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F57194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F57194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F57194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F57194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F57194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F57194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F57194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F57194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F57194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F57194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F57194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F57194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F57194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F57194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F57194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F57194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F57194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57194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57194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57194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F57194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57194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57194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57194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57194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57194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57194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F57194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57194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57194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57194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57194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5719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5719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57194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F57194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F57194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F57194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F57194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F57194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F57194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57194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F57194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57194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57194"/>
    <w:pPr>
      <w:spacing w:before="240"/>
    </w:pPr>
  </w:style>
  <w:style w:type="paragraph" w:customStyle="1" w:styleId="Accordtitre">
    <w:name w:val="Accord titre"/>
    <w:basedOn w:val="Normal"/>
    <w:rsid w:val="00F57194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F5719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F5719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57194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57194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57194"/>
    <w:pPr>
      <w:spacing w:after="240"/>
    </w:pPr>
  </w:style>
  <w:style w:type="paragraph" w:customStyle="1" w:styleId="Annexetitre">
    <w:name w:val="Annexe titre"/>
    <w:basedOn w:val="Normal"/>
    <w:next w:val="Normal"/>
    <w:rsid w:val="00F57194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57194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F57194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F57194"/>
  </w:style>
  <w:style w:type="character" w:styleId="EndnoteReference">
    <w:name w:val="endnote reference"/>
    <w:basedOn w:val="DefaultParagraphFont"/>
    <w:uiPriority w:val="99"/>
    <w:unhideWhenUsed/>
    <w:rsid w:val="00F57194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57194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F57194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F57194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F57194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57194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57194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57194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57194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57194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57194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57194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57194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57194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57194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57194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57194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57194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57194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57194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57194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57194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57194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57194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57194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57194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5719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F57194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F5719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57194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F57194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57194"/>
    <w:rPr>
      <w:sz w:val="24"/>
      <w:szCs w:val="24"/>
      <w:lang w:val="fr-FR" w:eastAsia="en-US"/>
    </w:rPr>
  </w:style>
  <w:style w:type="paragraph" w:customStyle="1" w:styleId="TableParagraph">
    <w:name w:val="Table Paragraph"/>
    <w:basedOn w:val="Normal"/>
    <w:uiPriority w:val="1"/>
    <w:qFormat/>
    <w:rsid w:val="00F57194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F57194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F57194"/>
    <w:rPr>
      <w:rFonts w:eastAsia="Aptos"/>
      <w:kern w:val="2"/>
      <w:sz w:val="24"/>
      <w:szCs w:val="24"/>
      <w:lang w:val="fr-FR" w:eastAsia="en-US"/>
      <w14:ligatures w14:val="standardContextual"/>
    </w:rPr>
  </w:style>
  <w:style w:type="character" w:customStyle="1" w:styleId="Hyperlink1">
    <w:name w:val="Hyperlink1"/>
    <w:basedOn w:val="DefaultParagraphFont"/>
    <w:uiPriority w:val="99"/>
    <w:unhideWhenUsed/>
    <w:rsid w:val="00F5719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194"/>
    <w:rPr>
      <w:color w:val="605E5C"/>
      <w:shd w:val="clear" w:color="auto" w:fill="E1DFDD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F57194"/>
    <w:pPr>
      <w:widowControl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57194"/>
    <w:pPr>
      <w:widowControl/>
      <w:jc w:val="both"/>
    </w:pPr>
    <w:rPr>
      <w:rFonts w:eastAsia="Aptos"/>
      <w:b/>
      <w:bCs/>
      <w:kern w:val="2"/>
      <w:lang w:eastAsia="en-US"/>
      <w14:ligatures w14:val="standardContextual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57194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F57194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F57194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194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F5719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/>
    </w:rPr>
  </w:style>
  <w:style w:type="character" w:styleId="Emphasis">
    <w:name w:val="Emphasis"/>
    <w:basedOn w:val="DefaultParagraphFont"/>
    <w:qFormat/>
    <w:rsid w:val="00F57194"/>
    <w:rPr>
      <w:i/>
      <w:iCs/>
    </w:rPr>
  </w:style>
  <w:style w:type="paragraph" w:styleId="NoSpacing">
    <w:name w:val="No Spacing"/>
    <w:uiPriority w:val="1"/>
    <w:qFormat/>
    <w:rsid w:val="00F57194"/>
    <w:pPr>
      <w:widowControl w:val="0"/>
    </w:pPr>
    <w:rPr>
      <w:sz w:val="24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F57194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F57194"/>
    <w:rPr>
      <w:i/>
      <w:iCs/>
      <w:color w:val="404040" w:themeColor="text1" w:themeTint="BF"/>
      <w:sz w:val="24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19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F57194"/>
    <w:rPr>
      <w:i/>
      <w:iCs/>
      <w:color w:val="5B9BD5" w:themeColor="accent1"/>
      <w:sz w:val="24"/>
      <w:lang w:val="fr-FR"/>
    </w:rPr>
  </w:style>
  <w:style w:type="character" w:styleId="SubtleEmphasis">
    <w:name w:val="Subtle Emphasis"/>
    <w:basedOn w:val="DefaultParagraphFont"/>
    <w:uiPriority w:val="19"/>
    <w:qFormat/>
    <w:rsid w:val="00F57194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F57194"/>
    <w:rPr>
      <w:b/>
      <w:bCs/>
      <w:i/>
      <w:iCs/>
      <w:spacing w:val="5"/>
    </w:rPr>
  </w:style>
  <w:style w:type="paragraph" w:styleId="EndnoteText">
    <w:name w:val="endnote text"/>
    <w:basedOn w:val="Normal"/>
    <w:link w:val="EndnoteTextChar1"/>
    <w:rsid w:val="00F57194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F57194"/>
    <w:rPr>
      <w:lang w:val="fr-FR"/>
    </w:rPr>
  </w:style>
  <w:style w:type="paragraph" w:styleId="NormalWeb">
    <w:name w:val="Normal (Web)"/>
    <w:basedOn w:val="Normal"/>
    <w:rsid w:val="00F57194"/>
    <w:rPr>
      <w:szCs w:val="24"/>
    </w:rPr>
  </w:style>
  <w:style w:type="character" w:customStyle="1" w:styleId="CommentTextChar1">
    <w:name w:val="Comment Text Char1"/>
    <w:basedOn w:val="DefaultParagraphFont"/>
    <w:rsid w:val="00F57194"/>
    <w:rPr>
      <w:lang w:val="fr-FR"/>
    </w:rPr>
  </w:style>
  <w:style w:type="character" w:customStyle="1" w:styleId="CommentSubjectChar1">
    <w:name w:val="Comment Subject Char1"/>
    <w:basedOn w:val="CommentTextChar1"/>
    <w:rsid w:val="00F57194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2026-08-25T13:01:00Z</dcterms:created>
  <dcterms:modified xsi:type="dcterms:W3CDTF">2026-08-25T13:01:00Z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