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04B8D0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04BBC" w:rsidP="0010095E" w14:paraId="43063D26" w14:textId="00B2E3A8">
            <w:pPr>
              <w:pStyle w:val="EPName"/>
            </w:pPr>
            <w:r w:rsidRPr="00A04BBC">
              <w:t>Europski parlament</w:t>
            </w:r>
          </w:p>
          <w:p w:rsidR="00751A4A" w:rsidRPr="00A04BBC" w:rsidP="005F1B17" w14:paraId="6164B22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4BBC">
              <w:t>2024</w:t>
            </w:r>
            <w:r w:rsidRPr="00A04BBC" w:rsidR="00817416">
              <w:t>-202</w:t>
            </w:r>
            <w:r w:rsidRPr="00A04BB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04BBC" w:rsidP="0010095E" w14:paraId="6F1413E1" w14:textId="77777777">
            <w:pPr>
              <w:pStyle w:val="EPLogo"/>
            </w:pPr>
            <w:r w:rsidRPr="00A04BB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04BBC" w:rsidP="004C5D52" w14:paraId="1D6E5422" w14:textId="77777777">
      <w:pPr>
        <w:pStyle w:val="LineTop"/>
      </w:pPr>
    </w:p>
    <w:p w:rsidR="00680577" w:rsidRPr="00A04BBC" w:rsidP="00680577" w14:paraId="2C9E694E" w14:textId="11451261">
      <w:pPr>
        <w:pStyle w:val="EPBodyTA1"/>
      </w:pPr>
      <w:r w:rsidRPr="00A04BBC">
        <w:t>USVOJENI TEKSTOVI</w:t>
      </w:r>
    </w:p>
    <w:p w:rsidR="00D058B8" w:rsidRPr="00A04BBC" w:rsidP="00D058B8" w14:paraId="543A9DB7" w14:textId="77777777">
      <w:pPr>
        <w:pStyle w:val="LineBottom"/>
      </w:pPr>
    </w:p>
    <w:p w:rsidR="007B4B5A" w:rsidRPr="00A04BBC" w:rsidP="007B4B5A" w14:paraId="03B4CC04" w14:textId="084B1C2B">
      <w:pPr>
        <w:pStyle w:val="ATHeading1"/>
      </w:pPr>
      <w:bookmarkStart w:id="0" w:name="TANumber"/>
      <w:r w:rsidRPr="00A04BBC">
        <w:t>P</w:t>
      </w:r>
      <w:r w:rsidR="002A3F1F">
        <w:t>10</w:t>
      </w:r>
      <w:r w:rsidRPr="00A04BBC">
        <w:t>_TA(2026)0</w:t>
      </w:r>
      <w:bookmarkEnd w:id="0"/>
      <w:r w:rsidR="00581717">
        <w:t>114</w:t>
      </w:r>
    </w:p>
    <w:p w:rsidR="007B4B5A" w:rsidRPr="00A04BBC" w:rsidP="007B4B5A" w14:paraId="704C5446" w14:textId="77777777">
      <w:pPr>
        <w:pStyle w:val="ATHeading2"/>
      </w:pPr>
      <w:bookmarkStart w:id="1" w:name="title"/>
      <w:r w:rsidRPr="00A04BBC">
        <w:t>Opći sustav carinskih povlastica</w:t>
      </w:r>
      <w:bookmarkEnd w:id="1"/>
    </w:p>
    <w:p w:rsidR="007B4B5A" w:rsidRPr="00A04BBC" w:rsidP="007B4B5A" w14:paraId="665D02D2" w14:textId="77777777">
      <w:pPr>
        <w:rPr>
          <w:i/>
          <w:vanish/>
        </w:rPr>
      </w:pPr>
      <w:r>
        <w:rPr>
          <w:i/>
        </w:rPr>
        <w:fldChar w:fldCharType="begin"/>
      </w:r>
      <w:r w:rsidRPr="00A04BBC">
        <w:rPr>
          <w:i/>
        </w:rPr>
        <w:instrText xml:space="preserve"> TC"(</w:instrText>
      </w:r>
      <w:bookmarkStart w:id="2" w:name="DocNumber"/>
      <w:r w:rsidRPr="00A04BBC">
        <w:rPr>
          <w:i/>
        </w:rPr>
        <w:instrText>A9-0147/2022</w:instrText>
      </w:r>
      <w:bookmarkEnd w:id="2"/>
      <w:r w:rsidRPr="00A04BBC">
        <w:rPr>
          <w:i/>
        </w:rPr>
        <w:instrText xml:space="preserve"> - Izvjestitelj: Bernd Lange)"\l3 \n&gt; \* MERGEFORMAT </w:instrText>
      </w:r>
      <w:r>
        <w:rPr>
          <w:i/>
        </w:rPr>
        <w:fldChar w:fldCharType="end"/>
      </w:r>
    </w:p>
    <w:p w:rsidR="007B4B5A" w:rsidRPr="00A04BBC" w:rsidP="007B4B5A" w14:paraId="50642FC5" w14:textId="77777777">
      <w:pPr>
        <w:rPr>
          <w:vanish/>
        </w:rPr>
      </w:pPr>
      <w:bookmarkStart w:id="3" w:name="Commission"/>
      <w:r w:rsidRPr="00A04BBC">
        <w:rPr>
          <w:vanish/>
        </w:rPr>
        <w:t>Odbor za međunarodnu trgovinu</w:t>
      </w:r>
      <w:bookmarkEnd w:id="3"/>
    </w:p>
    <w:p w:rsidR="007B4B5A" w:rsidRPr="00A04BBC" w:rsidP="007B4B5A" w14:paraId="6DCFCB68" w14:textId="77777777">
      <w:pPr>
        <w:rPr>
          <w:vanish/>
        </w:rPr>
      </w:pPr>
      <w:bookmarkStart w:id="4" w:name="PE"/>
      <w:r w:rsidRPr="00A04BBC">
        <w:rPr>
          <w:vanish/>
        </w:rPr>
        <w:t>PE703.100</w:t>
      </w:r>
      <w:bookmarkEnd w:id="4"/>
    </w:p>
    <w:p w:rsidR="007B4B5A" w:rsidRPr="00A04BBC" w:rsidP="007B4B5A" w14:paraId="2ACADE5C" w14:textId="5A76623A">
      <w:pPr>
        <w:pStyle w:val="ATHeading3"/>
      </w:pPr>
      <w:bookmarkStart w:id="5" w:name="Sujet"/>
      <w:r w:rsidRPr="00A04BBC">
        <w:t xml:space="preserve">Zakonodavna rezolucija Europskog parlamenta od </w:t>
      </w:r>
      <w:r w:rsidR="005971D6">
        <w:t>28. travnja</w:t>
      </w:r>
      <w:r w:rsidRPr="00A04BBC">
        <w:t xml:space="preserve"> 2026. o Prijedlogu uredbe Europskog parlamenta i Vijeća o primjeni općeg sustava carinskih povlastica i stavljanju izvan snage Uredbe (EU) br. 978/2012 Europskog parlamenta i Vijeća</w:t>
      </w:r>
      <w:bookmarkEnd w:id="5"/>
      <w:r w:rsidRPr="00A04BBC">
        <w:t xml:space="preserve"> </w:t>
      </w:r>
      <w:bookmarkStart w:id="6" w:name="References"/>
      <w:r w:rsidRPr="00A04BBC">
        <w:t>(COM(2021)</w:t>
      </w:r>
      <w:r w:rsidR="007577C5">
        <w:t>0</w:t>
      </w:r>
      <w:r w:rsidRPr="00A04BBC">
        <w:t>579 – C9-</w:t>
      </w:r>
      <w:r w:rsidR="007577C5">
        <w:t>0364</w:t>
      </w:r>
      <w:r w:rsidRPr="00A04BBC">
        <w:t>/</w:t>
      </w:r>
      <w:r w:rsidR="007577C5">
        <w:t>2021</w:t>
      </w:r>
      <w:r w:rsidRPr="00A04BBC">
        <w:t xml:space="preserve"> – 2021/0297(COD))</w:t>
      </w:r>
      <w:bookmarkEnd w:id="6"/>
    </w:p>
    <w:p w:rsidR="00A80CD1" w:rsidRPr="00A04BBC" w:rsidP="00A80CD1" w14:paraId="141385C3" w14:textId="77777777">
      <w:pPr>
        <w:pStyle w:val="NormalBold"/>
      </w:pPr>
      <w:r w:rsidRPr="00A04BBC">
        <w:t>(Redovni zakonodavni postupak: prvo čitanje)</w:t>
      </w:r>
    </w:p>
    <w:p w:rsidR="00A80CD1" w:rsidRPr="00A04BBC" w:rsidP="00A80CD1" w14:paraId="4BFF3BD1" w14:textId="77777777">
      <w:pPr>
        <w:pStyle w:val="EPComma"/>
      </w:pPr>
      <w:r w:rsidRPr="00A04BBC">
        <w:rPr>
          <w:i/>
        </w:rPr>
        <w:t>Europski parlament</w:t>
      </w:r>
      <w:r w:rsidRPr="00A04BBC">
        <w:t>,</w:t>
      </w:r>
    </w:p>
    <w:p w:rsidR="00A80CD1" w:rsidRPr="005971D6" w:rsidP="00A80CD1" w14:paraId="19A6A0B0" w14:textId="77777777">
      <w:pPr>
        <w:spacing w:after="240"/>
        <w:ind w:left="567" w:hanging="567"/>
      </w:pPr>
      <w:r w:rsidRPr="005971D6">
        <w:t>–</w:t>
      </w:r>
      <w:r w:rsidRPr="005971D6">
        <w:tab/>
        <w:t>uzimajući u obzir Prijedlog Komisije upućen Europskom parlamentu i Vijeću (COM(2021)0579),</w:t>
      </w:r>
    </w:p>
    <w:p w:rsidR="00A80CD1" w:rsidRPr="005971D6" w:rsidP="00A80CD1" w14:paraId="286F38A9" w14:textId="7EAE816E">
      <w:pPr>
        <w:spacing w:after="240"/>
        <w:ind w:left="567" w:hanging="567"/>
      </w:pPr>
      <w:r w:rsidRPr="005971D6">
        <w:t>–</w:t>
      </w:r>
      <w:r w:rsidRPr="005971D6">
        <w:tab/>
        <w:t xml:space="preserve">uzimajući u obzir članak 294. stavak 2. i članak 207. stavak </w:t>
      </w:r>
      <w:r w:rsidR="0022767D">
        <w:t>2</w:t>
      </w:r>
      <w:r w:rsidRPr="005971D6">
        <w:t>. Ugovora o funkcioniranju Europske unije, u skladu s kojima je Komisija podnijela Nacrt akta Parlamentu (C9-0364/2021),</w:t>
      </w:r>
    </w:p>
    <w:p w:rsidR="00A80CD1" w:rsidP="00A80CD1" w14:paraId="4DDD7220" w14:textId="77777777">
      <w:pPr>
        <w:spacing w:after="240"/>
        <w:ind w:left="567" w:hanging="567"/>
      </w:pPr>
      <w:r w:rsidRPr="005971D6">
        <w:rPr>
          <w:rFonts w:ascii="Symbol" w:hAnsi="Symbol"/>
        </w:rPr>
        <w:sym w:font="Symbol" w:char="F02D"/>
      </w:r>
      <w:r w:rsidRPr="005971D6">
        <w:tab/>
        <w:t>uzimajući u obzir članak 294. stavak 3. Ugovora o funkcioniranju Europske unije,</w:t>
      </w:r>
    </w:p>
    <w:p w:rsidR="0022767D" w:rsidRPr="005971D6" w:rsidP="00581717" w14:paraId="05B5CD11" w14:textId="098BAA81">
      <w:pPr>
        <w:pStyle w:val="NormalHanging12a"/>
        <w:rPr>
          <w:szCs w:val="24"/>
        </w:rPr>
      </w:pPr>
      <w:r w:rsidRPr="00B54080">
        <w:t>–</w:t>
      </w:r>
      <w:r w:rsidRPr="00B54080">
        <w:tab/>
      </w:r>
      <w:r w:rsidRPr="00226049">
        <w:t>uzimajući u obzir privremeni sporazum koji je odobrio nadležni odbor u skladu s člankom 7</w:t>
      </w:r>
      <w:r>
        <w:t>5</w:t>
      </w:r>
      <w:r w:rsidRPr="00226049">
        <w:t>. stavkom 4. Poslovnika te činjenicu da se predstavnik Vijeća pismom od 1</w:t>
      </w:r>
      <w:r>
        <w:t>9</w:t>
      </w:r>
      <w:r w:rsidRPr="00226049">
        <w:t xml:space="preserve">. </w:t>
      </w:r>
      <w:r>
        <w:t>prosinca</w:t>
      </w:r>
      <w:r w:rsidRPr="00226049">
        <w:t xml:space="preserve"> 202</w:t>
      </w:r>
      <w:r>
        <w:t>5</w:t>
      </w:r>
      <w:r w:rsidRPr="00226049">
        <w:t>. obvezao prihvatiti stajalište Europskog parlamenta u skladu s člankom 294. stavkom 4. Ugovora o funkcioniranju Europske unije,</w:t>
      </w:r>
    </w:p>
    <w:p w:rsidR="00A80CD1" w:rsidRPr="005971D6" w:rsidP="00A80CD1" w14:paraId="43702172" w14:textId="07A85545">
      <w:pPr>
        <w:pStyle w:val="NormalHanging12a"/>
      </w:pPr>
      <w:r w:rsidRPr="005971D6">
        <w:t>–</w:t>
      </w:r>
      <w:r w:rsidRPr="005971D6">
        <w:tab/>
        <w:t xml:space="preserve">uzimajući u obzir članak </w:t>
      </w:r>
      <w:r w:rsidR="0022767D">
        <w:t>60</w:t>
      </w:r>
      <w:r w:rsidRPr="005971D6">
        <w:t>. Poslovnika,</w:t>
      </w:r>
    </w:p>
    <w:p w:rsidR="00A80CD1" w:rsidRPr="005971D6" w:rsidP="00A80CD1" w14:paraId="3FBFFADD" w14:textId="77777777">
      <w:pPr>
        <w:spacing w:after="240"/>
        <w:ind w:left="567" w:hanging="567"/>
        <w:rPr>
          <w:color w:val="000000"/>
        </w:rPr>
      </w:pPr>
      <w:r w:rsidRPr="005971D6">
        <w:t>–</w:t>
      </w:r>
      <w:r w:rsidRPr="005971D6">
        <w:tab/>
        <w:t>uzimajući u obzir mišljenja Odbora za vanjske poslove i Odbora za razvoj</w:t>
      </w:r>
    </w:p>
    <w:p w:rsidR="00A80CD1" w:rsidRPr="005971D6" w:rsidP="00A80CD1" w14:paraId="4307D211" w14:textId="77777777">
      <w:pPr>
        <w:pStyle w:val="NormalHanging12a"/>
      </w:pPr>
      <w:r w:rsidRPr="005971D6">
        <w:t>–</w:t>
      </w:r>
      <w:r w:rsidRPr="005971D6">
        <w:tab/>
        <w:t>uzimajući u obzir izvješće Odbora za međunarodnu trgovinu (A9</w:t>
      </w:r>
      <w:r w:rsidRPr="005971D6">
        <w:noBreakHyphen/>
        <w:t>0147/2022),</w:t>
      </w:r>
    </w:p>
    <w:p w:rsidR="00A80CD1" w:rsidRPr="00A04BBC" w:rsidP="00916AA5" w14:paraId="1E12B197" w14:textId="5FDBF8BA">
      <w:pPr>
        <w:pStyle w:val="NormalHanging12a"/>
      </w:pPr>
      <w:r w:rsidRPr="00A04BBC">
        <w:t>1.</w:t>
      </w:r>
      <w:r w:rsidRPr="00A04BBC">
        <w:tab/>
        <w:t xml:space="preserve">usvaja </w:t>
      </w:r>
      <w:r w:rsidR="0022767D">
        <w:t>niže navedeno</w:t>
      </w:r>
      <w:r w:rsidRPr="00A04BBC">
        <w:t xml:space="preserve"> stajalište u prvom čitanju;</w:t>
      </w:r>
    </w:p>
    <w:p w:rsidR="00A80CD1" w:rsidRPr="00A04BBC" w:rsidP="00916AA5" w14:paraId="4E33B869" w14:textId="77777777">
      <w:pPr>
        <w:spacing w:after="240"/>
        <w:ind w:left="567" w:hanging="567"/>
      </w:pPr>
      <w:r w:rsidRPr="00A04BBC">
        <w:t>2.</w:t>
      </w:r>
      <w:r w:rsidRPr="00A04BBC">
        <w:tab/>
        <w:t>nalaže svojoj predsjednici da stajalište Parlamenta proslijedi Vijeću, Komisiji i nacionalnim parlamentima.</w:t>
      </w:r>
    </w:p>
    <w:p w:rsidR="00823D3D" w:rsidP="00A80CD1" w14:paraId="469DE91D" w14:textId="77777777">
      <w:pPr>
        <w:spacing w:after="240"/>
        <w:ind w:left="567" w:hanging="570"/>
      </w:pPr>
    </w:p>
    <w:p w:rsidR="00916AA5" w:rsidP="00A80CD1" w14:paraId="5A4D362A" w14:textId="77777777">
      <w:pPr>
        <w:spacing w:after="240"/>
        <w:ind w:left="567" w:hanging="570"/>
        <w:sectPr w:rsidSect="00A04BB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A3F1F" w:rsidRPr="00163A3B" w:rsidP="002A3F1F" w14:paraId="6E097853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_DV_M223"/>
      <w:bookmarkStart w:id="8" w:name="_DV_M224"/>
      <w:bookmarkEnd w:id="7"/>
      <w:bookmarkEnd w:id="8"/>
      <w:r w:rsidRPr="00163A3B">
        <w:rPr>
          <w:rFonts w:eastAsia="Calibri"/>
          <w:b/>
          <w:bCs/>
          <w:color w:val="000000"/>
          <w:szCs w:val="24"/>
        </w:rPr>
        <w:t>P10_TC1-COD(202</w:t>
      </w:r>
      <w:r>
        <w:rPr>
          <w:rFonts w:eastAsia="Calibri"/>
          <w:b/>
          <w:bCs/>
          <w:color w:val="000000"/>
          <w:szCs w:val="24"/>
        </w:rPr>
        <w:t>1</w:t>
      </w:r>
      <w:r w:rsidRPr="00163A3B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297</w:t>
      </w:r>
    </w:p>
    <w:p w:rsidR="002A3F1F" w:rsidP="00581717" w14:paraId="5B5E2EC4" w14:textId="3D64ED48">
      <w:pPr>
        <w:pStyle w:val="AmHeadingConsam"/>
        <w:spacing w:before="240"/>
        <w:jc w:val="left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99173C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28</w:t>
      </w:r>
      <w:r w:rsidRPr="0099173C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 xml:space="preserve">travnja </w:t>
      </w:r>
      <w:r w:rsidRPr="0099173C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6</w:t>
      </w:r>
      <w:r w:rsidRPr="0099173C"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szCs w:val="24"/>
          <w:lang w:eastAsia="en-US"/>
        </w:rPr>
        <w:t>Uredbe</w:t>
      </w:r>
      <w:r w:rsidRPr="0099173C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6</w:t>
      </w:r>
      <w:r w:rsidRPr="0099173C">
        <w:rPr>
          <w:rFonts w:eastAsia="Calibri"/>
          <w:b/>
          <w:szCs w:val="24"/>
          <w:lang w:eastAsia="en-US"/>
        </w:rPr>
        <w:t xml:space="preserve">/... Europskog parlamenta i Vijeća </w:t>
      </w:r>
      <w:bookmarkStart w:id="9" w:name="_Hlk221260574"/>
      <w:bookmarkStart w:id="10" w:name="_Hlk221262959"/>
      <w:r w:rsidRPr="002A3F1F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o primjeni </w:t>
      </w:r>
      <w:r w:rsidRPr="00B04C6E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općeg</w:t>
      </w:r>
      <w:r w:rsidRPr="002A3F1F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sustava carinskih povlastica i stavljanju izvan snage Uredbe (EU) br. 978/2012</w:t>
      </w:r>
    </w:p>
    <w:p w:rsidR="00B04C6E" w:rsidRPr="00B04C6E" w:rsidP="00B04C6E" w14:paraId="2C4136EB" w14:textId="685CAD09">
      <w:pPr>
        <w:widowControl/>
        <w:jc w:val="both"/>
        <w:rPr>
          <w:rFonts w:eastAsia="Calibri"/>
          <w:i/>
          <w:szCs w:val="24"/>
          <w:lang w:eastAsia="en-US"/>
        </w:rPr>
      </w:pPr>
      <w:r w:rsidRPr="00B04C6E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B04C6E">
        <w:rPr>
          <w:rFonts w:eastAsia="Calibri"/>
          <w:i/>
          <w:szCs w:val="24"/>
          <w:lang w:eastAsia="en-US"/>
        </w:rPr>
        <w:t>(EU) 2026/1395</w:t>
      </w:r>
      <w:r>
        <w:rPr>
          <w:rFonts w:eastAsia="Calibri"/>
          <w:i/>
          <w:szCs w:val="24"/>
          <w:lang w:eastAsia="en-US"/>
        </w:rPr>
        <w:t>.</w:t>
      </w:r>
      <w:r w:rsidRPr="00B04C6E">
        <w:rPr>
          <w:rFonts w:eastAsia="Calibri"/>
          <w:i/>
          <w:szCs w:val="24"/>
          <w:lang w:eastAsia="en-US"/>
        </w:rPr>
        <w:t>)</w:t>
      </w:r>
    </w:p>
    <w:p w:rsidR="00B04C6E" w:rsidRPr="00B04C6E" w:rsidP="00B04C6E" w14:paraId="4E89E8E6" w14:textId="77777777">
      <w:pPr>
        <w:pStyle w:val="NormalCenter12a"/>
        <w:rPr>
          <w:rFonts w:eastAsia="Calibri"/>
          <w:lang w:eastAsia="en-US"/>
        </w:rPr>
      </w:pPr>
    </w:p>
    <w:bookmarkEnd w:id="9"/>
    <w:bookmarkEnd w:id="10"/>
    <w:sectPr w:rsidSect="00B04C6E">
      <w:footnotePr>
        <w:numRestart w:val="eachSect"/>
      </w:footnotePr>
      <w:pgSz w:w="11920" w:h="16850"/>
      <w:pgMar w:top="1134" w:right="1134" w:bottom="1134" w:left="1134" w:header="0" w:footer="10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43244702">
    <w:abstractNumId w:val="0"/>
  </w:num>
  <w:num w:numId="2" w16cid:durableId="1652638795">
    <w:abstractNumId w:val="7"/>
  </w:num>
  <w:num w:numId="3" w16cid:durableId="16564468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5A"/>
    <w:rsid w:val="00002272"/>
    <w:rsid w:val="00005ADC"/>
    <w:rsid w:val="00021330"/>
    <w:rsid w:val="00064002"/>
    <w:rsid w:val="000677B9"/>
    <w:rsid w:val="000831BA"/>
    <w:rsid w:val="000A42CC"/>
    <w:rsid w:val="000E7DD9"/>
    <w:rsid w:val="0010095E"/>
    <w:rsid w:val="00125B37"/>
    <w:rsid w:val="00163A3B"/>
    <w:rsid w:val="00187494"/>
    <w:rsid w:val="001F32AE"/>
    <w:rsid w:val="00226049"/>
    <w:rsid w:val="0022767D"/>
    <w:rsid w:val="002477F9"/>
    <w:rsid w:val="0025741E"/>
    <w:rsid w:val="002767FF"/>
    <w:rsid w:val="002A3F1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51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717"/>
    <w:rsid w:val="005971D6"/>
    <w:rsid w:val="005C2568"/>
    <w:rsid w:val="005F1B17"/>
    <w:rsid w:val="005F3304"/>
    <w:rsid w:val="006037C0"/>
    <w:rsid w:val="006221FB"/>
    <w:rsid w:val="006631B6"/>
    <w:rsid w:val="00680577"/>
    <w:rsid w:val="006F74FA"/>
    <w:rsid w:val="00730756"/>
    <w:rsid w:val="00731ADD"/>
    <w:rsid w:val="00734777"/>
    <w:rsid w:val="00747932"/>
    <w:rsid w:val="00751A4A"/>
    <w:rsid w:val="00756632"/>
    <w:rsid w:val="007577C5"/>
    <w:rsid w:val="00762C74"/>
    <w:rsid w:val="00783D83"/>
    <w:rsid w:val="00786EC0"/>
    <w:rsid w:val="007B4B5A"/>
    <w:rsid w:val="007D1690"/>
    <w:rsid w:val="007E22AD"/>
    <w:rsid w:val="00817416"/>
    <w:rsid w:val="00823D3D"/>
    <w:rsid w:val="00842779"/>
    <w:rsid w:val="00865F67"/>
    <w:rsid w:val="00881A7B"/>
    <w:rsid w:val="008840E5"/>
    <w:rsid w:val="00887B3E"/>
    <w:rsid w:val="008C2AC6"/>
    <w:rsid w:val="00916AA5"/>
    <w:rsid w:val="00917BEF"/>
    <w:rsid w:val="00930C23"/>
    <w:rsid w:val="0093193B"/>
    <w:rsid w:val="009509D8"/>
    <w:rsid w:val="00950B64"/>
    <w:rsid w:val="00981893"/>
    <w:rsid w:val="0099173C"/>
    <w:rsid w:val="009A6344"/>
    <w:rsid w:val="009E26AB"/>
    <w:rsid w:val="00A048DD"/>
    <w:rsid w:val="00A04BBC"/>
    <w:rsid w:val="00A1687D"/>
    <w:rsid w:val="00A26D52"/>
    <w:rsid w:val="00A43E52"/>
    <w:rsid w:val="00A4678D"/>
    <w:rsid w:val="00A778C7"/>
    <w:rsid w:val="00A80CD1"/>
    <w:rsid w:val="00AB441E"/>
    <w:rsid w:val="00AB6293"/>
    <w:rsid w:val="00AE0928"/>
    <w:rsid w:val="00AE3D6E"/>
    <w:rsid w:val="00AF3B82"/>
    <w:rsid w:val="00B04C6E"/>
    <w:rsid w:val="00B12E95"/>
    <w:rsid w:val="00B15A0A"/>
    <w:rsid w:val="00B22876"/>
    <w:rsid w:val="00B54080"/>
    <w:rsid w:val="00B558F0"/>
    <w:rsid w:val="00B85D50"/>
    <w:rsid w:val="00BD48FE"/>
    <w:rsid w:val="00BD7BD8"/>
    <w:rsid w:val="00BE6ADC"/>
    <w:rsid w:val="00C05BFE"/>
    <w:rsid w:val="00C23CD4"/>
    <w:rsid w:val="00C458A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2C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9-0147/2022"/>
    <w:docVar w:name="dvlangue" w:val="HR"/>
    <w:docVar w:name="dvnumam" w:val="239"/>
    <w:docVar w:name="dvpe" w:val="703.100"/>
    <w:docVar w:name="dvrapporteur" w:val="Izvjestitelj: "/>
    <w:docVar w:name="dvstar" w:val="***I"/>
    <w:docVar w:name="dvtitre" w:val="Zakonodavna rezolucija Europskog parlamenta od .... 2026. o Prijedlogu uredbe Europskog parlamenta i Vijeća o primjeni općeg sustava carinskih povlastica i stavljanju izvan snage Uredbe (EU) br. 978/2012 Europskog parlamenta i Vijeća(COM(2021) 579 – C9-978/2012 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135C3C"/>
  <w15:chartTrackingRefBased/>
  <w15:docId w15:val="{E45D8F06-7C98-46C6-9CE5-09C321AC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80C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80CD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80CD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CD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CD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CD1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CD1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CD1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CD1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A80CD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80C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80CD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80CD1"/>
    <w:pPr>
      <w:spacing w:after="120"/>
    </w:pPr>
  </w:style>
  <w:style w:type="paragraph" w:customStyle="1" w:styleId="PageHeading">
    <w:name w:val="PageHeading"/>
    <w:basedOn w:val="Normal"/>
    <w:rsid w:val="00A80C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80CD1"/>
    <w:rPr>
      <w:b/>
    </w:rPr>
  </w:style>
  <w:style w:type="character" w:customStyle="1" w:styleId="NormalBoldChar">
    <w:name w:val="NormalBold Char"/>
    <w:link w:val="NormalBold"/>
    <w:locked/>
    <w:rsid w:val="00A80CD1"/>
    <w:rPr>
      <w:b/>
      <w:sz w:val="24"/>
      <w:lang w:val="hr-HR"/>
    </w:rPr>
  </w:style>
  <w:style w:type="paragraph" w:customStyle="1" w:styleId="NormalBold12a">
    <w:name w:val="NormalBold12a"/>
    <w:basedOn w:val="Normal"/>
    <w:rsid w:val="00A80CD1"/>
    <w:pPr>
      <w:spacing w:after="240"/>
    </w:pPr>
    <w:rPr>
      <w:b/>
    </w:rPr>
  </w:style>
  <w:style w:type="paragraph" w:customStyle="1" w:styleId="AmJustText">
    <w:name w:val="AmJustText"/>
    <w:basedOn w:val="Normal"/>
    <w:rsid w:val="00A80CD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80CD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80CD1"/>
    <w:pPr>
      <w:spacing w:after="480"/>
      <w:ind w:left="1417"/>
    </w:pPr>
  </w:style>
  <w:style w:type="paragraph" w:customStyle="1" w:styleId="CoverNormal">
    <w:name w:val="CoverNormal"/>
    <w:basedOn w:val="Normal"/>
    <w:rsid w:val="00A80CD1"/>
    <w:pPr>
      <w:ind w:left="1418"/>
    </w:pPr>
  </w:style>
  <w:style w:type="paragraph" w:customStyle="1" w:styleId="AmCrossRef">
    <w:name w:val="AmCrossRef"/>
    <w:basedOn w:val="Normal"/>
    <w:rsid w:val="00A80CD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80CD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80CD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80CD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80CD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80CD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80C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CD1"/>
    <w:rPr>
      <w:sz w:val="24"/>
      <w:lang w:val="hr-HR"/>
    </w:rPr>
  </w:style>
  <w:style w:type="paragraph" w:customStyle="1" w:styleId="AmOrLang">
    <w:name w:val="AmOrLang"/>
    <w:basedOn w:val="Normal"/>
    <w:rsid w:val="00A80CD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80CD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80C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80CD1"/>
    <w:pPr>
      <w:spacing w:before="240"/>
    </w:pPr>
    <w:rPr>
      <w:b/>
    </w:rPr>
  </w:style>
  <w:style w:type="paragraph" w:customStyle="1" w:styleId="EPBody">
    <w:name w:val="EPBody"/>
    <w:basedOn w:val="Normal"/>
    <w:rsid w:val="00A80CD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80C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80CD1"/>
    <w:pPr>
      <w:spacing w:before="480" w:after="240"/>
    </w:pPr>
  </w:style>
  <w:style w:type="paragraph" w:customStyle="1" w:styleId="Lgendesigne">
    <w:name w:val="Légende signe"/>
    <w:basedOn w:val="Normal"/>
    <w:rsid w:val="00A80C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80C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80CD1"/>
    <w:rPr>
      <w:sz w:val="18"/>
    </w:rPr>
  </w:style>
  <w:style w:type="paragraph" w:styleId="ListParagraph">
    <w:name w:val="List Paragraph"/>
    <w:basedOn w:val="Normal"/>
    <w:uiPriority w:val="1"/>
    <w:qFormat/>
    <w:rsid w:val="00A80CD1"/>
    <w:pPr>
      <w:ind w:left="720"/>
      <w:contextualSpacing/>
    </w:pPr>
  </w:style>
  <w:style w:type="paragraph" w:customStyle="1" w:styleId="ManualConsidrant">
    <w:name w:val="Manual Considérant"/>
    <w:basedOn w:val="Normal"/>
    <w:rsid w:val="00A80CD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A80CD1"/>
    <w:rPr>
      <w:b/>
      <w:bCs/>
      <w:i/>
      <w:iCs/>
      <w:spacing w:val="0"/>
    </w:rPr>
  </w:style>
  <w:style w:type="character" w:styleId="Hyperlink">
    <w:name w:val="Hyperlink"/>
    <w:unhideWhenUsed/>
    <w:rsid w:val="00A80CD1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A80CD1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A80CD1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A80C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80CD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0CD1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80C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80CD1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A80C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0CD1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A80CD1"/>
    <w:rPr>
      <w:sz w:val="24"/>
      <w:lang w:val="hr-HR"/>
    </w:rPr>
  </w:style>
  <w:style w:type="character" w:customStyle="1" w:styleId="Sup">
    <w:name w:val="Sup"/>
    <w:uiPriority w:val="1"/>
    <w:qFormat/>
    <w:rsid w:val="00A80CD1"/>
    <w:rPr>
      <w:vertAlign w:val="superscript"/>
    </w:rPr>
  </w:style>
  <w:style w:type="character" w:customStyle="1" w:styleId="Normal6Char">
    <w:name w:val="Normal6 Char"/>
    <w:link w:val="Normal6"/>
    <w:locked/>
    <w:rsid w:val="00A80CD1"/>
    <w:rPr>
      <w:sz w:val="24"/>
    </w:rPr>
  </w:style>
  <w:style w:type="paragraph" w:customStyle="1" w:styleId="Normal6">
    <w:name w:val="Normal6"/>
    <w:basedOn w:val="Normal"/>
    <w:link w:val="Normal6Char"/>
    <w:rsid w:val="00A80CD1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A80CD1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A80CD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A80CD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A80CD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A80CD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A80CD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A80CD1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A80CD1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A80CD1"/>
    <w:pPr>
      <w:spacing w:after="240"/>
    </w:pPr>
  </w:style>
  <w:style w:type="paragraph" w:customStyle="1" w:styleId="PageHeadingNotTOC">
    <w:name w:val="PageHeadingNotTOC"/>
    <w:basedOn w:val="Normal"/>
    <w:rsid w:val="00A80C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80CD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A80CD1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A80CD1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A80C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A80CD1"/>
    <w:pPr>
      <w:jc w:val="center"/>
    </w:pPr>
    <w:rPr>
      <w:b/>
      <w:i/>
    </w:rPr>
  </w:style>
  <w:style w:type="paragraph" w:customStyle="1" w:styleId="RollCallSymbols14pt">
    <w:name w:val="RollCallSymbols14pt"/>
    <w:basedOn w:val="Normal"/>
    <w:rsid w:val="00A80CD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80CD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80CD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80CD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A80CD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80CD1"/>
    <w:rPr>
      <w:sz w:val="24"/>
      <w:lang w:val="hr-HR"/>
    </w:rPr>
  </w:style>
  <w:style w:type="character" w:customStyle="1" w:styleId="SupBoldItalic">
    <w:name w:val="SupBoldItalic"/>
    <w:uiPriority w:val="1"/>
    <w:qFormat/>
    <w:rsid w:val="00A80CD1"/>
    <w:rPr>
      <w:b/>
      <w:i/>
      <w:vertAlign w:val="superscript"/>
    </w:rPr>
  </w:style>
  <w:style w:type="paragraph" w:styleId="Footer">
    <w:name w:val="footer"/>
    <w:basedOn w:val="Normal"/>
    <w:link w:val="FooterChar"/>
    <w:uiPriority w:val="99"/>
    <w:rsid w:val="00A80C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CD1"/>
    <w:rPr>
      <w:sz w:val="24"/>
      <w:lang w:val="hr-HR"/>
    </w:rPr>
  </w:style>
  <w:style w:type="paragraph" w:customStyle="1" w:styleId="AmDocTypeTab">
    <w:name w:val="AmDocTypeTab"/>
    <w:basedOn w:val="Normal"/>
    <w:rsid w:val="002A3F1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A3F1F"/>
    <w:pPr>
      <w:spacing w:after="240"/>
      <w:jc w:val="center"/>
    </w:pPr>
  </w:style>
  <w:style w:type="paragraph" w:customStyle="1" w:styleId="AmDateTab">
    <w:name w:val="AmDateTab"/>
    <w:basedOn w:val="Normal"/>
    <w:rsid w:val="002A3F1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A3F1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A3F1F"/>
  </w:style>
  <w:style w:type="paragraph" w:customStyle="1" w:styleId="Title1">
    <w:name w:val="Title1"/>
    <w:basedOn w:val="Normal"/>
    <w:next w:val="Normal"/>
    <w:uiPriority w:val="10"/>
    <w:qFormat/>
    <w:rsid w:val="002A3F1F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3F1F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2A3F1F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3F1F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2A3F1F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2A3F1F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2A3F1F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A3F1F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3F1F"/>
    <w:rPr>
      <w:rFonts w:eastAsia="Aptos"/>
      <w:i/>
      <w:kern w:val="2"/>
      <w:sz w:val="24"/>
      <w:szCs w:val="24"/>
      <w:lang w:val="hr-HR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F1F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F1F"/>
    <w:rPr>
      <w:rFonts w:eastAsia="Aptos"/>
      <w:b/>
      <w:i/>
      <w:kern w:val="2"/>
      <w:sz w:val="24"/>
      <w:szCs w:val="22"/>
      <w:lang w:val="hr-HR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2A3F1F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2A3F1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A3F1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A3F1F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2A3F1F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2A3F1F"/>
  </w:style>
  <w:style w:type="paragraph" w:styleId="TOC4">
    <w:name w:val="toc 4"/>
    <w:basedOn w:val="Normal"/>
    <w:next w:val="Normal"/>
    <w:uiPriority w:val="39"/>
    <w:unhideWhenUsed/>
    <w:rsid w:val="002A3F1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A3F1F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A3F1F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A3F1F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A3F1F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A3F1F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2A3F1F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2A3F1F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2A3F1F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A3F1F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A3F1F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2A3F1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A3F1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A3F1F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2A3F1F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2A3F1F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2A3F1F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2A3F1F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2A3F1F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2A3F1F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2A3F1F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2A3F1F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2A3F1F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2A3F1F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2A3F1F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2A3F1F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2A3F1F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2A3F1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2A3F1F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2A3F1F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2A3F1F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2A3F1F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2A3F1F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2A3F1F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2A3F1F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2A3F1F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2A3F1F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2A3F1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2A3F1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2A3F1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2A3F1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2A3F1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2A3F1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2A3F1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2A3F1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2A3F1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2A3F1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2A3F1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2A3F1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2A3F1F"/>
    <w:pPr>
      <w:widowControl/>
      <w:numPr>
        <w:numId w:val="4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2A3F1F"/>
    <w:pPr>
      <w:widowControl/>
      <w:numPr>
        <w:numId w:val="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2A3F1F"/>
    <w:pPr>
      <w:widowControl/>
      <w:numPr>
        <w:numId w:val="6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2A3F1F"/>
    <w:pPr>
      <w:widowControl/>
      <w:numPr>
        <w:numId w:val="7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2A3F1F"/>
    <w:pPr>
      <w:widowControl/>
      <w:numPr>
        <w:numId w:val="8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2A3F1F"/>
    <w:pPr>
      <w:widowControl/>
      <w:numPr>
        <w:numId w:val="9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2A3F1F"/>
    <w:pPr>
      <w:widowControl/>
      <w:numPr>
        <w:numId w:val="10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2A3F1F"/>
    <w:pPr>
      <w:widowControl/>
      <w:numPr>
        <w:numId w:val="11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2A3F1F"/>
    <w:pPr>
      <w:widowControl/>
      <w:numPr>
        <w:numId w:val="12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A3F1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A3F1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A3F1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A3F1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A3F1F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A3F1F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A3F1F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2A3F1F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A3F1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A3F1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A3F1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A3F1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A3F1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A3F1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A3F1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A3F1F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A3F1F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A3F1F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A3F1F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2A3F1F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2A3F1F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2A3F1F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2A3F1F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2A3F1F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2A3F1F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2A3F1F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2A3F1F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2A3F1F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2A3F1F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2A3F1F"/>
    <w:pPr>
      <w:widowControl/>
      <w:numPr>
        <w:numId w:val="15"/>
      </w:numPr>
      <w:tabs>
        <w:tab w:val="num" w:pos="360"/>
        <w:tab w:val="num" w:pos="72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2A3F1F"/>
    <w:pPr>
      <w:widowControl/>
      <w:numPr>
        <w:numId w:val="16"/>
      </w:numPr>
      <w:tabs>
        <w:tab w:val="num" w:pos="360"/>
        <w:tab w:val="num" w:pos="72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2A3F1F"/>
    <w:pPr>
      <w:widowControl/>
      <w:numPr>
        <w:numId w:val="17"/>
      </w:numPr>
      <w:tabs>
        <w:tab w:val="num" w:pos="360"/>
        <w:tab w:val="num" w:pos="108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2A3F1F"/>
    <w:pPr>
      <w:widowControl/>
      <w:numPr>
        <w:numId w:val="18"/>
      </w:numPr>
      <w:tabs>
        <w:tab w:val="num" w:pos="360"/>
        <w:tab w:val="num" w:pos="108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2A3F1F"/>
    <w:pPr>
      <w:widowControl/>
      <w:numPr>
        <w:numId w:val="19"/>
      </w:numPr>
      <w:tabs>
        <w:tab w:val="num" w:pos="360"/>
        <w:tab w:val="num" w:pos="1440"/>
        <w:tab w:val="clear" w:pos="3685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2A3F1F"/>
    <w:pPr>
      <w:widowControl/>
      <w:numPr>
        <w:numId w:val="20"/>
      </w:numPr>
      <w:tabs>
        <w:tab w:val="num" w:pos="360"/>
        <w:tab w:val="num" w:pos="1440"/>
        <w:tab w:val="clear" w:pos="425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2A3F1F"/>
    <w:pPr>
      <w:widowControl/>
      <w:numPr>
        <w:numId w:val="21"/>
      </w:numPr>
      <w:tabs>
        <w:tab w:val="num" w:pos="360"/>
        <w:tab w:val="num" w:pos="1800"/>
        <w:tab w:val="clear" w:pos="481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2A3F1F"/>
    <w:pPr>
      <w:widowControl/>
      <w:numPr>
        <w:numId w:val="22"/>
      </w:numPr>
      <w:tabs>
        <w:tab w:val="num" w:pos="360"/>
        <w:tab w:val="num" w:pos="1800"/>
        <w:tab w:val="clear" w:pos="538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A3F1F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A3F1F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A3F1F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2A3F1F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A3F1F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A3F1F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A3F1F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A3F1F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A3F1F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A3F1F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2A3F1F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A3F1F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A3F1F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A3F1F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A3F1F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A3F1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A3F1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A3F1F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2A3F1F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2A3F1F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2A3F1F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2A3F1F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2A3F1F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2A3F1F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A3F1F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2A3F1F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A3F1F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A3F1F"/>
    <w:pPr>
      <w:spacing w:before="240"/>
    </w:pPr>
  </w:style>
  <w:style w:type="paragraph" w:customStyle="1" w:styleId="Accordtitre">
    <w:name w:val="Accord titre"/>
    <w:basedOn w:val="Normal"/>
    <w:rsid w:val="002A3F1F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2A3F1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2A3F1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A3F1F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A3F1F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A3F1F"/>
    <w:pPr>
      <w:spacing w:after="240"/>
    </w:pPr>
  </w:style>
  <w:style w:type="paragraph" w:customStyle="1" w:styleId="Annexetitre">
    <w:name w:val="Annexe titre"/>
    <w:basedOn w:val="Normal"/>
    <w:next w:val="Normal"/>
    <w:rsid w:val="002A3F1F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A3F1F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A3F1F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A3F1F"/>
    <w:rPr>
      <w:rFonts w:eastAsia="Aptos"/>
      <w:lang w:val="hr-HR" w:eastAsia="en-US"/>
    </w:rPr>
  </w:style>
  <w:style w:type="character" w:styleId="EndnoteReference">
    <w:name w:val="endnote reference"/>
    <w:basedOn w:val="DefaultParagraphFont"/>
    <w:uiPriority w:val="99"/>
    <w:unhideWhenUsed/>
    <w:rsid w:val="002A3F1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A3F1F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2A3F1F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2A3F1F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2A3F1F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A3F1F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A3F1F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A3F1F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A3F1F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A3F1F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A3F1F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A3F1F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A3F1F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A3F1F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A3F1F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A3F1F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A3F1F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A3F1F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A3F1F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A3F1F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A3F1F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A3F1F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A3F1F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A3F1F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A3F1F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A3F1F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A3F1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2A3F1F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2A3F1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A3F1F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2A3F1F"/>
    <w:pPr>
      <w:autoSpaceDE w:val="0"/>
      <w:autoSpaceDN w:val="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A3F1F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2A3F1F"/>
    <w:pPr>
      <w:autoSpaceDE w:val="0"/>
      <w:autoSpaceDN w:val="0"/>
      <w:spacing w:before="50"/>
      <w:ind w:left="112"/>
    </w:pPr>
    <w:rPr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2A3F1F"/>
    <w:pPr>
      <w:widowControl/>
      <w:spacing w:before="120" w:after="120" w:line="360" w:lineRule="auto"/>
    </w:pPr>
    <w:rPr>
      <w:rFonts w:eastAsia="Aptos"/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2A3F1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3F1F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A3F1F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A3F1F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2A3F1F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F1F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2A3F1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r-HR"/>
    </w:rPr>
  </w:style>
  <w:style w:type="character" w:styleId="Emphasis">
    <w:name w:val="Emphasis"/>
    <w:basedOn w:val="DefaultParagraphFont"/>
    <w:qFormat/>
    <w:rsid w:val="002A3F1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2A3F1F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2A3F1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2026-08-27T12:19:00Z</dcterms:created>
  <dcterms:modified xsi:type="dcterms:W3CDTF">2026-08-27T12:19:00Z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