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62B532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35D2C" w:rsidP="0010095E" w14:paraId="3356C8A8" w14:textId="77777777">
            <w:pPr>
              <w:pStyle w:val="EPName"/>
            </w:pPr>
            <w:r w:rsidRPr="00D35D2C">
              <w:t>Parlament Europejski</w:t>
            </w:r>
          </w:p>
          <w:p w:rsidR="00751A4A" w:rsidRPr="00D35D2C" w:rsidP="005F1B17" w14:paraId="235C9A31" w14:textId="66830FA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5D2C">
              <w:t>2024</w:t>
            </w:r>
            <w:r w:rsidRPr="00D35D2C" w:rsidR="00817416">
              <w:t>-</w:t>
            </w:r>
            <w:r w:rsidRPr="00D35D2C">
              <w:t>2029</w:t>
            </w:r>
          </w:p>
        </w:tc>
        <w:tc>
          <w:tcPr>
            <w:tcW w:w="2268" w:type="dxa"/>
            <w:shd w:val="clear" w:color="auto" w:fill="auto"/>
          </w:tcPr>
          <w:p w:rsidR="00751A4A" w:rsidRPr="00D35D2C" w:rsidP="0010095E" w14:paraId="32941661" w14:textId="77777777">
            <w:pPr>
              <w:pStyle w:val="EPLogo"/>
            </w:pPr>
            <w:r w:rsidRPr="00D35D2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35D2C" w:rsidP="004C5D52" w14:paraId="772165FD" w14:textId="77777777">
      <w:pPr>
        <w:pStyle w:val="LineTop"/>
      </w:pPr>
    </w:p>
    <w:p w:rsidR="00680577" w:rsidRPr="00D35D2C" w:rsidP="00680577" w14:paraId="575299EA" w14:textId="77777777">
      <w:pPr>
        <w:pStyle w:val="EPBodyTA1"/>
      </w:pPr>
      <w:r w:rsidRPr="00D35D2C">
        <w:t>TEKSTY PRZYJĘTE</w:t>
      </w:r>
    </w:p>
    <w:p w:rsidR="00D058B8" w:rsidRPr="00D35D2C" w:rsidP="00D058B8" w14:paraId="16E77B5B" w14:textId="77777777">
      <w:pPr>
        <w:pStyle w:val="LineBottom"/>
      </w:pPr>
    </w:p>
    <w:p w:rsidR="006570CA" w:rsidRPr="00D35D2C" w:rsidP="006570CA" w14:paraId="49740143" w14:textId="3EBCF2F2">
      <w:pPr>
        <w:pStyle w:val="ATHeading1"/>
      </w:pPr>
      <w:bookmarkStart w:id="0" w:name="TANumber"/>
      <w:r w:rsidRPr="00D35D2C">
        <w:t>P</w:t>
      </w:r>
      <w:r w:rsidR="00DE1EC1">
        <w:t>10</w:t>
      </w:r>
      <w:r w:rsidRPr="00D35D2C">
        <w:t>_TA(</w:t>
      </w:r>
      <w:r w:rsidRPr="00D35D2C" w:rsidR="00D35D2C">
        <w:t>2026</w:t>
      </w:r>
      <w:r w:rsidRPr="00D35D2C">
        <w:t>)</w:t>
      </w:r>
      <w:r w:rsidRPr="00D35D2C" w:rsidR="00D35D2C">
        <w:t>0</w:t>
      </w:r>
      <w:bookmarkEnd w:id="0"/>
      <w:r w:rsidR="00BE24C5">
        <w:t>114</w:t>
      </w:r>
    </w:p>
    <w:p w:rsidR="006570CA" w:rsidRPr="00D35D2C" w:rsidP="006570CA" w14:paraId="026151D1" w14:textId="77777777">
      <w:pPr>
        <w:pStyle w:val="ATHeading2"/>
      </w:pPr>
      <w:bookmarkStart w:id="1" w:name="title"/>
      <w:r w:rsidRPr="00D35D2C">
        <w:t>Ogólny system preferencji taryfowych</w:t>
      </w:r>
      <w:bookmarkEnd w:id="1"/>
    </w:p>
    <w:p w:rsidR="006570CA" w:rsidRPr="00D35D2C" w:rsidP="006570CA" w14:paraId="6A8C76AC" w14:textId="1C680743">
      <w:pPr>
        <w:rPr>
          <w:i/>
          <w:vanish/>
        </w:rPr>
      </w:pPr>
      <w:r>
        <w:rPr>
          <w:i/>
        </w:rPr>
        <w:fldChar w:fldCharType="begin"/>
      </w:r>
      <w:r w:rsidRPr="00D35D2C">
        <w:rPr>
          <w:i/>
        </w:rPr>
        <w:instrText xml:space="preserve"> TC"(</w:instrText>
      </w:r>
      <w:bookmarkStart w:id="2" w:name="DocNumber"/>
      <w:r w:rsidRPr="00D35D2C">
        <w:rPr>
          <w:i/>
        </w:rPr>
        <w:instrText>A</w:instrText>
      </w:r>
      <w:r w:rsidRPr="00D35D2C" w:rsidR="00D35D2C">
        <w:rPr>
          <w:i/>
        </w:rPr>
        <w:instrText>9</w:instrText>
      </w:r>
      <w:r w:rsidRPr="00D35D2C">
        <w:rPr>
          <w:i/>
        </w:rPr>
        <w:instrText>-</w:instrText>
      </w:r>
      <w:r w:rsidRPr="00D35D2C" w:rsidR="00D35D2C">
        <w:rPr>
          <w:i/>
        </w:rPr>
        <w:instrText>0147</w:instrText>
      </w:r>
      <w:r w:rsidRPr="00D35D2C">
        <w:rPr>
          <w:i/>
        </w:rPr>
        <w:instrText>/</w:instrText>
      </w:r>
      <w:r w:rsidRPr="00D35D2C" w:rsidR="00D35D2C">
        <w:rPr>
          <w:i/>
        </w:rPr>
        <w:instrText>202</w:instrText>
      </w:r>
      <w:bookmarkEnd w:id="2"/>
      <w:r w:rsidRPr="00D35D2C" w:rsidR="00D35D2C">
        <w:rPr>
          <w:i/>
        </w:rPr>
        <w:instrText>2</w:instrText>
      </w:r>
      <w:r w:rsidRPr="00D35D2C">
        <w:rPr>
          <w:i/>
        </w:rPr>
        <w:instrText xml:space="preserve"> - Sprawozdawca: </w:instrText>
      </w:r>
      <w:r w:rsidRPr="00D35D2C" w:rsidR="00EB5607">
        <w:rPr>
          <w:i/>
        </w:rPr>
        <w:instrText>Bernd Lange</w:instrText>
      </w:r>
      <w:r w:rsidRPr="00D35D2C">
        <w:rPr>
          <w:i/>
        </w:rPr>
        <w:instrText>)"\l</w:instrText>
      </w:r>
      <w:r w:rsidRPr="00D35D2C" w:rsidR="00D35D2C">
        <w:rPr>
          <w:i/>
        </w:rPr>
        <w:instrText>3</w:instrText>
      </w:r>
      <w:r w:rsidRPr="00D35D2C">
        <w:rPr>
          <w:i/>
        </w:rPr>
        <w:instrText xml:space="preserve"> \n&gt; \* MERGEFORMAT </w:instrText>
      </w:r>
      <w:r>
        <w:rPr>
          <w:i/>
        </w:rPr>
        <w:fldChar w:fldCharType="end"/>
      </w:r>
    </w:p>
    <w:p w:rsidR="006570CA" w:rsidRPr="00D35D2C" w:rsidP="006570CA" w14:paraId="29B183B9" w14:textId="77777777">
      <w:pPr>
        <w:rPr>
          <w:vanish/>
        </w:rPr>
      </w:pPr>
      <w:bookmarkStart w:id="3" w:name="Commission"/>
      <w:r w:rsidRPr="00D35D2C">
        <w:rPr>
          <w:vanish/>
        </w:rPr>
        <w:t>Komisja Handlu Międzynarodowego</w:t>
      </w:r>
      <w:bookmarkEnd w:id="3"/>
    </w:p>
    <w:p w:rsidR="006570CA" w:rsidRPr="00D35D2C" w:rsidP="006570CA" w14:paraId="1A171585" w14:textId="5FB65CA5">
      <w:pPr>
        <w:rPr>
          <w:vanish/>
        </w:rPr>
      </w:pPr>
      <w:bookmarkStart w:id="4" w:name="PE"/>
      <w:r w:rsidRPr="00D35D2C">
        <w:rPr>
          <w:vanish/>
        </w:rPr>
        <w:t>PE</w:t>
      </w:r>
      <w:r w:rsidRPr="00D35D2C" w:rsidR="00D35D2C">
        <w:rPr>
          <w:vanish/>
        </w:rPr>
        <w:t>703</w:t>
      </w:r>
      <w:r w:rsidRPr="00D35D2C">
        <w:rPr>
          <w:vanish/>
        </w:rPr>
        <w:t>.</w:t>
      </w:r>
      <w:r w:rsidRPr="00D35D2C" w:rsidR="00D35D2C">
        <w:rPr>
          <w:vanish/>
        </w:rPr>
        <w:t>10</w:t>
      </w:r>
      <w:bookmarkEnd w:id="4"/>
      <w:r w:rsidRPr="00D35D2C" w:rsidR="00D35D2C">
        <w:rPr>
          <w:vanish/>
        </w:rPr>
        <w:t>0</w:t>
      </w:r>
    </w:p>
    <w:p w:rsidR="006570CA" w:rsidRPr="00D35D2C" w:rsidP="006570CA" w14:paraId="02A14378" w14:textId="673E596D">
      <w:pPr>
        <w:pStyle w:val="ATHeading3"/>
      </w:pPr>
      <w:bookmarkStart w:id="5" w:name="Sujet"/>
      <w:r w:rsidRPr="00D35D2C">
        <w:t xml:space="preserve">Rezolucja ustawodawcza Parlamentu Europejskiego z dnia </w:t>
      </w:r>
      <w:r w:rsidRPr="00D35D2C" w:rsidR="00D35D2C">
        <w:t>28</w:t>
      </w:r>
      <w:r w:rsidRPr="00D35D2C">
        <w:t xml:space="preserve"> </w:t>
      </w:r>
      <w:r w:rsidRPr="00D35D2C" w:rsidR="00195D9E">
        <w:t xml:space="preserve">kwietnia </w:t>
      </w:r>
      <w:r w:rsidRPr="00D35D2C" w:rsidR="00D35D2C">
        <w:t>2026</w:t>
      </w:r>
      <w:r w:rsidRPr="00D35D2C">
        <w:t xml:space="preserve"> r. w sprawie wniosku dotyczącego rozporządzenia Parlamentu Europejskiego i Rady wprowadzającego ogólny system preferencji taryfowych i uchylającego rozporządzenie Parlamentu Europejskiego i Rady (UE) nr </w:t>
      </w:r>
      <w:r w:rsidRPr="00D35D2C" w:rsidR="00D35D2C">
        <w:t>978</w:t>
      </w:r>
      <w:r w:rsidRPr="00D35D2C">
        <w:t>/</w:t>
      </w:r>
      <w:r w:rsidRPr="00D35D2C" w:rsidR="00D35D2C">
        <w:t>201</w:t>
      </w:r>
      <w:bookmarkEnd w:id="5"/>
      <w:r w:rsidRPr="00D35D2C" w:rsidR="00D35D2C">
        <w:t>2</w:t>
      </w:r>
      <w:r w:rsidRPr="00D35D2C">
        <w:t xml:space="preserve"> </w:t>
      </w:r>
      <w:bookmarkStart w:id="6" w:name="References"/>
      <w:r w:rsidRPr="00D35D2C">
        <w:t>(COM(</w:t>
      </w:r>
      <w:r w:rsidRPr="00D35D2C" w:rsidR="00D35D2C">
        <w:t>2021</w:t>
      </w:r>
      <w:r w:rsidRPr="00D35D2C">
        <w:t>)</w:t>
      </w:r>
      <w:r w:rsidRPr="00D35D2C" w:rsidR="00D35D2C">
        <w:t>0579</w:t>
      </w:r>
      <w:r w:rsidRPr="00D35D2C">
        <w:t xml:space="preserve"> – C</w:t>
      </w:r>
      <w:r w:rsidRPr="00D35D2C" w:rsidR="00D35D2C">
        <w:t>9</w:t>
      </w:r>
      <w:r w:rsidRPr="00D35D2C">
        <w:t>-</w:t>
      </w:r>
      <w:r w:rsidRPr="00D35D2C" w:rsidR="00D35D2C">
        <w:t>0364</w:t>
      </w:r>
      <w:r w:rsidRPr="00D35D2C">
        <w:t>/</w:t>
      </w:r>
      <w:r w:rsidRPr="00D35D2C" w:rsidR="00D35D2C">
        <w:t>2021</w:t>
      </w:r>
      <w:r w:rsidRPr="00D35D2C">
        <w:t xml:space="preserve">– </w:t>
      </w:r>
      <w:r w:rsidRPr="00D35D2C" w:rsidR="00D35D2C">
        <w:t>2021</w:t>
      </w:r>
      <w:r w:rsidRPr="00D35D2C">
        <w:t>/</w:t>
      </w:r>
      <w:r w:rsidRPr="00D35D2C" w:rsidR="00D35D2C">
        <w:t>0297</w:t>
      </w:r>
      <w:r w:rsidRPr="00D35D2C">
        <w:t>(COD))</w:t>
      </w:r>
      <w:bookmarkEnd w:id="6"/>
    </w:p>
    <w:p w:rsidR="0055557B" w:rsidRPr="00D35D2C" w:rsidP="0055557B" w14:paraId="30A4C6A5" w14:textId="77777777">
      <w:pPr>
        <w:rPr>
          <w:b/>
        </w:rPr>
      </w:pPr>
      <w:r w:rsidRPr="00D35D2C">
        <w:rPr>
          <w:b/>
        </w:rPr>
        <w:t>(Zwykła procedura ustawodawcza: pierwsze czytanie)</w:t>
      </w:r>
    </w:p>
    <w:p w:rsidR="0055557B" w:rsidRPr="00D35D2C" w:rsidP="0055557B" w14:paraId="3C656E13" w14:textId="77777777">
      <w:pPr>
        <w:spacing w:before="480" w:after="240"/>
      </w:pPr>
      <w:r w:rsidRPr="00D35D2C">
        <w:rPr>
          <w:i/>
        </w:rPr>
        <w:t>Parlament Europejski</w:t>
      </w:r>
      <w:r w:rsidRPr="00D35D2C">
        <w:t>,</w:t>
      </w:r>
    </w:p>
    <w:p w:rsidR="0055557B" w:rsidRPr="00D35D2C" w:rsidP="0055557B" w14:paraId="1A3CA958" w14:textId="2CADC9C1">
      <w:pPr>
        <w:spacing w:after="240"/>
        <w:ind w:left="567" w:hanging="567"/>
      </w:pPr>
      <w:r w:rsidRPr="00D35D2C">
        <w:t>–</w:t>
      </w:r>
      <w:r w:rsidRPr="00D35D2C">
        <w:tab/>
        <w:t>uwzględniając wniosek Komisji przedstawiony Parlamentowi Europejskiemu i Radzie (COM(</w:t>
      </w:r>
      <w:r w:rsidRPr="00D35D2C" w:rsidR="00D35D2C">
        <w:t>2021</w:t>
      </w:r>
      <w:r w:rsidRPr="00D35D2C">
        <w:t>)</w:t>
      </w:r>
      <w:r w:rsidRPr="00D35D2C" w:rsidR="00D35D2C">
        <w:t>0579</w:t>
      </w:r>
      <w:r w:rsidRPr="00D35D2C">
        <w:t>),</w:t>
      </w:r>
    </w:p>
    <w:p w:rsidR="0055557B" w:rsidRPr="00D35D2C" w:rsidP="0055557B" w14:paraId="243951AA" w14:textId="69612789">
      <w:pPr>
        <w:spacing w:after="240"/>
        <w:ind w:left="567" w:hanging="567"/>
      </w:pPr>
      <w:r w:rsidRPr="00D35D2C">
        <w:t>–</w:t>
      </w:r>
      <w:r w:rsidRPr="00D35D2C">
        <w:tab/>
        <w:t xml:space="preserve">uwzględniając art. </w:t>
      </w:r>
      <w:r w:rsidRPr="00D35D2C" w:rsidR="00D35D2C">
        <w:t>294</w:t>
      </w:r>
      <w:r w:rsidRPr="00D35D2C">
        <w:t xml:space="preserve"> ust. </w:t>
      </w:r>
      <w:r w:rsidRPr="00D35D2C" w:rsidR="00D35D2C">
        <w:t>2</w:t>
      </w:r>
      <w:r w:rsidRPr="00D35D2C">
        <w:t xml:space="preserve"> i art. </w:t>
      </w:r>
      <w:r w:rsidRPr="00D35D2C" w:rsidR="00D35D2C">
        <w:t>207</w:t>
      </w:r>
      <w:r w:rsidRPr="00D35D2C">
        <w:t xml:space="preserve"> ust. </w:t>
      </w:r>
      <w:r w:rsidRPr="00D35D2C" w:rsidR="00D35D2C">
        <w:t>2</w:t>
      </w:r>
      <w:r w:rsidRPr="00D35D2C">
        <w:t xml:space="preserve"> Traktatu o funkcjonowaniu Unii Europejskiej, zgodnie z którymi wniosek został przedstawiony Parlamentowi przez Komisję (C</w:t>
      </w:r>
      <w:r w:rsidRPr="00D35D2C" w:rsidR="00D35D2C">
        <w:t>9</w:t>
      </w:r>
      <w:r w:rsidRPr="00D35D2C">
        <w:t>-</w:t>
      </w:r>
      <w:r w:rsidRPr="00D35D2C" w:rsidR="00D35D2C">
        <w:t>0364</w:t>
      </w:r>
      <w:r w:rsidRPr="00D35D2C">
        <w:t>/</w:t>
      </w:r>
      <w:r w:rsidRPr="00D35D2C" w:rsidR="00D35D2C">
        <w:t>2021</w:t>
      </w:r>
      <w:r w:rsidRPr="00D35D2C">
        <w:t>),</w:t>
      </w:r>
    </w:p>
    <w:p w:rsidR="0055557B" w:rsidRPr="00D35D2C" w:rsidP="0055557B" w14:paraId="45FE9F2E" w14:textId="62A82102">
      <w:pPr>
        <w:spacing w:after="240"/>
        <w:ind w:left="567" w:hanging="567"/>
      </w:pPr>
      <w:r w:rsidRPr="00D35D2C">
        <w:rPr>
          <w:rFonts w:ascii="Symbol" w:hAnsi="Symbol"/>
        </w:rPr>
        <w:sym w:font="Symbol" w:char="F02D"/>
      </w:r>
      <w:r w:rsidRPr="00D35D2C">
        <w:tab/>
        <w:t>uwzględniając art. </w:t>
      </w:r>
      <w:r w:rsidRPr="00D35D2C" w:rsidR="00D35D2C">
        <w:t>294</w:t>
      </w:r>
      <w:r w:rsidRPr="00D35D2C">
        <w:t xml:space="preserve"> ust. </w:t>
      </w:r>
      <w:r w:rsidRPr="00D35D2C" w:rsidR="00D35D2C">
        <w:t>3</w:t>
      </w:r>
      <w:r w:rsidRPr="00D35D2C">
        <w:t xml:space="preserve"> Traktatu o funkcjonowaniu Unii Europejskiej,</w:t>
      </w:r>
    </w:p>
    <w:p w:rsidR="00EB5607" w:rsidRPr="00D35D2C" w:rsidP="0055557B" w14:paraId="1AA33437" w14:textId="0AE463C5">
      <w:pPr>
        <w:spacing w:after="240"/>
        <w:ind w:left="567" w:hanging="567"/>
        <w:rPr>
          <w:szCs w:val="24"/>
        </w:rPr>
      </w:pPr>
      <w:r w:rsidRPr="00D35D2C">
        <w:rPr>
          <w:szCs w:val="24"/>
        </w:rPr>
        <w:t>–</w:t>
      </w:r>
      <w:r w:rsidRPr="00D35D2C">
        <w:rPr>
          <w:szCs w:val="24"/>
        </w:rPr>
        <w:tab/>
        <w:t xml:space="preserve">uwzględniając wstępne porozumienie zatwierdzone przez komisję przedmiotowo właściwą na podstawie art. </w:t>
      </w:r>
      <w:r w:rsidRPr="00D35D2C" w:rsidR="00D35D2C">
        <w:rPr>
          <w:szCs w:val="24"/>
        </w:rPr>
        <w:t>75</w:t>
      </w:r>
      <w:r w:rsidRPr="00D35D2C">
        <w:rPr>
          <w:szCs w:val="24"/>
        </w:rPr>
        <w:t xml:space="preserve"> ust. </w:t>
      </w:r>
      <w:r w:rsidRPr="00D35D2C" w:rsidR="00D35D2C">
        <w:rPr>
          <w:szCs w:val="24"/>
        </w:rPr>
        <w:t>4</w:t>
      </w:r>
      <w:r w:rsidRPr="00D35D2C">
        <w:rPr>
          <w:szCs w:val="24"/>
        </w:rPr>
        <w:t xml:space="preserve"> Regulaminu oraz przekazane pismem z dnia </w:t>
      </w:r>
      <w:r w:rsidRPr="00D35D2C" w:rsidR="00D35D2C">
        <w:rPr>
          <w:szCs w:val="24"/>
        </w:rPr>
        <w:t>19</w:t>
      </w:r>
      <w:r w:rsidRPr="00D35D2C">
        <w:rPr>
          <w:szCs w:val="24"/>
        </w:rPr>
        <w:t xml:space="preserve"> grudnia </w:t>
      </w:r>
      <w:r w:rsidRPr="00D35D2C" w:rsidR="00D35D2C">
        <w:rPr>
          <w:szCs w:val="24"/>
        </w:rPr>
        <w:t>2025</w:t>
      </w:r>
      <w:r w:rsidRPr="00D35D2C">
        <w:rPr>
          <w:szCs w:val="24"/>
        </w:rPr>
        <w:t xml:space="preserve"> r. zobowiązanie przedstawiciela Rady do zatwierdzenia stanowiska Parlamentu, zgodnie z art. </w:t>
      </w:r>
      <w:r w:rsidRPr="00D35D2C" w:rsidR="00D35D2C">
        <w:rPr>
          <w:szCs w:val="24"/>
        </w:rPr>
        <w:t>294</w:t>
      </w:r>
      <w:r w:rsidRPr="00D35D2C">
        <w:rPr>
          <w:szCs w:val="24"/>
        </w:rPr>
        <w:t xml:space="preserve"> ust. </w:t>
      </w:r>
      <w:r w:rsidRPr="00D35D2C" w:rsidR="00D35D2C">
        <w:rPr>
          <w:szCs w:val="24"/>
        </w:rPr>
        <w:t>4</w:t>
      </w:r>
      <w:r w:rsidRPr="00D35D2C">
        <w:rPr>
          <w:szCs w:val="24"/>
        </w:rPr>
        <w:t xml:space="preserve"> Traktatu o funkcjonowaniu Unii Europejskiej,</w:t>
      </w:r>
    </w:p>
    <w:p w:rsidR="0055557B" w:rsidRPr="00D35D2C" w:rsidP="0055557B" w14:paraId="542D78EF" w14:textId="7EEFDA58">
      <w:pPr>
        <w:spacing w:after="240"/>
        <w:ind w:left="567" w:hanging="567"/>
      </w:pPr>
      <w:r w:rsidRPr="00D35D2C">
        <w:t>–</w:t>
      </w:r>
      <w:r w:rsidRPr="00D35D2C">
        <w:tab/>
        <w:t>uwzględniając art. </w:t>
      </w:r>
      <w:r w:rsidRPr="00D35D2C" w:rsidR="00D35D2C">
        <w:t>60</w:t>
      </w:r>
      <w:r w:rsidRPr="00D35D2C">
        <w:t xml:space="preserve"> Regulaminu,</w:t>
      </w:r>
    </w:p>
    <w:p w:rsidR="0055557B" w:rsidRPr="00D35D2C" w:rsidP="0055557B" w14:paraId="6F853EC4" w14:textId="77777777">
      <w:pPr>
        <w:spacing w:after="240"/>
        <w:ind w:left="567" w:hanging="567"/>
        <w:rPr>
          <w:color w:val="000000"/>
        </w:rPr>
      </w:pPr>
      <w:r w:rsidRPr="00D35D2C">
        <w:t>–</w:t>
      </w:r>
      <w:r w:rsidRPr="00D35D2C">
        <w:tab/>
        <w:t>uwzględniając opinie przedstawione przez Komisję Spraw Zagranicznych oraz Komisję Rozwoju,</w:t>
      </w:r>
    </w:p>
    <w:p w:rsidR="0055557B" w:rsidRPr="00D35D2C" w:rsidP="0055557B" w14:paraId="65C5CC27" w14:textId="6B15BE04">
      <w:pPr>
        <w:spacing w:after="240"/>
        <w:ind w:left="567" w:hanging="567"/>
      </w:pPr>
      <w:r w:rsidRPr="00D35D2C">
        <w:t>–</w:t>
      </w:r>
      <w:r w:rsidRPr="00D35D2C">
        <w:tab/>
        <w:t>uwzględniając sprawozdanie Komisji Handlu Międzynarodowego (A</w:t>
      </w:r>
      <w:r w:rsidRPr="00D35D2C" w:rsidR="00D35D2C">
        <w:t>9</w:t>
      </w:r>
      <w:r w:rsidRPr="00D35D2C">
        <w:t>-</w:t>
      </w:r>
      <w:r w:rsidRPr="00D35D2C" w:rsidR="00D35D2C">
        <w:t>0147</w:t>
      </w:r>
      <w:r w:rsidRPr="00D35D2C">
        <w:t>/</w:t>
      </w:r>
      <w:r w:rsidRPr="00D35D2C" w:rsidR="00D35D2C">
        <w:t>2022</w:t>
      </w:r>
      <w:r w:rsidRPr="00D35D2C">
        <w:t>),</w:t>
      </w:r>
    </w:p>
    <w:p w:rsidR="0055557B" w:rsidRPr="00D35D2C" w:rsidP="0055557B" w14:paraId="7035E42F" w14:textId="1F8E807E">
      <w:pPr>
        <w:spacing w:after="240"/>
        <w:ind w:left="567" w:hanging="570"/>
      </w:pPr>
      <w:r w:rsidRPr="00D35D2C">
        <w:t>1</w:t>
      </w:r>
      <w:r w:rsidRPr="00D35D2C">
        <w:t>.</w:t>
      </w:r>
      <w:r w:rsidRPr="00D35D2C">
        <w:tab/>
        <w:t>przyjmuje poniższe stanowisko w pierwszym czytaniu;</w:t>
      </w:r>
    </w:p>
    <w:p w:rsidR="0055557B" w:rsidRPr="00D35D2C" w:rsidP="0055557B" w14:paraId="5E7FCE1E" w14:textId="35E255B9">
      <w:pPr>
        <w:spacing w:after="240"/>
        <w:ind w:left="567" w:hanging="570"/>
      </w:pPr>
      <w:r w:rsidRPr="00D35D2C">
        <w:t>2</w:t>
      </w:r>
      <w:r w:rsidRPr="00D35D2C">
        <w:t>.</w:t>
      </w:r>
      <w:r w:rsidRPr="00D35D2C">
        <w:tab/>
        <w:t>zobowiązuje swoją przewodniczącą do przekazania stanowiska Parlamentu Radzie i Komisji oraz parlamentom narodowym.</w:t>
      </w:r>
    </w:p>
    <w:p w:rsidR="00632545" w:rsidRPr="00D35D2C" w:rsidP="00632545" w14:paraId="5B8346E1" w14:textId="77777777">
      <w:pPr>
        <w:spacing w:after="240"/>
        <w:ind w:left="567" w:hanging="570"/>
        <w:sectPr w:rsidSect="0063254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32545" w:rsidRPr="00D35D2C" w:rsidP="00632545" w14:paraId="56430113" w14:textId="08D43F7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35D2C">
        <w:rPr>
          <w:rFonts w:eastAsia="Calibri"/>
          <w:b/>
          <w:bCs/>
          <w:color w:val="000000"/>
          <w:szCs w:val="24"/>
        </w:rPr>
        <w:t>P</w:t>
      </w:r>
      <w:r w:rsidRPr="00D35D2C" w:rsidR="00D35D2C">
        <w:rPr>
          <w:rFonts w:eastAsia="Calibri"/>
          <w:b/>
          <w:bCs/>
          <w:color w:val="000000"/>
          <w:szCs w:val="24"/>
        </w:rPr>
        <w:t>10</w:t>
      </w:r>
      <w:r w:rsidRPr="00D35D2C">
        <w:rPr>
          <w:rFonts w:eastAsia="Calibri"/>
          <w:b/>
          <w:bCs/>
          <w:color w:val="000000"/>
          <w:szCs w:val="24"/>
        </w:rPr>
        <w:t>_TC</w:t>
      </w:r>
      <w:r w:rsidRPr="00D35D2C" w:rsidR="00D35D2C">
        <w:rPr>
          <w:rFonts w:eastAsia="Calibri"/>
          <w:b/>
          <w:bCs/>
          <w:color w:val="000000"/>
          <w:szCs w:val="24"/>
        </w:rPr>
        <w:t>1</w:t>
      </w:r>
      <w:r w:rsidRPr="00D35D2C">
        <w:rPr>
          <w:rFonts w:eastAsia="Calibri"/>
          <w:b/>
          <w:bCs/>
          <w:color w:val="000000"/>
          <w:szCs w:val="24"/>
        </w:rPr>
        <w:t>-COD(</w:t>
      </w:r>
      <w:r w:rsidRPr="00D35D2C" w:rsidR="00D35D2C">
        <w:rPr>
          <w:rFonts w:eastAsia="Calibri"/>
          <w:b/>
          <w:bCs/>
          <w:color w:val="000000"/>
          <w:szCs w:val="24"/>
        </w:rPr>
        <w:t>2021</w:t>
      </w:r>
      <w:r w:rsidRPr="00D35D2C">
        <w:rPr>
          <w:rFonts w:eastAsia="Calibri"/>
          <w:b/>
          <w:bCs/>
          <w:color w:val="000000"/>
          <w:szCs w:val="24"/>
        </w:rPr>
        <w:t>)</w:t>
      </w:r>
      <w:r w:rsidRPr="00D35D2C" w:rsidR="00D35D2C">
        <w:rPr>
          <w:rFonts w:eastAsia="Calibri"/>
          <w:b/>
          <w:bCs/>
          <w:color w:val="000000"/>
          <w:szCs w:val="24"/>
        </w:rPr>
        <w:t>0297</w:t>
      </w:r>
    </w:p>
    <w:p w:rsidR="00632545" w:rsidP="00D20E07" w14:paraId="638D1FD9" w14:textId="633D8C03">
      <w:pPr>
        <w:widowControl/>
        <w:autoSpaceDE w:val="0"/>
        <w:autoSpaceDN w:val="0"/>
        <w:adjustRightInd w:val="0"/>
        <w:spacing w:before="120" w:after="240"/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</w:pPr>
      <w:r w:rsidRPr="00D35D2C">
        <w:rPr>
          <w:b/>
        </w:rPr>
        <w:t xml:space="preserve">Stanowisko Parlamentu Europejskiego przyjęte w pierwszym czytaniu w dniu </w:t>
      </w:r>
      <w:r w:rsidRPr="00D35D2C" w:rsidR="00D35D2C">
        <w:rPr>
          <w:b/>
        </w:rPr>
        <w:t>28</w:t>
      </w:r>
      <w:r w:rsidRPr="00D35D2C">
        <w:rPr>
          <w:b/>
        </w:rPr>
        <w:t xml:space="preserve"> kwietnia </w:t>
      </w:r>
      <w:r w:rsidRPr="00D35D2C" w:rsidR="00D35D2C">
        <w:rPr>
          <w:b/>
        </w:rPr>
        <w:t>2026</w:t>
      </w:r>
      <w:r w:rsidRPr="00D35D2C">
        <w:rPr>
          <w:b/>
        </w:rPr>
        <w:t xml:space="preserve"> r. w celu przyjęcia rozporządzenia Parlamentu Europejskiego i Rady (UE) </w:t>
      </w:r>
      <w:r w:rsidRPr="00D35D2C" w:rsidR="00D35D2C">
        <w:rPr>
          <w:b/>
        </w:rPr>
        <w:t>2026</w:t>
      </w:r>
      <w:r w:rsidRPr="00D35D2C">
        <w:rPr>
          <w:b/>
        </w:rPr>
        <w:t xml:space="preserve">/... </w:t>
      </w:r>
      <w:r w:rsidRPr="00D35D2C" w:rsidR="00D20E07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 xml:space="preserve">w sprawie stosowania </w:t>
      </w:r>
      <w:r w:rsidRPr="00A5097E" w:rsidR="00D20E07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ogólnego</w:t>
      </w:r>
      <w:r w:rsidRPr="00D35D2C" w:rsidR="00D20E07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 xml:space="preserve"> systemu preferencji taryfowych i uchylenia rozporządzenia (</w:t>
      </w:r>
      <w:r w:rsidR="00DE1EC1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U</w:t>
      </w:r>
      <w:r w:rsidRPr="00D35D2C" w:rsidR="00D20E07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E)</w:t>
      </w:r>
      <w:r w:rsidR="00DE1EC1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 </w:t>
      </w:r>
      <w:r w:rsidRPr="00D35D2C" w:rsidR="00D20E07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 xml:space="preserve">nr </w:t>
      </w:r>
      <w:r w:rsidRPr="00D35D2C" w:rsidR="00D35D2C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978</w:t>
      </w:r>
      <w:r w:rsidRPr="00D35D2C" w:rsidR="00D20E07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/</w:t>
      </w:r>
      <w:r w:rsidRPr="00D35D2C" w:rsidR="00D35D2C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2012</w:t>
      </w:r>
    </w:p>
    <w:p w:rsidR="00A5097E" w:rsidRPr="00D35D2C" w:rsidP="00D20E07" w14:paraId="0DDE0952" w14:textId="467F3641">
      <w:pPr>
        <w:widowControl/>
        <w:autoSpaceDE w:val="0"/>
        <w:autoSpaceDN w:val="0"/>
        <w:adjustRightInd w:val="0"/>
        <w:spacing w:before="120" w:after="240"/>
        <w:rPr>
          <w:rFonts w:eastAsia="Calibri"/>
          <w:b/>
          <w:bCs/>
          <w:szCs w:val="22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</w:t>
      </w:r>
      <w:r>
        <w:rPr>
          <w:i/>
        </w:rPr>
        <w:t>26</w:t>
      </w:r>
      <w:r>
        <w:rPr>
          <w:i/>
        </w:rPr>
        <w:t>/</w:t>
      </w:r>
      <w:r>
        <w:rPr>
          <w:i/>
        </w:rPr>
        <w:t>1395</w:t>
      </w:r>
      <w:r>
        <w:rPr>
          <w:i/>
        </w:rPr>
        <w:t>.)</w:t>
      </w:r>
    </w:p>
    <w:sectPr w:rsidSect="00A509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20" w:h="16850"/>
      <w:pgMar w:top="1134" w:right="1134" w:bottom="1134" w:left="1134" w:header="0" w:footer="105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3A93" w14:paraId="76449AC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3A93" w14:paraId="421D4C3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3A93" w14:paraId="454B9E4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3A93" w14:paraId="2C2F326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3A93" w14:paraId="0D2BCFD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3A93" w14:paraId="26D0DAF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6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7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630402343">
    <w:abstractNumId w:val="0"/>
  </w:num>
  <w:num w:numId="2" w16cid:durableId="919292766">
    <w:abstractNumId w:val="7"/>
  </w:num>
  <w:num w:numId="3" w16cid:durableId="9096585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0071770">
    <w:abstractNumId w:val="4"/>
  </w:num>
  <w:num w:numId="5" w16cid:durableId="1059862582">
    <w:abstractNumId w:val="11"/>
  </w:num>
  <w:num w:numId="6" w16cid:durableId="192768498">
    <w:abstractNumId w:val="14"/>
  </w:num>
  <w:num w:numId="7" w16cid:durableId="307787253">
    <w:abstractNumId w:val="13"/>
  </w:num>
  <w:num w:numId="8" w16cid:durableId="703754214">
    <w:abstractNumId w:val="21"/>
  </w:num>
  <w:num w:numId="9" w16cid:durableId="1792554488">
    <w:abstractNumId w:val="8"/>
  </w:num>
  <w:num w:numId="10" w16cid:durableId="1186288313">
    <w:abstractNumId w:val="9"/>
  </w:num>
  <w:num w:numId="11" w16cid:durableId="525561290">
    <w:abstractNumId w:val="10"/>
  </w:num>
  <w:num w:numId="12" w16cid:durableId="50227971">
    <w:abstractNumId w:val="12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0CA"/>
    <w:rsid w:val="00002272"/>
    <w:rsid w:val="00064002"/>
    <w:rsid w:val="000677B9"/>
    <w:rsid w:val="000831BA"/>
    <w:rsid w:val="000A42CC"/>
    <w:rsid w:val="000E7DD9"/>
    <w:rsid w:val="0010095E"/>
    <w:rsid w:val="00125B37"/>
    <w:rsid w:val="00127A98"/>
    <w:rsid w:val="00187494"/>
    <w:rsid w:val="00195D9E"/>
    <w:rsid w:val="001F32AE"/>
    <w:rsid w:val="002767FF"/>
    <w:rsid w:val="002B18FE"/>
    <w:rsid w:val="002B5493"/>
    <w:rsid w:val="00343214"/>
    <w:rsid w:val="00356F5A"/>
    <w:rsid w:val="00361C00"/>
    <w:rsid w:val="00395FA1"/>
    <w:rsid w:val="003B2164"/>
    <w:rsid w:val="003E15D4"/>
    <w:rsid w:val="00401118"/>
    <w:rsid w:val="00411CCE"/>
    <w:rsid w:val="0041666E"/>
    <w:rsid w:val="00421060"/>
    <w:rsid w:val="0044243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57B"/>
    <w:rsid w:val="00560270"/>
    <w:rsid w:val="00564C09"/>
    <w:rsid w:val="005C2568"/>
    <w:rsid w:val="005E59B2"/>
    <w:rsid w:val="005F1B17"/>
    <w:rsid w:val="006037C0"/>
    <w:rsid w:val="00632545"/>
    <w:rsid w:val="006570CA"/>
    <w:rsid w:val="006631B6"/>
    <w:rsid w:val="00680577"/>
    <w:rsid w:val="006F74FA"/>
    <w:rsid w:val="00731ADD"/>
    <w:rsid w:val="00734777"/>
    <w:rsid w:val="00741FC3"/>
    <w:rsid w:val="00747932"/>
    <w:rsid w:val="00751A4A"/>
    <w:rsid w:val="00756632"/>
    <w:rsid w:val="00762C74"/>
    <w:rsid w:val="0078692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097E"/>
    <w:rsid w:val="00A60081"/>
    <w:rsid w:val="00A778C7"/>
    <w:rsid w:val="00AB441E"/>
    <w:rsid w:val="00AB6293"/>
    <w:rsid w:val="00AE0928"/>
    <w:rsid w:val="00AF3B82"/>
    <w:rsid w:val="00B12E95"/>
    <w:rsid w:val="00B22876"/>
    <w:rsid w:val="00B558F0"/>
    <w:rsid w:val="00BC184F"/>
    <w:rsid w:val="00BD48FE"/>
    <w:rsid w:val="00BD7BD8"/>
    <w:rsid w:val="00BE24C5"/>
    <w:rsid w:val="00BE6ADC"/>
    <w:rsid w:val="00C05BFE"/>
    <w:rsid w:val="00C23A93"/>
    <w:rsid w:val="00C23CD4"/>
    <w:rsid w:val="00C61C0C"/>
    <w:rsid w:val="00C941CB"/>
    <w:rsid w:val="00CC2357"/>
    <w:rsid w:val="00CF071A"/>
    <w:rsid w:val="00D058B8"/>
    <w:rsid w:val="00D20E07"/>
    <w:rsid w:val="00D35D2C"/>
    <w:rsid w:val="00D56C11"/>
    <w:rsid w:val="00D834A0"/>
    <w:rsid w:val="00D872DF"/>
    <w:rsid w:val="00D91E21"/>
    <w:rsid w:val="00DA7FCD"/>
    <w:rsid w:val="00DE1EC1"/>
    <w:rsid w:val="00E112CC"/>
    <w:rsid w:val="00E365E1"/>
    <w:rsid w:val="00E820A4"/>
    <w:rsid w:val="00EB006A"/>
    <w:rsid w:val="00EB4772"/>
    <w:rsid w:val="00EB5607"/>
    <w:rsid w:val="00ED169E"/>
    <w:rsid w:val="00ED4235"/>
    <w:rsid w:val="00F04346"/>
    <w:rsid w:val="00F075DC"/>
    <w:rsid w:val="00F149E9"/>
    <w:rsid w:val="00F5134D"/>
    <w:rsid w:val="00F672C5"/>
    <w:rsid w:val="00F74202"/>
    <w:rsid w:val="00F87713"/>
    <w:rsid w:val="00FB4360"/>
    <w:rsid w:val="00FD0C70"/>
  </w:rsids>
  <w:docVars>
    <w:docVar w:name="dvdocse" w:val="A9-0147/2022"/>
    <w:docVar w:name="dvlangue" w:val="PL"/>
    <w:docVar w:name="dvnumam" w:val="0"/>
    <w:docVar w:name="dvpe" w:val="703.100"/>
    <w:docVar w:name="dvrapporteur" w:val="Sprawozdawca: "/>
    <w:docVar w:name="dvstar" w:val="***I"/>
    <w:docVar w:name="dvtitre" w:val="Rezolucja ustawodawcza Parlamentu Europejskiego z dnia  2026 r. w sprawie wniosku dotyczącego rozporządzenia Parlamentu Europejskiego i Rady wprowadzającego ogólny system preferencji taryfowych i uchylającego rozporządzenie Parlamentu Europejskiego i Rady (UE) nr 978/2012(COM(2021)0579 – C9-0364/2021– 2021/0297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FB0D7DD"/>
  <w15:chartTrackingRefBased/>
  <w15:docId w15:val="{B7B3B25B-3BB9-4DE2-B738-241695E3F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5557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55557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55557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57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57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57B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57B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57B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57B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55557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5557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5557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5557B"/>
    <w:pPr>
      <w:spacing w:after="120"/>
    </w:pPr>
    <w:rPr>
      <w:rFonts w:eastAsia="Calibri"/>
      <w:bCs/>
      <w:iCs/>
      <w:lang w:eastAsia="en-US"/>
    </w:rPr>
  </w:style>
  <w:style w:type="paragraph" w:customStyle="1" w:styleId="PageHeading">
    <w:name w:val="PageHeading"/>
    <w:basedOn w:val="Normal"/>
    <w:rsid w:val="0055557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5557B"/>
    <w:rPr>
      <w:b/>
    </w:rPr>
  </w:style>
  <w:style w:type="paragraph" w:customStyle="1" w:styleId="NormalBold12a">
    <w:name w:val="NormalBold12a"/>
    <w:basedOn w:val="Normal"/>
    <w:rsid w:val="0055557B"/>
    <w:pPr>
      <w:spacing w:after="240"/>
    </w:pPr>
    <w:rPr>
      <w:b/>
    </w:rPr>
  </w:style>
  <w:style w:type="paragraph" w:customStyle="1" w:styleId="AmJustText">
    <w:name w:val="AmJustText"/>
    <w:basedOn w:val="Normal"/>
    <w:rsid w:val="0055557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5557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5557B"/>
    <w:pPr>
      <w:spacing w:after="480"/>
      <w:ind w:left="1417"/>
    </w:pPr>
  </w:style>
  <w:style w:type="paragraph" w:customStyle="1" w:styleId="CoverNormal">
    <w:name w:val="CoverNormal"/>
    <w:basedOn w:val="Normal"/>
    <w:rsid w:val="0055557B"/>
    <w:pPr>
      <w:ind w:left="1418"/>
    </w:pPr>
  </w:style>
  <w:style w:type="paragraph" w:customStyle="1" w:styleId="AmCrossRef">
    <w:name w:val="AmCrossRef"/>
    <w:basedOn w:val="Normal"/>
    <w:rsid w:val="0055557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5557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5557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5557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5557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5557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555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557B"/>
    <w:rPr>
      <w:sz w:val="24"/>
      <w:lang w:val="pl-PL"/>
    </w:rPr>
  </w:style>
  <w:style w:type="paragraph" w:customStyle="1" w:styleId="AmOrLang">
    <w:name w:val="AmOrLang"/>
    <w:basedOn w:val="Normal"/>
    <w:rsid w:val="0055557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5557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555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5557B"/>
    <w:pPr>
      <w:spacing w:before="240"/>
    </w:pPr>
    <w:rPr>
      <w:b/>
    </w:rPr>
  </w:style>
  <w:style w:type="paragraph" w:customStyle="1" w:styleId="EPBody">
    <w:name w:val="EPBody"/>
    <w:basedOn w:val="Normal"/>
    <w:rsid w:val="0055557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5557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5557B"/>
    <w:pPr>
      <w:spacing w:before="480" w:after="240"/>
    </w:pPr>
  </w:style>
  <w:style w:type="paragraph" w:customStyle="1" w:styleId="Lgendesigne">
    <w:name w:val="Légende signe"/>
    <w:basedOn w:val="Normal"/>
    <w:rsid w:val="0055557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5557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5557B"/>
    <w:rPr>
      <w:sz w:val="18"/>
    </w:rPr>
  </w:style>
  <w:style w:type="paragraph" w:styleId="ListParagraph">
    <w:name w:val="List Paragraph"/>
    <w:basedOn w:val="Normal"/>
    <w:uiPriority w:val="1"/>
    <w:qFormat/>
    <w:rsid w:val="0055557B"/>
    <w:pPr>
      <w:ind w:left="720"/>
      <w:contextualSpacing/>
    </w:pPr>
  </w:style>
  <w:style w:type="paragraph" w:customStyle="1" w:styleId="ManualConsidrant">
    <w:name w:val="Manual Considérant"/>
    <w:basedOn w:val="Normal"/>
    <w:rsid w:val="0055557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DeltaViewInsertion">
    <w:name w:val="DeltaView Insertion"/>
    <w:rsid w:val="0055557B"/>
    <w:rPr>
      <w:b/>
      <w:bCs/>
      <w:i/>
      <w:iCs/>
      <w:spacing w:val="0"/>
    </w:rPr>
  </w:style>
  <w:style w:type="character" w:styleId="Hyperlink">
    <w:name w:val="Hyperlink"/>
    <w:unhideWhenUsed/>
    <w:rsid w:val="0055557B"/>
    <w:rPr>
      <w:color w:val="0000FF"/>
      <w:u w:val="single"/>
    </w:rPr>
  </w:style>
  <w:style w:type="character" w:styleId="FollowedHyperlink">
    <w:name w:val="FollowedHyperlink"/>
    <w:basedOn w:val="DefaultParagraphFont"/>
    <w:unhideWhenUsed/>
    <w:rsid w:val="0055557B"/>
    <w:rPr>
      <w:color w:val="954F72" w:themeColor="followedHyperlink"/>
      <w:u w:val="single"/>
    </w:rPr>
  </w:style>
  <w:style w:type="paragraph" w:customStyle="1" w:styleId="msonormal">
    <w:name w:val="msonormal"/>
    <w:basedOn w:val="Normal"/>
    <w:rsid w:val="0055557B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5555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557B"/>
    <w:rPr>
      <w:sz w:val="24"/>
      <w:lang w:val="pl-PL"/>
    </w:rPr>
  </w:style>
  <w:style w:type="character" w:styleId="CommentReference">
    <w:name w:val="annotation reference"/>
    <w:basedOn w:val="DefaultParagraphFont"/>
    <w:uiPriority w:val="99"/>
    <w:rsid w:val="005555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5557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557B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555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5557B"/>
    <w:rPr>
      <w:b/>
      <w:bCs/>
      <w:lang w:val="pl-PL"/>
    </w:rPr>
  </w:style>
  <w:style w:type="paragraph" w:styleId="BalloonText">
    <w:name w:val="Balloon Text"/>
    <w:basedOn w:val="Normal"/>
    <w:link w:val="BalloonTextChar"/>
    <w:unhideWhenUsed/>
    <w:rsid w:val="005555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5557B"/>
    <w:rPr>
      <w:rFonts w:ascii="Segoe UI" w:hAnsi="Segoe UI" w:cs="Segoe UI"/>
      <w:sz w:val="18"/>
      <w:szCs w:val="18"/>
      <w:lang w:val="pl-PL"/>
    </w:rPr>
  </w:style>
  <w:style w:type="paragraph" w:styleId="Revision">
    <w:name w:val="Revision"/>
    <w:hidden/>
    <w:uiPriority w:val="99"/>
    <w:semiHidden/>
    <w:rsid w:val="0055557B"/>
    <w:rPr>
      <w:sz w:val="24"/>
      <w:lang w:val="pl-PL"/>
    </w:rPr>
  </w:style>
  <w:style w:type="character" w:customStyle="1" w:styleId="NormalBoldChar">
    <w:name w:val="NormalBold Char"/>
    <w:link w:val="NormalBold"/>
    <w:locked/>
    <w:rsid w:val="0055557B"/>
    <w:rPr>
      <w:b/>
      <w:sz w:val="24"/>
      <w:lang w:val="pl-PL"/>
    </w:rPr>
  </w:style>
  <w:style w:type="character" w:customStyle="1" w:styleId="Sup">
    <w:name w:val="Sup"/>
    <w:uiPriority w:val="1"/>
    <w:qFormat/>
    <w:rsid w:val="0055557B"/>
    <w:rPr>
      <w:vertAlign w:val="superscript"/>
    </w:rPr>
  </w:style>
  <w:style w:type="character" w:customStyle="1" w:styleId="Normal6Char">
    <w:name w:val="Normal6 Char"/>
    <w:link w:val="Normal6"/>
    <w:locked/>
    <w:rsid w:val="0055557B"/>
    <w:rPr>
      <w:sz w:val="24"/>
    </w:rPr>
  </w:style>
  <w:style w:type="paragraph" w:customStyle="1" w:styleId="Normal6">
    <w:name w:val="Normal6"/>
    <w:basedOn w:val="Normal"/>
    <w:link w:val="Normal6Char"/>
    <w:rsid w:val="0055557B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55557B"/>
    <w:pPr>
      <w:spacing w:after="240"/>
      <w:jc w:val="center"/>
    </w:pPr>
    <w:rPr>
      <w:i/>
    </w:rPr>
  </w:style>
  <w:style w:type="paragraph" w:customStyle="1" w:styleId="NumPar1">
    <w:name w:val="NumPar 1"/>
    <w:basedOn w:val="Normal"/>
    <w:next w:val="Normal"/>
    <w:rsid w:val="0055557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Normal"/>
    <w:rsid w:val="0055557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Normal"/>
    <w:rsid w:val="0055557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Normal"/>
    <w:rsid w:val="0055557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Normal"/>
    <w:rsid w:val="0055557B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Normal"/>
    <w:rsid w:val="0055557B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Normal"/>
    <w:rsid w:val="0055557B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55557B"/>
    <w:pPr>
      <w:spacing w:after="240"/>
    </w:pPr>
  </w:style>
  <w:style w:type="paragraph" w:customStyle="1" w:styleId="PageHeadingNotTOC">
    <w:name w:val="PageHeadingNotTOC"/>
    <w:basedOn w:val="Normal"/>
    <w:rsid w:val="0055557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5557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55557B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55557B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5555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ItalicCenter6a">
    <w:name w:val="NormalBoldItalicCenter6a"/>
    <w:basedOn w:val="Normal6a"/>
    <w:qFormat/>
    <w:rsid w:val="0055557B"/>
    <w:pPr>
      <w:jc w:val="center"/>
    </w:pPr>
    <w:rPr>
      <w:rFonts w:eastAsia="Times New Roman"/>
      <w:b/>
      <w:bCs w:val="0"/>
      <w:i/>
      <w:iCs w:val="0"/>
      <w:lang w:eastAsia="en-GB"/>
    </w:rPr>
  </w:style>
  <w:style w:type="paragraph" w:customStyle="1" w:styleId="RollCallSymbols14pt">
    <w:name w:val="RollCallSymbols14pt"/>
    <w:basedOn w:val="Normal"/>
    <w:rsid w:val="0055557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5557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5557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5557B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55557B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5557B"/>
    <w:rPr>
      <w:sz w:val="24"/>
      <w:lang w:val="pl-PL"/>
    </w:rPr>
  </w:style>
  <w:style w:type="character" w:customStyle="1" w:styleId="SupBoldItalic">
    <w:name w:val="SupBoldItalic"/>
    <w:uiPriority w:val="1"/>
    <w:qFormat/>
    <w:rsid w:val="0055557B"/>
    <w:rPr>
      <w:b/>
      <w:i/>
      <w:vertAlign w:val="superscript"/>
    </w:rPr>
  </w:style>
  <w:style w:type="paragraph" w:customStyle="1" w:styleId="Olang">
    <w:name w:val="Olang"/>
    <w:rsid w:val="0055557B"/>
    <w:pPr>
      <w:jc w:val="right"/>
    </w:pPr>
    <w:rPr>
      <w:lang w:val="pl-PL"/>
    </w:rPr>
  </w:style>
  <w:style w:type="character" w:customStyle="1" w:styleId="bumpedfont15">
    <w:name w:val="bumpedfont15"/>
    <w:basedOn w:val="DefaultParagraphFont"/>
    <w:rsid w:val="0055557B"/>
  </w:style>
  <w:style w:type="paragraph" w:customStyle="1" w:styleId="AmDocTypeTab">
    <w:name w:val="AmDocTypeTab"/>
    <w:basedOn w:val="Normal"/>
    <w:rsid w:val="00D20E0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20E07"/>
    <w:pPr>
      <w:spacing w:after="240"/>
      <w:jc w:val="center"/>
    </w:pPr>
  </w:style>
  <w:style w:type="paragraph" w:customStyle="1" w:styleId="AmDateTab">
    <w:name w:val="AmDateTab"/>
    <w:basedOn w:val="Normal"/>
    <w:rsid w:val="00D20E0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20E0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20E07"/>
  </w:style>
  <w:style w:type="paragraph" w:customStyle="1" w:styleId="Title1">
    <w:name w:val="Title1"/>
    <w:basedOn w:val="Normal"/>
    <w:next w:val="Normal"/>
    <w:uiPriority w:val="10"/>
    <w:qFormat/>
    <w:rsid w:val="00D20E07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0E07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D20E07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0E07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D20E07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D20E07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D20E07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D20E07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0E07"/>
    <w:rPr>
      <w:rFonts w:eastAsia="Aptos"/>
      <w:i/>
      <w:kern w:val="2"/>
      <w:sz w:val="24"/>
      <w:szCs w:val="24"/>
      <w:lang w:val="pl-PL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E07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E07"/>
    <w:rPr>
      <w:rFonts w:eastAsia="Aptos"/>
      <w:b/>
      <w:i/>
      <w:kern w:val="2"/>
      <w:sz w:val="24"/>
      <w:szCs w:val="22"/>
      <w:lang w:val="pl-PL"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D20E07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D20E0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20E0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20E07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D20E07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D20E07"/>
  </w:style>
  <w:style w:type="paragraph" w:styleId="TOC4">
    <w:name w:val="toc 4"/>
    <w:basedOn w:val="Normal"/>
    <w:next w:val="Normal"/>
    <w:uiPriority w:val="39"/>
    <w:unhideWhenUsed/>
    <w:rsid w:val="00D20E0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20E07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20E07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20E07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20E07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20E07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D20E07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D20E07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D20E07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20E07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D20E07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D20E07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D20E07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D20E07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D20E07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D20E07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D20E07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D20E07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D20E07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D20E07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D20E07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D20E07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D20E07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D20E07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D20E07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D20E07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D20E07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D20E07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D20E07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D20E07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D20E07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D20E07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D20E07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D20E07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D20E07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D20E07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D20E07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D20E07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D20E07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D20E07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D20E07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D20E07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D20E0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D20E0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D20E0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D20E0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D20E0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D20E0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D20E0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D20E07"/>
    <w:pPr>
      <w:widowControl/>
      <w:numPr>
        <w:numId w:val="4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D20E07"/>
    <w:pPr>
      <w:widowControl/>
      <w:numPr>
        <w:numId w:val="5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D20E07"/>
    <w:pPr>
      <w:widowControl/>
      <w:numPr>
        <w:numId w:val="6"/>
      </w:numPr>
      <w:tabs>
        <w:tab w:val="num" w:pos="720"/>
        <w:tab w:val="clear" w:pos="1984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D20E07"/>
    <w:pPr>
      <w:widowControl/>
      <w:numPr>
        <w:numId w:val="7"/>
      </w:numPr>
      <w:tabs>
        <w:tab w:val="num" w:pos="720"/>
        <w:tab w:val="clear" w:pos="2551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D20E07"/>
    <w:pPr>
      <w:widowControl/>
      <w:numPr>
        <w:numId w:val="8"/>
      </w:numPr>
      <w:tabs>
        <w:tab w:val="num" w:pos="1080"/>
        <w:tab w:val="clear" w:pos="3118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D20E07"/>
    <w:pPr>
      <w:widowControl/>
      <w:numPr>
        <w:numId w:val="9"/>
      </w:numPr>
      <w:tabs>
        <w:tab w:val="num" w:pos="1080"/>
        <w:tab w:val="clear" w:pos="3685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D20E07"/>
    <w:pPr>
      <w:widowControl/>
      <w:numPr>
        <w:numId w:val="10"/>
      </w:numPr>
      <w:tabs>
        <w:tab w:val="num" w:pos="1440"/>
        <w:tab w:val="clear" w:pos="4252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D20E07"/>
    <w:pPr>
      <w:widowControl/>
      <w:numPr>
        <w:numId w:val="11"/>
      </w:numPr>
      <w:tabs>
        <w:tab w:val="num" w:pos="1440"/>
        <w:tab w:val="clear" w:pos="4819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D20E07"/>
    <w:pPr>
      <w:widowControl/>
      <w:numPr>
        <w:numId w:val="12"/>
      </w:numPr>
      <w:tabs>
        <w:tab w:val="num" w:pos="1800"/>
        <w:tab w:val="clear" w:pos="5386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20E07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20E07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20E07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20E07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20E07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20E07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20E07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D20E07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20E07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20E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20E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20E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20E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20E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20E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20E07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20E07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20E07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20E07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D20E07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D20E07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D20E07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D20E07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D20E07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D20E07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D20E07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D20E07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D20E07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D20E07"/>
    <w:pPr>
      <w:widowControl/>
      <w:numPr>
        <w:numId w:val="14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D20E07"/>
    <w:pPr>
      <w:widowControl/>
      <w:numPr>
        <w:numId w:val="15"/>
      </w:numPr>
      <w:tabs>
        <w:tab w:val="num" w:pos="360"/>
        <w:tab w:val="num" w:pos="72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D20E07"/>
    <w:pPr>
      <w:widowControl/>
      <w:numPr>
        <w:numId w:val="16"/>
      </w:numPr>
      <w:tabs>
        <w:tab w:val="num" w:pos="360"/>
        <w:tab w:val="num" w:pos="72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D20E07"/>
    <w:pPr>
      <w:widowControl/>
      <w:numPr>
        <w:numId w:val="17"/>
      </w:numPr>
      <w:tabs>
        <w:tab w:val="num" w:pos="360"/>
        <w:tab w:val="num" w:pos="108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D20E07"/>
    <w:pPr>
      <w:widowControl/>
      <w:numPr>
        <w:numId w:val="18"/>
      </w:numPr>
      <w:tabs>
        <w:tab w:val="num" w:pos="360"/>
        <w:tab w:val="num" w:pos="108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D20E07"/>
    <w:pPr>
      <w:widowControl/>
      <w:numPr>
        <w:numId w:val="19"/>
      </w:numPr>
      <w:tabs>
        <w:tab w:val="num" w:pos="360"/>
        <w:tab w:val="num" w:pos="1440"/>
        <w:tab w:val="clear" w:pos="3685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D20E07"/>
    <w:pPr>
      <w:widowControl/>
      <w:numPr>
        <w:numId w:val="20"/>
      </w:numPr>
      <w:tabs>
        <w:tab w:val="num" w:pos="360"/>
        <w:tab w:val="num" w:pos="1440"/>
        <w:tab w:val="clear" w:pos="425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D20E07"/>
    <w:pPr>
      <w:widowControl/>
      <w:numPr>
        <w:numId w:val="21"/>
      </w:numPr>
      <w:tabs>
        <w:tab w:val="num" w:pos="360"/>
        <w:tab w:val="num" w:pos="1800"/>
        <w:tab w:val="clear" w:pos="481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D20E07"/>
    <w:pPr>
      <w:widowControl/>
      <w:numPr>
        <w:numId w:val="22"/>
      </w:numPr>
      <w:tabs>
        <w:tab w:val="num" w:pos="360"/>
        <w:tab w:val="num" w:pos="1800"/>
        <w:tab w:val="clear" w:pos="538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D20E07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20E07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20E07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D20E07"/>
    <w:pPr>
      <w:widowControl/>
      <w:numPr>
        <w:numId w:val="2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20E07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20E07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20E07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20E07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20E07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20E07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D20E07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D20E07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20E07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D20E07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D20E07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20E0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20E0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20E07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D20E07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D20E07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D20E07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D20E07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D20E07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D20E07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20E07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D20E07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20E07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20E07"/>
    <w:pPr>
      <w:spacing w:before="240"/>
    </w:pPr>
  </w:style>
  <w:style w:type="paragraph" w:customStyle="1" w:styleId="Accordtitre">
    <w:name w:val="Accord titre"/>
    <w:basedOn w:val="Normal"/>
    <w:rsid w:val="00D20E07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D20E0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D20E0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20E07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20E07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20E07"/>
    <w:pPr>
      <w:spacing w:after="240"/>
    </w:pPr>
  </w:style>
  <w:style w:type="paragraph" w:customStyle="1" w:styleId="Annexetitre">
    <w:name w:val="Annexe titre"/>
    <w:basedOn w:val="Normal"/>
    <w:next w:val="Normal"/>
    <w:rsid w:val="00D20E07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D20E07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D20E07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20E07"/>
    <w:rPr>
      <w:rFonts w:eastAsia="Aptos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D20E07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D20E07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D20E07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D20E07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D20E07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20E07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20E07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20E07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20E07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20E07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20E07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20E07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20E07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20E07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20E07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20E07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20E07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20E07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20E07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20E07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20E07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20E07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20E07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20E07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20E07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20E07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20E07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D20E07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D20E0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20E07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D20E07"/>
    <w:pPr>
      <w:autoSpaceDE w:val="0"/>
      <w:autoSpaceDN w:val="0"/>
    </w:pPr>
    <w:rPr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20E07"/>
    <w:rPr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20E07"/>
    <w:pPr>
      <w:autoSpaceDE w:val="0"/>
      <w:autoSpaceDN w:val="0"/>
      <w:spacing w:before="50"/>
      <w:ind w:left="112"/>
    </w:pPr>
    <w:rPr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D20E07"/>
    <w:pPr>
      <w:widowControl/>
      <w:spacing w:before="120" w:after="120" w:line="360" w:lineRule="auto"/>
    </w:pPr>
    <w:rPr>
      <w:rFonts w:eastAsia="Aptos"/>
      <w:szCs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D20E07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0E07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20E07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0E07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D20E07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E07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D20E0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l-PL"/>
    </w:rPr>
  </w:style>
  <w:style w:type="character" w:styleId="Emphasis">
    <w:name w:val="Emphasis"/>
    <w:basedOn w:val="DefaultParagraphFont"/>
    <w:qFormat/>
    <w:rsid w:val="00D20E07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D20E07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D20E0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2026-08-26T10:18:00Z</dcterms:created>
  <dcterms:modified xsi:type="dcterms:W3CDTF">2026-08-26T10:18:00Z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P10_TA(2026)0114_</vt:lpwstr>
  </property>
  <property fmtid="{D5CDD505-2E9C-101B-9397-08002B2CF9AE}" pid="4" name="&lt;Type&gt;">
    <vt:lpwstr>RR</vt:lpwstr>
  </property>
</Properties>
</file>