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C1DACB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12C0" w:rsidP="0010095E" w14:paraId="2A252FDD" w14:textId="77777777">
            <w:pPr>
              <w:pStyle w:val="EPName"/>
            </w:pPr>
            <w:r w:rsidRPr="00F412C0">
              <w:t>Európsky parlament</w:t>
            </w:r>
          </w:p>
          <w:p w:rsidR="00751A4A" w:rsidRPr="00F412C0" w:rsidP="005F1B17" w14:paraId="6FA9F83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12C0">
              <w:t>2024</w:t>
            </w:r>
            <w:r w:rsidRPr="00F412C0" w:rsidR="00817416">
              <w:t>-202</w:t>
            </w:r>
            <w:r w:rsidRPr="00F412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12C0" w:rsidP="0010095E" w14:paraId="66A53CE3" w14:textId="77777777">
            <w:pPr>
              <w:pStyle w:val="EPLogo"/>
            </w:pPr>
            <w:r w:rsidRPr="00F412C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12C0" w:rsidP="004C5D52" w14:paraId="49773FDE" w14:textId="77777777">
      <w:pPr>
        <w:pStyle w:val="LineTop"/>
      </w:pPr>
    </w:p>
    <w:p w:rsidR="00680577" w:rsidRPr="00F412C0" w:rsidP="00680577" w14:paraId="7EDA16C3" w14:textId="77777777">
      <w:pPr>
        <w:pStyle w:val="EPBodyTA1"/>
      </w:pPr>
      <w:r w:rsidRPr="00F412C0">
        <w:t>PRIJATÉ TEXTY</w:t>
      </w:r>
    </w:p>
    <w:p w:rsidR="00D058B8" w:rsidRPr="00F412C0" w:rsidP="00D058B8" w14:paraId="0FA8455B" w14:textId="77777777">
      <w:pPr>
        <w:pStyle w:val="LineBottom"/>
      </w:pPr>
    </w:p>
    <w:p w:rsidR="00B627B1" w:rsidRPr="00F412C0" w:rsidP="00B627B1" w14:paraId="45797A1E" w14:textId="59864323">
      <w:pPr>
        <w:pStyle w:val="ATHeading1"/>
      </w:pPr>
      <w:bookmarkStart w:id="0" w:name="TANumber"/>
      <w:r w:rsidRPr="00F412C0">
        <w:t>P</w:t>
      </w:r>
      <w:r w:rsidRPr="00F412C0" w:rsidR="00CF67ED">
        <w:t>10</w:t>
      </w:r>
      <w:r w:rsidRPr="00F412C0">
        <w:t>_TA(2026)0</w:t>
      </w:r>
      <w:bookmarkEnd w:id="0"/>
      <w:r w:rsidRPr="00F412C0" w:rsidR="00A93B38">
        <w:t>114</w:t>
      </w:r>
    </w:p>
    <w:p w:rsidR="00B627B1" w:rsidRPr="00F412C0" w:rsidP="00B627B1" w14:paraId="604EA45E" w14:textId="77777777">
      <w:pPr>
        <w:pStyle w:val="ATHeading2"/>
      </w:pPr>
      <w:bookmarkStart w:id="1" w:name="title"/>
      <w:r w:rsidRPr="00F412C0">
        <w:t>Všeobecný systém colných preferencií</w:t>
      </w:r>
      <w:bookmarkEnd w:id="1"/>
    </w:p>
    <w:p w:rsidR="00B627B1" w:rsidRPr="00F412C0" w:rsidP="00B627B1" w14:paraId="44049153" w14:textId="1D94C523">
      <w:pPr>
        <w:rPr>
          <w:i/>
          <w:vanish/>
        </w:rPr>
      </w:pPr>
      <w:r>
        <w:rPr>
          <w:i/>
        </w:rPr>
        <w:fldChar w:fldCharType="begin"/>
      </w:r>
      <w:r w:rsidRPr="00F412C0">
        <w:rPr>
          <w:i/>
        </w:rPr>
        <w:instrText xml:space="preserve"> TC"(</w:instrText>
      </w:r>
      <w:bookmarkStart w:id="2" w:name="DocNumber"/>
      <w:r w:rsidRPr="00F412C0">
        <w:rPr>
          <w:i/>
        </w:rPr>
        <w:instrText>A9-0147/2022</w:instrText>
      </w:r>
      <w:bookmarkEnd w:id="2"/>
      <w:r w:rsidRPr="00F412C0">
        <w:rPr>
          <w:i/>
        </w:rPr>
        <w:instrText xml:space="preserve"> - Spravodajkyňa: </w:instrText>
      </w:r>
      <w:r w:rsidRPr="00F412C0" w:rsidR="00543496">
        <w:rPr>
          <w:i/>
        </w:rPr>
        <w:instrText xml:space="preserve">Bernd </w:instrText>
      </w:r>
      <w:r w:rsidRPr="00F412C0" w:rsidR="00543496">
        <w:rPr>
          <w:i/>
        </w:rPr>
        <w:instrText>Lange</w:instrText>
      </w:r>
      <w:r w:rsidRPr="00F412C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627B1" w:rsidRPr="00F412C0" w:rsidP="00B627B1" w14:paraId="7E47FB8F" w14:textId="77777777">
      <w:pPr>
        <w:rPr>
          <w:vanish/>
        </w:rPr>
      </w:pPr>
      <w:bookmarkStart w:id="3" w:name="Commission"/>
      <w:r w:rsidRPr="00F412C0">
        <w:rPr>
          <w:vanish/>
        </w:rPr>
        <w:t>Výbor pre medzinárodný obchod</w:t>
      </w:r>
      <w:bookmarkEnd w:id="3"/>
    </w:p>
    <w:p w:rsidR="00B627B1" w:rsidRPr="00F412C0" w:rsidP="00B627B1" w14:paraId="2A8A980F" w14:textId="77777777">
      <w:pPr>
        <w:rPr>
          <w:vanish/>
        </w:rPr>
      </w:pPr>
      <w:bookmarkStart w:id="4" w:name="PE"/>
      <w:r w:rsidRPr="00F412C0">
        <w:rPr>
          <w:vanish/>
        </w:rPr>
        <w:t>PE703.100</w:t>
      </w:r>
      <w:bookmarkEnd w:id="4"/>
    </w:p>
    <w:p w:rsidR="00B627B1" w:rsidRPr="00F412C0" w:rsidP="00B627B1" w14:paraId="21F83BB6" w14:textId="241E07FA">
      <w:pPr>
        <w:pStyle w:val="ATHeading3"/>
      </w:pPr>
      <w:bookmarkStart w:id="5" w:name="Sujet"/>
      <w:r w:rsidRPr="00F412C0">
        <w:t>Legislatívne uznesenie Európskeho parlamentu z</w:t>
      </w:r>
      <w:r w:rsidRPr="00F412C0" w:rsidR="006A1BAC">
        <w:t xml:space="preserve"> 28. </w:t>
      </w:r>
      <w:r w:rsidRPr="00F412C0" w:rsidR="00EF01D8">
        <w:t>apríla</w:t>
      </w:r>
      <w:r w:rsidRPr="00F412C0">
        <w:t xml:space="preserve"> 2026 </w:t>
      </w:r>
      <w:r w:rsidRPr="00F412C0" w:rsidR="006A1BAC">
        <w:t>o</w:t>
      </w:r>
      <w:r w:rsidRPr="00F412C0">
        <w:t> návrhu nariadenia Európskeho parlamentu a Rady, ktorým sa uplatňuje všeobecný systém colných preferencií a zrušuje nariadenie Európskeho parlamentu a Rady (EÚ) č. 978/2012</w:t>
      </w:r>
      <w:bookmarkEnd w:id="5"/>
      <w:r w:rsidRPr="00F412C0">
        <w:t xml:space="preserve"> </w:t>
      </w:r>
      <w:bookmarkStart w:id="6" w:name="References"/>
      <w:r w:rsidRPr="00F412C0">
        <w:t>(COM(2021)0579 – C9-0364/2021– 2021/0297(COD))</w:t>
      </w:r>
      <w:bookmarkEnd w:id="6"/>
    </w:p>
    <w:p w:rsidR="008534CE" w:rsidRPr="00F412C0" w:rsidP="008534CE" w14:paraId="43EEFA44" w14:textId="77777777">
      <w:pPr>
        <w:rPr>
          <w:b/>
        </w:rPr>
      </w:pPr>
      <w:r w:rsidRPr="00F412C0">
        <w:rPr>
          <w:b/>
        </w:rPr>
        <w:t>(Riadny legislatívny postup: prvé čítanie)</w:t>
      </w:r>
    </w:p>
    <w:p w:rsidR="008534CE" w:rsidRPr="00F412C0" w:rsidP="008534CE" w14:paraId="4203CF5B" w14:textId="77777777">
      <w:pPr>
        <w:spacing w:before="480" w:after="240"/>
      </w:pPr>
      <w:r w:rsidRPr="00F412C0">
        <w:rPr>
          <w:i/>
          <w:iCs/>
        </w:rPr>
        <w:t>Európsky parlament,</w:t>
      </w:r>
    </w:p>
    <w:p w:rsidR="008534CE" w:rsidRPr="00F412C0" w:rsidP="008534CE" w14:paraId="2736A8EE" w14:textId="71297293">
      <w:pPr>
        <w:spacing w:after="240"/>
        <w:ind w:left="567" w:hanging="567"/>
      </w:pPr>
      <w:r w:rsidRPr="00F412C0">
        <w:t>–</w:t>
      </w:r>
      <w:r w:rsidRPr="00F412C0">
        <w:tab/>
        <w:t xml:space="preserve">so zreteľom na návrh Komisie pre Európsky parlament a Radu </w:t>
      </w:r>
      <w:r w:rsidRPr="00F412C0" w:rsidR="006A1BAC">
        <w:t>(</w:t>
      </w:r>
      <w:r w:rsidRPr="00F412C0">
        <w:t>COM(2021)0579</w:t>
      </w:r>
      <w:r w:rsidRPr="00F412C0" w:rsidR="006A1BAC">
        <w:t>)</w:t>
      </w:r>
      <w:r w:rsidRPr="00F412C0">
        <w:t>,</w:t>
      </w:r>
    </w:p>
    <w:p w:rsidR="008534CE" w:rsidRPr="00F412C0" w:rsidP="008534CE" w14:paraId="76FB8840" w14:textId="5E1D7008">
      <w:pPr>
        <w:spacing w:after="240"/>
        <w:ind w:left="567" w:hanging="567"/>
      </w:pPr>
      <w:r w:rsidRPr="00F412C0">
        <w:t>–</w:t>
      </w:r>
      <w:r w:rsidRPr="00F412C0">
        <w:tab/>
        <w:t xml:space="preserve">so zreteľom na článok 294 ods. 2 a článok 207 ods. </w:t>
      </w:r>
      <w:r w:rsidRPr="00F412C0" w:rsidR="00F56747">
        <w:t>2</w:t>
      </w:r>
      <w:r w:rsidRPr="00F412C0">
        <w:t xml:space="preserve"> Zmluvy o fungovaní Európskej únie, v súlade s ktorými Komisia predložila návrh Parlamentu (C9-0364/2021),</w:t>
      </w:r>
    </w:p>
    <w:p w:rsidR="008534CE" w:rsidRPr="00F412C0" w:rsidP="008534CE" w14:paraId="2AA6FEA1" w14:textId="77777777">
      <w:pPr>
        <w:spacing w:after="240"/>
        <w:ind w:left="567" w:hanging="567"/>
      </w:pPr>
      <w:r w:rsidRPr="00F412C0">
        <w:rPr>
          <w:rFonts w:ascii="Symbol" w:hAnsi="Symbol"/>
        </w:rPr>
        <w:sym w:font="Symbol" w:char="F02D"/>
      </w:r>
      <w:r w:rsidRPr="00F412C0">
        <w:tab/>
        <w:t>so zreteľom na článok 294 ods. 3 Zmluvy o fungovaní Európskej únie,</w:t>
      </w:r>
    </w:p>
    <w:p w:rsidR="00F82D60" w:rsidRPr="00F412C0" w:rsidP="008534CE" w14:paraId="63006E2D" w14:textId="3273E9B9">
      <w:pPr>
        <w:spacing w:after="240"/>
        <w:ind w:left="567" w:hanging="567"/>
        <w:rPr>
          <w:szCs w:val="24"/>
        </w:rPr>
      </w:pPr>
      <w:r w:rsidRPr="00F412C0">
        <w:rPr>
          <w:rFonts w:ascii="Symbol" w:hAnsi="Symbol"/>
        </w:rPr>
        <w:sym w:font="Symbol" w:char="F02D"/>
      </w:r>
      <w:r w:rsidRPr="00F412C0">
        <w:tab/>
      </w:r>
      <w:r w:rsidRPr="00F412C0" w:rsidR="00F56747">
        <w:t>so zreteľom na predbežnú dohodu schválenú gestorským výborom podľa článku 75 ods. 4 rokovacieho poriadku, a na záväzok zástupcu Rady, vyjadrený v liste z 19. decembra 2025, schváliť pozíciu Európskeho parlamentu v súlade s článkom 294 ods. 4 Zmluvy o fungovaní Európskej únie,</w:t>
      </w:r>
    </w:p>
    <w:p w:rsidR="008534CE" w:rsidRPr="00F412C0" w:rsidP="008534CE" w14:paraId="6383383C" w14:textId="2A5FBBD9">
      <w:pPr>
        <w:spacing w:after="240"/>
        <w:ind w:left="567" w:hanging="567"/>
      </w:pPr>
      <w:r w:rsidRPr="00F412C0">
        <w:t>–</w:t>
      </w:r>
      <w:r w:rsidRPr="00F412C0">
        <w:tab/>
        <w:t xml:space="preserve">so zreteľom na článok </w:t>
      </w:r>
      <w:r w:rsidRPr="00F412C0" w:rsidR="00F56747">
        <w:t>60</w:t>
      </w:r>
      <w:r w:rsidRPr="00F412C0">
        <w:t xml:space="preserve"> rokovacieho poriadku,</w:t>
      </w:r>
    </w:p>
    <w:p w:rsidR="008534CE" w:rsidRPr="00F412C0" w:rsidP="008534CE" w14:paraId="3C113628" w14:textId="77777777">
      <w:pPr>
        <w:spacing w:after="240"/>
        <w:ind w:left="567" w:hanging="567"/>
        <w:rPr>
          <w:color w:val="000000"/>
        </w:rPr>
      </w:pPr>
      <w:r w:rsidRPr="00F412C0">
        <w:t>–</w:t>
      </w:r>
      <w:r w:rsidRPr="00F412C0">
        <w:tab/>
        <w:t>so zreteľom na stanoviská Výboru pre zahraničné veci a Výboru pre rozvoj,</w:t>
      </w:r>
    </w:p>
    <w:p w:rsidR="008534CE" w:rsidRPr="00F412C0" w:rsidP="008534CE" w14:paraId="7B5766A2" w14:textId="77777777">
      <w:pPr>
        <w:spacing w:after="240"/>
        <w:ind w:left="567" w:hanging="567"/>
      </w:pPr>
      <w:r w:rsidRPr="00F412C0">
        <w:t>–</w:t>
      </w:r>
      <w:r w:rsidRPr="00F412C0">
        <w:tab/>
        <w:t>so zreteľom na správu Výboru pre medzinárodný obchod (A9-0147/2022),</w:t>
      </w:r>
    </w:p>
    <w:p w:rsidR="008534CE" w:rsidRPr="00F412C0" w:rsidP="008534CE" w14:paraId="63094757" w14:textId="77777777">
      <w:pPr>
        <w:spacing w:after="240"/>
        <w:ind w:left="567" w:hanging="570"/>
      </w:pPr>
      <w:r w:rsidRPr="00F412C0">
        <w:t>1.</w:t>
      </w:r>
      <w:r w:rsidRPr="00F412C0">
        <w:tab/>
        <w:t>prijíma nasledujúcu pozíciu v prvom čítaní;</w:t>
      </w:r>
    </w:p>
    <w:p w:rsidR="008534CE" w:rsidRPr="00F412C0" w:rsidP="008534CE" w14:paraId="7602C36C" w14:textId="2B8CCB27">
      <w:pPr>
        <w:spacing w:after="240"/>
        <w:ind w:left="567" w:hanging="570"/>
      </w:pPr>
      <w:r w:rsidRPr="00F412C0">
        <w:t>2.</w:t>
      </w:r>
      <w:r w:rsidRPr="00F412C0">
        <w:tab/>
        <w:t>poveruje svoj</w:t>
      </w:r>
      <w:r w:rsidRPr="00F412C0" w:rsidR="006A1BAC">
        <w:t>u</w:t>
      </w:r>
      <w:r w:rsidRPr="00F412C0">
        <w:t xml:space="preserve"> predsed</w:t>
      </w:r>
      <w:r w:rsidRPr="00F412C0" w:rsidR="006A1BAC">
        <w:t>níčku</w:t>
      </w:r>
      <w:r w:rsidRPr="00F412C0">
        <w:t>, aby postúpil</w:t>
      </w:r>
      <w:r w:rsidRPr="00F412C0" w:rsidR="006A1BAC">
        <w:t>a</w:t>
      </w:r>
      <w:r w:rsidRPr="00F412C0">
        <w:t xml:space="preserve"> túto pozíciu Rade, Komisii a národným parlamentom.</w:t>
      </w:r>
    </w:p>
    <w:p w:rsidR="00061450" w:rsidRPr="00F412C0" w:rsidP="008534CE" w14:paraId="4B8244F0" w14:textId="77777777">
      <w:pPr>
        <w:spacing w:after="240"/>
        <w:ind w:left="567" w:hanging="570"/>
        <w:sectPr w:rsidSect="00BF3B6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F67ED" w:rsidRPr="00F412C0" w:rsidP="00CF67ED" w14:paraId="527C8D8C" w14:textId="1327DE2D">
      <w:pPr>
        <w:spacing w:after="240"/>
        <w:ind w:left="567" w:hanging="570"/>
        <w:rPr>
          <w:b/>
        </w:rPr>
      </w:pPr>
      <w:r w:rsidRPr="00F412C0">
        <w:rPr>
          <w:b/>
        </w:rPr>
        <w:t>P10_TC1-COD(2021)0297</w:t>
      </w:r>
    </w:p>
    <w:p w:rsidR="00CF67ED" w:rsidRPr="00B50050" w:rsidP="00CF67ED" w14:paraId="4D359060" w14:textId="77777777">
      <w:pPr>
        <w:spacing w:after="240"/>
        <w:ind w:hanging="3"/>
        <w:rPr>
          <w:b/>
        </w:rPr>
      </w:pPr>
      <w:r w:rsidRPr="00F412C0">
        <w:rPr>
          <w:b/>
        </w:rPr>
        <w:t xml:space="preserve">Pozícia Európskeho parlamentu prijatá v prvom čítaní 28. apríla 2026 na účely prijatia nariadenia Európskeho parlamentu a Rady (EÚ) 2026/..., </w:t>
      </w:r>
      <w:r w:rsidRPr="00B50050">
        <w:rPr>
          <w:b/>
        </w:rPr>
        <w:t xml:space="preserve">ktorým sa uplatňuje </w:t>
      </w:r>
      <w:bookmarkStart w:id="7" w:name="_Hlk224661822"/>
      <w:r w:rsidRPr="00B50050">
        <w:rPr>
          <w:b/>
        </w:rPr>
        <w:t xml:space="preserve">všeobecný systém colných preferencií </w:t>
      </w:r>
      <w:bookmarkEnd w:id="7"/>
      <w:r w:rsidRPr="00B50050">
        <w:rPr>
          <w:b/>
        </w:rPr>
        <w:t>a zrušuje nariadenie (EÚ) č. 978/2012</w:t>
      </w:r>
    </w:p>
    <w:p w:rsidR="00B50050" w:rsidP="00CF67ED" w14:paraId="63AF2706" w14:textId="77777777">
      <w:pPr>
        <w:spacing w:after="240"/>
        <w:ind w:hanging="3"/>
        <w:rPr>
          <w:b/>
        </w:rPr>
      </w:pPr>
    </w:p>
    <w:p w:rsidR="00B50050" w:rsidRPr="00731EF8" w:rsidP="00B50050" w14:paraId="5D793045" w14:textId="10C89087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B50050">
        <w:rPr>
          <w:i/>
          <w:iCs/>
        </w:rPr>
        <w:t>nariadeniu (EÚ) 2026/</w:t>
      </w:r>
      <w:r>
        <w:rPr>
          <w:i/>
          <w:iCs/>
        </w:rPr>
        <w:t>1395</w:t>
      </w:r>
      <w:r w:rsidRPr="00B50050">
        <w:rPr>
          <w:i/>
          <w:iCs/>
        </w:rPr>
        <w:t>.)</w:t>
      </w:r>
    </w:p>
    <w:p w:rsidR="00B50050" w:rsidP="00CF67ED" w14:paraId="28EAF8D3" w14:textId="77777777">
      <w:pPr>
        <w:spacing w:after="240"/>
        <w:ind w:hanging="3"/>
        <w:rPr>
          <w:b/>
        </w:rPr>
      </w:pPr>
    </w:p>
    <w:sectPr w:rsidSect="00B50050"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31813313">
    <w:abstractNumId w:val="0"/>
  </w:num>
  <w:num w:numId="2" w16cid:durableId="1007291776">
    <w:abstractNumId w:val="7"/>
  </w:num>
  <w:num w:numId="3" w16cid:durableId="16232690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B1"/>
    <w:rsid w:val="00002272"/>
    <w:rsid w:val="00061450"/>
    <w:rsid w:val="00064002"/>
    <w:rsid w:val="0006767C"/>
    <w:rsid w:val="000677B9"/>
    <w:rsid w:val="000831BA"/>
    <w:rsid w:val="000A42CC"/>
    <w:rsid w:val="000B70DB"/>
    <w:rsid w:val="000E7DD9"/>
    <w:rsid w:val="0010095E"/>
    <w:rsid w:val="00125B37"/>
    <w:rsid w:val="00187494"/>
    <w:rsid w:val="001F32AE"/>
    <w:rsid w:val="0020368F"/>
    <w:rsid w:val="002767FF"/>
    <w:rsid w:val="002A37A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92D"/>
    <w:rsid w:val="004C0004"/>
    <w:rsid w:val="004C5D52"/>
    <w:rsid w:val="0050519A"/>
    <w:rsid w:val="005072A1"/>
    <w:rsid w:val="00514517"/>
    <w:rsid w:val="00543496"/>
    <w:rsid w:val="00545827"/>
    <w:rsid w:val="005510B7"/>
    <w:rsid w:val="00560270"/>
    <w:rsid w:val="005C2568"/>
    <w:rsid w:val="005F1B17"/>
    <w:rsid w:val="006037C0"/>
    <w:rsid w:val="006631B6"/>
    <w:rsid w:val="00680577"/>
    <w:rsid w:val="006A1BAC"/>
    <w:rsid w:val="006F74FA"/>
    <w:rsid w:val="00731ADD"/>
    <w:rsid w:val="00731EF8"/>
    <w:rsid w:val="00734777"/>
    <w:rsid w:val="00747932"/>
    <w:rsid w:val="00751A4A"/>
    <w:rsid w:val="00756632"/>
    <w:rsid w:val="00762C74"/>
    <w:rsid w:val="00786EC0"/>
    <w:rsid w:val="007918AA"/>
    <w:rsid w:val="007D1690"/>
    <w:rsid w:val="007E22AD"/>
    <w:rsid w:val="00817416"/>
    <w:rsid w:val="00842779"/>
    <w:rsid w:val="008534CE"/>
    <w:rsid w:val="00865F67"/>
    <w:rsid w:val="00881A7B"/>
    <w:rsid w:val="008840E5"/>
    <w:rsid w:val="00887B3E"/>
    <w:rsid w:val="008C25C1"/>
    <w:rsid w:val="008C2AC6"/>
    <w:rsid w:val="00930C23"/>
    <w:rsid w:val="0093193B"/>
    <w:rsid w:val="009509D8"/>
    <w:rsid w:val="00950B64"/>
    <w:rsid w:val="00981893"/>
    <w:rsid w:val="009D020B"/>
    <w:rsid w:val="009D783C"/>
    <w:rsid w:val="009F0F9B"/>
    <w:rsid w:val="00A1687D"/>
    <w:rsid w:val="00A43E52"/>
    <w:rsid w:val="00A4678D"/>
    <w:rsid w:val="00A778C7"/>
    <w:rsid w:val="00A85FAA"/>
    <w:rsid w:val="00A93B38"/>
    <w:rsid w:val="00AB441E"/>
    <w:rsid w:val="00AB6293"/>
    <w:rsid w:val="00AE0928"/>
    <w:rsid w:val="00AF3B82"/>
    <w:rsid w:val="00B12E95"/>
    <w:rsid w:val="00B22876"/>
    <w:rsid w:val="00B50050"/>
    <w:rsid w:val="00B558F0"/>
    <w:rsid w:val="00B627B1"/>
    <w:rsid w:val="00BA2CFB"/>
    <w:rsid w:val="00BD48FE"/>
    <w:rsid w:val="00BD7BD8"/>
    <w:rsid w:val="00BE6ADC"/>
    <w:rsid w:val="00BF3B6E"/>
    <w:rsid w:val="00C05BFE"/>
    <w:rsid w:val="00C23CD4"/>
    <w:rsid w:val="00C61C0C"/>
    <w:rsid w:val="00C941CB"/>
    <w:rsid w:val="00CC2357"/>
    <w:rsid w:val="00CF071A"/>
    <w:rsid w:val="00CF67ED"/>
    <w:rsid w:val="00D058B8"/>
    <w:rsid w:val="00D56C11"/>
    <w:rsid w:val="00D834A0"/>
    <w:rsid w:val="00D872DF"/>
    <w:rsid w:val="00D91E21"/>
    <w:rsid w:val="00DA7FCD"/>
    <w:rsid w:val="00E365E1"/>
    <w:rsid w:val="00E50C62"/>
    <w:rsid w:val="00E820A4"/>
    <w:rsid w:val="00EB006A"/>
    <w:rsid w:val="00EB4772"/>
    <w:rsid w:val="00ED169E"/>
    <w:rsid w:val="00ED4235"/>
    <w:rsid w:val="00EF01D8"/>
    <w:rsid w:val="00F02191"/>
    <w:rsid w:val="00F04346"/>
    <w:rsid w:val="00F075DC"/>
    <w:rsid w:val="00F149E9"/>
    <w:rsid w:val="00F412C0"/>
    <w:rsid w:val="00F5134D"/>
    <w:rsid w:val="00F56747"/>
    <w:rsid w:val="00F64C60"/>
    <w:rsid w:val="00F74202"/>
    <w:rsid w:val="00F82D60"/>
    <w:rsid w:val="00F87713"/>
    <w:rsid w:val="00FB4360"/>
    <w:rsid w:val="00FD0C70"/>
  </w:rsids>
  <w:docVars>
    <w:docVar w:name="dvdocse" w:val="A9-0147/2022"/>
    <w:docVar w:name="dvlangue" w:val="SK"/>
    <w:docVar w:name="dvnumam" w:val="239"/>
    <w:docVar w:name="dvpe" w:val="703.100"/>
    <w:docVar w:name="dvrapporteur" w:val="Spravodajkyňa: "/>
    <w:docVar w:name="dvstar" w:val="***I"/>
    <w:docVar w:name="dvtitre" w:val="Legislatívne uznesenie Európskeho parlamentu z/zo xx. xxx 2026 k návrhu nariadenia Európskeho parlamentu a Rady, ktorým sa uplatňuje všeobecný systém colných preferencií a zrušuje nariadenie Európskeho parlamentu a Rady (EÚ) č. 978/2012(COM(2021)0579 – C9-0364/2021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38DE312"/>
  <w15:chartTrackingRefBased/>
  <w15:docId w15:val="{4E9998BE-0692-4DB7-9FB3-2ACC4627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534C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534C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534C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4C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4C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4CE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4CE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4CE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4CE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8534C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534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534C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534CE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8534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534CE"/>
    <w:rPr>
      <w:b/>
    </w:rPr>
  </w:style>
  <w:style w:type="character" w:customStyle="1" w:styleId="NormalBoldChar">
    <w:name w:val="NormalBold Char"/>
    <w:link w:val="NormalBold"/>
    <w:locked/>
    <w:rsid w:val="008534CE"/>
    <w:rPr>
      <w:b/>
      <w:sz w:val="24"/>
      <w:lang w:val="sk-SK"/>
    </w:rPr>
  </w:style>
  <w:style w:type="paragraph" w:customStyle="1" w:styleId="NormalBold12a">
    <w:name w:val="NormalBold12a"/>
    <w:basedOn w:val="Normal"/>
    <w:rsid w:val="008534CE"/>
    <w:pPr>
      <w:spacing w:after="240"/>
    </w:pPr>
    <w:rPr>
      <w:b/>
    </w:rPr>
  </w:style>
  <w:style w:type="paragraph" w:customStyle="1" w:styleId="AmJustText">
    <w:name w:val="AmJustText"/>
    <w:basedOn w:val="Normal"/>
    <w:rsid w:val="008534C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534C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534CE"/>
    <w:pPr>
      <w:spacing w:after="480"/>
      <w:ind w:left="1417"/>
    </w:pPr>
  </w:style>
  <w:style w:type="paragraph" w:customStyle="1" w:styleId="CoverNormal">
    <w:name w:val="CoverNormal"/>
    <w:basedOn w:val="Normal"/>
    <w:rsid w:val="008534CE"/>
    <w:pPr>
      <w:ind w:left="1418"/>
    </w:pPr>
  </w:style>
  <w:style w:type="paragraph" w:customStyle="1" w:styleId="AmCrossRef">
    <w:name w:val="AmCrossRef"/>
    <w:basedOn w:val="Normal"/>
    <w:rsid w:val="008534C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534C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534C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534C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534C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534C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534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4CE"/>
    <w:rPr>
      <w:sz w:val="24"/>
      <w:lang w:val="sk-SK"/>
    </w:rPr>
  </w:style>
  <w:style w:type="paragraph" w:customStyle="1" w:styleId="AmOrLang">
    <w:name w:val="AmOrLang"/>
    <w:basedOn w:val="Normal"/>
    <w:rsid w:val="008534C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534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534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534CE"/>
    <w:pPr>
      <w:spacing w:before="240"/>
    </w:pPr>
    <w:rPr>
      <w:b/>
    </w:rPr>
  </w:style>
  <w:style w:type="paragraph" w:customStyle="1" w:styleId="EPBody">
    <w:name w:val="EPBody"/>
    <w:basedOn w:val="Normal"/>
    <w:rsid w:val="008534C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534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534CE"/>
    <w:pPr>
      <w:spacing w:before="480" w:after="240"/>
    </w:pPr>
  </w:style>
  <w:style w:type="paragraph" w:customStyle="1" w:styleId="Lgendesigne">
    <w:name w:val="Légende signe"/>
    <w:basedOn w:val="Normal"/>
    <w:rsid w:val="008534C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534C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534CE"/>
    <w:rPr>
      <w:sz w:val="18"/>
    </w:rPr>
  </w:style>
  <w:style w:type="paragraph" w:styleId="ListParagraph">
    <w:name w:val="List Paragraph"/>
    <w:basedOn w:val="Normal"/>
    <w:uiPriority w:val="1"/>
    <w:qFormat/>
    <w:rsid w:val="008534CE"/>
    <w:pPr>
      <w:ind w:left="720"/>
      <w:contextualSpacing/>
    </w:pPr>
  </w:style>
  <w:style w:type="paragraph" w:customStyle="1" w:styleId="ManualConsidrant">
    <w:name w:val="Manual Considérant"/>
    <w:basedOn w:val="Normal"/>
    <w:rsid w:val="008534C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8534CE"/>
    <w:rPr>
      <w:b/>
      <w:bCs/>
      <w:i/>
      <w:iCs/>
      <w:spacing w:val="0"/>
    </w:rPr>
  </w:style>
  <w:style w:type="character" w:styleId="Hyperlink">
    <w:name w:val="Hyperlink"/>
    <w:unhideWhenUsed/>
    <w:rsid w:val="008534CE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8534CE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8534CE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853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534C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34CE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53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534CE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8534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34CE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hidden/>
    <w:uiPriority w:val="99"/>
    <w:semiHidden/>
    <w:rsid w:val="008534CE"/>
    <w:rPr>
      <w:sz w:val="24"/>
      <w:lang w:val="sk-SK"/>
    </w:rPr>
  </w:style>
  <w:style w:type="character" w:customStyle="1" w:styleId="Sup">
    <w:name w:val="Sup"/>
    <w:uiPriority w:val="1"/>
    <w:qFormat/>
    <w:rsid w:val="008534CE"/>
    <w:rPr>
      <w:vertAlign w:val="superscript"/>
    </w:rPr>
  </w:style>
  <w:style w:type="character" w:customStyle="1" w:styleId="Normal6Char">
    <w:name w:val="Normal6 Char"/>
    <w:link w:val="Normal6"/>
    <w:locked/>
    <w:rsid w:val="008534CE"/>
    <w:rPr>
      <w:sz w:val="24"/>
    </w:rPr>
  </w:style>
  <w:style w:type="paragraph" w:customStyle="1" w:styleId="Normal6">
    <w:name w:val="Normal6"/>
    <w:basedOn w:val="Normal"/>
    <w:link w:val="Normal6Char"/>
    <w:rsid w:val="008534CE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8534CE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8534C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8534C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8534C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8534C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8534C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8534CE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8534CE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8534CE"/>
    <w:pPr>
      <w:spacing w:after="240"/>
    </w:pPr>
  </w:style>
  <w:style w:type="paragraph" w:customStyle="1" w:styleId="PageHeadingNotTOC">
    <w:name w:val="PageHeadingNotTOC"/>
    <w:basedOn w:val="Normal"/>
    <w:rsid w:val="008534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534C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8534CE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8534CE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8534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8534CE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8534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534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534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534C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8534C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534CE"/>
    <w:rPr>
      <w:sz w:val="24"/>
      <w:lang w:val="sk-SK"/>
    </w:rPr>
  </w:style>
  <w:style w:type="character" w:customStyle="1" w:styleId="SupBoldItalic">
    <w:name w:val="SupBoldItalic"/>
    <w:uiPriority w:val="1"/>
    <w:qFormat/>
    <w:rsid w:val="008534CE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8534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4CE"/>
    <w:rPr>
      <w:sz w:val="24"/>
      <w:lang w:val="sk-SK"/>
    </w:rPr>
  </w:style>
  <w:style w:type="paragraph" w:customStyle="1" w:styleId="Olang">
    <w:name w:val="Olang"/>
    <w:rsid w:val="008534CE"/>
    <w:pPr>
      <w:jc w:val="right"/>
    </w:pPr>
    <w:rPr>
      <w:lang w:val="sk-SK"/>
    </w:rPr>
  </w:style>
  <w:style w:type="character" w:customStyle="1" w:styleId="bumpedfont15">
    <w:name w:val="bumpedfont15"/>
    <w:basedOn w:val="DefaultParagraphFont"/>
    <w:rsid w:val="008534CE"/>
  </w:style>
  <w:style w:type="paragraph" w:customStyle="1" w:styleId="AmDocTypeTab">
    <w:name w:val="AmDocTypeTab"/>
    <w:basedOn w:val="Normal"/>
    <w:rsid w:val="00CF67E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F67ED"/>
    <w:pPr>
      <w:spacing w:after="240"/>
      <w:jc w:val="center"/>
    </w:pPr>
  </w:style>
  <w:style w:type="paragraph" w:customStyle="1" w:styleId="AmDateTab">
    <w:name w:val="AmDateTab"/>
    <w:basedOn w:val="Normal"/>
    <w:rsid w:val="00CF67E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F67E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F67ED"/>
  </w:style>
  <w:style w:type="paragraph" w:customStyle="1" w:styleId="Title1">
    <w:name w:val="Title1"/>
    <w:basedOn w:val="Normal"/>
    <w:next w:val="Normal"/>
    <w:uiPriority w:val="10"/>
    <w:qFormat/>
    <w:rsid w:val="00CF67ED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67ED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CF67ED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67ED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CF67ED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CF67ED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CF67ED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CF67ED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67ED"/>
    <w:rPr>
      <w:rFonts w:eastAsia="Aptos"/>
      <w:i/>
      <w:kern w:val="2"/>
      <w:sz w:val="24"/>
      <w:szCs w:val="24"/>
      <w:lang w:val="sk-SK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ED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ED"/>
    <w:rPr>
      <w:rFonts w:eastAsia="Aptos"/>
      <w:b/>
      <w:i/>
      <w:kern w:val="2"/>
      <w:sz w:val="24"/>
      <w:szCs w:val="22"/>
      <w:lang w:val="sk-SK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CF67ED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CF67E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F67E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F67ED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CF67ED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CF67ED"/>
  </w:style>
  <w:style w:type="paragraph" w:styleId="TOC4">
    <w:name w:val="toc 4"/>
    <w:basedOn w:val="Normal"/>
    <w:next w:val="Normal"/>
    <w:uiPriority w:val="39"/>
    <w:unhideWhenUsed/>
    <w:rsid w:val="00CF67E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F67ED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F67ED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F67ED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F67ED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F67ED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CF67ED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CF67ED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CF67ED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F67ED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F67ED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CF67E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F67E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F67ED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CF67ED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CF67ED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CF67ED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CF67ED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CF67ED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CF67ED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CF67ED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CF67ED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CF67ED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CF67ED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CF67ED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CF67ED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CF67ED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CF67ED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CF67ED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CF67ED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CF67ED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CF67ED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CF67ED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CF67ED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CF67ED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CF67ED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CF67ED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CF67E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CF67E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CF67E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CF67E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CF67E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CF67E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CF67E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CF67E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CF67E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CF67E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CF67E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CF67E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CF67ED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CF67ED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CF67ED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CF67ED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CF67ED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CF67ED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CF67ED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CF67ED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CF67ED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F67ED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F67ED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F67ED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F67ED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F67ED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F67ED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F67ED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CF67ED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F67E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F67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F67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F67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F67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F67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F67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F67ED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F67ED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F67ED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F67ED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CF67ED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CF67ED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CF67ED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CF67ED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CF67ED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CF67ED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CF67ED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CF67ED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CF67ED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CF67ED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CF67ED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CF67ED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CF67ED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CF67ED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CF67ED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CF67ED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CF67ED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CF67ED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F67ED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F67ED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F67ED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CF67ED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F67ED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F67ED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F67ED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F67ED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F67ED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F67ED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CF67ED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F67ED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F67ED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F67ED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F67ED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F67E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F67E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F67ED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CF67ED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CF67ED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CF67ED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CF67ED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CF67ED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CF67ED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F67ED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CF67ED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F67ED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F67ED"/>
    <w:pPr>
      <w:spacing w:before="240"/>
    </w:pPr>
  </w:style>
  <w:style w:type="paragraph" w:customStyle="1" w:styleId="Accordtitre">
    <w:name w:val="Accord titre"/>
    <w:basedOn w:val="Normal"/>
    <w:rsid w:val="00CF67ED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CF67E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CF67E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F67ED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F67ED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F67ED"/>
    <w:pPr>
      <w:spacing w:after="240"/>
    </w:pPr>
  </w:style>
  <w:style w:type="paragraph" w:customStyle="1" w:styleId="Annexetitre">
    <w:name w:val="Annexe titre"/>
    <w:basedOn w:val="Normal"/>
    <w:next w:val="Normal"/>
    <w:rsid w:val="00CF67ED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F67ED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F67ED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F67ED"/>
    <w:rPr>
      <w:rFonts w:eastAsia="Aptos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CF67E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F67ED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CF67ED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CF67ED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CF67ED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F67ED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F67ED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F67ED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F67ED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F67ED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F67ED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F67ED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F67ED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F67ED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F67ED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F67ED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F67ED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F67ED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F67ED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F67ED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F67ED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F67ED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F67ED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F67ED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F67ED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F67ED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F67ED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CF67ED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CF67E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F67ED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CF67ED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F67ED"/>
    <w:rPr>
      <w:sz w:val="24"/>
      <w:szCs w:val="24"/>
      <w:lang w:val="sk-SK" w:eastAsia="en-US"/>
    </w:rPr>
  </w:style>
  <w:style w:type="paragraph" w:customStyle="1" w:styleId="TableParagraph">
    <w:name w:val="Table Paragraph"/>
    <w:basedOn w:val="Normal"/>
    <w:uiPriority w:val="1"/>
    <w:qFormat/>
    <w:rsid w:val="00CF67ED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F67ED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CF67E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7E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F67ED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F67ED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CF67ED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ED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CF67E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character" w:styleId="Emphasis">
    <w:name w:val="Emphasis"/>
    <w:basedOn w:val="DefaultParagraphFont"/>
    <w:qFormat/>
    <w:rsid w:val="00CF67E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F67ED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CF67E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1674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2026-08-26T14:38:00Z</dcterms:created>
  <dcterms:modified xsi:type="dcterms:W3CDTF">2026-08-26T14:38:00Z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