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7225A337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F7571C" w:rsidP="0010095E" w14:paraId="14B282A8" w14:textId="30674CC2">
            <w:pPr>
              <w:pStyle w:val="EPName"/>
            </w:pPr>
            <w:r w:rsidRPr="00F7571C">
              <w:t>Evropský parlament</w:t>
            </w:r>
          </w:p>
          <w:p w:rsidR="00751A4A" w:rsidRPr="00F7571C" w:rsidP="005F1B17" w14:paraId="1F4B2620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F7571C">
              <w:t>2024</w:t>
            </w:r>
            <w:r w:rsidRPr="00F7571C" w:rsidR="00817416">
              <w:t>-202</w:t>
            </w:r>
            <w:r w:rsidRPr="00F7571C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F7571C" w:rsidP="0010095E" w14:paraId="21025939" w14:textId="77777777">
            <w:pPr>
              <w:pStyle w:val="EPLogo"/>
            </w:pPr>
            <w:r w:rsidRPr="00F7571C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F7571C" w:rsidP="004C5D52" w14:paraId="28F36812" w14:textId="77777777">
      <w:pPr>
        <w:pStyle w:val="LineTop"/>
      </w:pPr>
    </w:p>
    <w:p w:rsidR="00680577" w:rsidRPr="00F7571C" w:rsidP="00680577" w14:paraId="1CEC5461" w14:textId="25F4F241">
      <w:pPr>
        <w:pStyle w:val="EPBodyTA1"/>
      </w:pPr>
      <w:r w:rsidRPr="00F7571C">
        <w:t>PŘIJATÉ TEXTY</w:t>
      </w:r>
    </w:p>
    <w:p w:rsidR="00D058B8" w:rsidRPr="00F7571C" w:rsidP="00D058B8" w14:paraId="316DDEE9" w14:textId="77777777">
      <w:pPr>
        <w:pStyle w:val="LineBottom"/>
      </w:pPr>
    </w:p>
    <w:p w:rsidR="00080BC3" w:rsidRPr="00F7571C" w:rsidP="00080BC3" w14:paraId="47AD2C0D" w14:textId="22AD8211">
      <w:pPr>
        <w:pStyle w:val="ATHeading1"/>
      </w:pPr>
      <w:bookmarkStart w:id="0" w:name="TANumber"/>
      <w:r w:rsidRPr="00F7571C">
        <w:t>P10_TA(2026)0</w:t>
      </w:r>
      <w:r w:rsidR="006A5EF3">
        <w:t>116</w:t>
      </w:r>
      <w:bookmarkEnd w:id="0"/>
    </w:p>
    <w:p w:rsidR="00080BC3" w:rsidRPr="00F7571C" w:rsidP="00080BC3" w14:paraId="1B356F96" w14:textId="77777777">
      <w:pPr>
        <w:pStyle w:val="ATHeading2"/>
      </w:pPr>
      <w:bookmarkStart w:id="1" w:name="title"/>
      <w:r w:rsidRPr="00F7571C">
        <w:t>Evropský fond pro přizpůsobení se globalizaci: pracovníci bezprostředně ohrožení propouštěním</w:t>
      </w:r>
      <w:bookmarkEnd w:id="1"/>
    </w:p>
    <w:p w:rsidR="00080BC3" w:rsidRPr="00F7571C" w:rsidP="00080BC3" w14:paraId="5E23FB4B" w14:textId="77777777">
      <w:pPr>
        <w:rPr>
          <w:i/>
          <w:vanish/>
        </w:rPr>
      </w:pPr>
      <w:r>
        <w:rPr>
          <w:i/>
        </w:rPr>
        <w:fldChar w:fldCharType="begin"/>
      </w:r>
      <w:r w:rsidRPr="00F7571C">
        <w:rPr>
          <w:i/>
        </w:rPr>
        <w:instrText xml:space="preserve"> TC"(</w:instrText>
      </w:r>
      <w:bookmarkStart w:id="2" w:name="DocNumber"/>
      <w:r w:rsidRPr="00F7571C">
        <w:rPr>
          <w:i/>
        </w:rPr>
        <w:instrText>A10-0251/2025</w:instrText>
      </w:r>
      <w:bookmarkEnd w:id="2"/>
      <w:r w:rsidRPr="00F7571C">
        <w:rPr>
          <w:i/>
        </w:rPr>
        <w:instrText xml:space="preserve"> - Zpravodajka: Liesbet Sommen)"\l3 \n&gt; \* MERGEFORMAT </w:instrText>
      </w:r>
      <w:r>
        <w:rPr>
          <w:i/>
        </w:rPr>
        <w:fldChar w:fldCharType="end"/>
      </w:r>
    </w:p>
    <w:p w:rsidR="00080BC3" w:rsidRPr="00F7571C" w:rsidP="00080BC3" w14:paraId="6D6F2BB3" w14:textId="77777777">
      <w:pPr>
        <w:rPr>
          <w:vanish/>
        </w:rPr>
      </w:pPr>
      <w:bookmarkStart w:id="3" w:name="Commission"/>
      <w:r w:rsidRPr="00F7571C">
        <w:rPr>
          <w:vanish/>
        </w:rPr>
        <w:t>Výbor pro zaměstnanost a sociální věci</w:t>
      </w:r>
      <w:bookmarkEnd w:id="3"/>
    </w:p>
    <w:p w:rsidR="00080BC3" w:rsidRPr="00F7571C" w:rsidP="00080BC3" w14:paraId="21BABEC0" w14:textId="77777777">
      <w:pPr>
        <w:rPr>
          <w:vanish/>
        </w:rPr>
      </w:pPr>
      <w:bookmarkStart w:id="4" w:name="PE"/>
      <w:r w:rsidRPr="00F7571C">
        <w:rPr>
          <w:vanish/>
        </w:rPr>
        <w:t>PE774.423</w:t>
      </w:r>
      <w:bookmarkEnd w:id="4"/>
    </w:p>
    <w:p w:rsidR="00080BC3" w:rsidRPr="00F7571C" w:rsidP="00080BC3" w14:paraId="5DF48F98" w14:textId="77777777">
      <w:pPr>
        <w:pStyle w:val="ATHeading3"/>
      </w:pPr>
      <w:bookmarkStart w:id="5" w:name="Sujet"/>
      <w:r w:rsidRPr="00F7571C">
        <w:t>Legislativní usnesení Evropského parlamentu ze dne 28. dubna 2026 o návrhu nařízení Evropského parlamentu a Rady, kterým se mění nařízení (EU) 2021/691, pokud jde o pracovníky bezprostředně ohrožené propouštěním v podnicích procházejících restrukturalizací</w:t>
      </w:r>
      <w:bookmarkEnd w:id="5"/>
      <w:r w:rsidRPr="00F7571C">
        <w:t xml:space="preserve"> </w:t>
      </w:r>
      <w:bookmarkStart w:id="6" w:name="References"/>
      <w:r w:rsidRPr="00F7571C">
        <w:t>(</w:t>
      </w:r>
      <w:r w:rsidRPr="00F7571C">
        <w:t>COM(</w:t>
      </w:r>
      <w:r w:rsidRPr="00F7571C">
        <w:t>2025)0140 – C10-0060/2025 – 2025/0073(COD))</w:t>
      </w:r>
      <w:bookmarkEnd w:id="6"/>
    </w:p>
    <w:p w:rsidR="00B52D64" w:rsidRPr="00F7571C" w:rsidP="00B52D64" w14:paraId="63F91F92" w14:textId="77777777">
      <w:pPr>
        <w:pStyle w:val="NormalBold"/>
      </w:pPr>
      <w:r w:rsidRPr="00F7571C">
        <w:t>(Řádný legislativní postup: první čtení)</w:t>
      </w:r>
    </w:p>
    <w:p w:rsidR="00B52D64" w:rsidRPr="00F7571C" w:rsidP="00B52D64" w14:paraId="673D0704" w14:textId="77777777">
      <w:pPr>
        <w:pStyle w:val="EPComma"/>
      </w:pPr>
      <w:r w:rsidRPr="00F7571C">
        <w:rPr>
          <w:i/>
        </w:rPr>
        <w:t>Evropský parlament</w:t>
      </w:r>
      <w:r w:rsidRPr="00F7571C">
        <w:t>,</w:t>
      </w:r>
    </w:p>
    <w:p w:rsidR="00B52D64" w:rsidRPr="00F7571C" w:rsidP="00B52D64" w14:paraId="2B4322A2" w14:textId="77777777">
      <w:pPr>
        <w:pStyle w:val="NormalHanging12a"/>
      </w:pPr>
      <w:r w:rsidRPr="00F7571C">
        <w:t>–</w:t>
      </w:r>
      <w:r w:rsidRPr="00F7571C">
        <w:tab/>
        <w:t>s ohledem na návrh Komise předložený Evropskému parlamentu a Radě (</w:t>
      </w:r>
      <w:r w:rsidRPr="00F7571C">
        <w:t>COM(</w:t>
      </w:r>
      <w:r w:rsidRPr="00F7571C">
        <w:t>2025)0140),</w:t>
      </w:r>
    </w:p>
    <w:p w:rsidR="00B52D64" w:rsidRPr="00F7571C" w:rsidP="00B52D64" w14:paraId="49947632" w14:textId="4EE1C2F6">
      <w:pPr>
        <w:pStyle w:val="NormalHanging12a"/>
      </w:pPr>
      <w:r w:rsidRPr="00F7571C">
        <w:t>–</w:t>
      </w:r>
      <w:r w:rsidRPr="00F7571C">
        <w:tab/>
        <w:t>s ohledem na čl. 294 odst. 2 a článek 175 Smlouvy o fungování Evropské unie, v </w:t>
      </w:r>
      <w:r w:rsidRPr="00F7571C">
        <w:t>souladu</w:t>
      </w:r>
      <w:r w:rsidRPr="00F7571C">
        <w:t xml:space="preserve"> s</w:t>
      </w:r>
      <w:r w:rsidR="00F7571C">
        <w:t>e</w:t>
      </w:r>
      <w:r w:rsidRPr="00F7571C">
        <w:t> </w:t>
      </w:r>
      <w:r w:rsidR="00F7571C">
        <w:t>kterými</w:t>
      </w:r>
      <w:r w:rsidRPr="00F7571C">
        <w:t xml:space="preserve"> Komise předložila svůj návrh Parlamentu (C10-0060/2025),</w:t>
      </w:r>
    </w:p>
    <w:p w:rsidR="00B52D64" w:rsidRPr="00F7571C" w:rsidP="00B52D64" w14:paraId="5F8731BB" w14:textId="77777777">
      <w:pPr>
        <w:pStyle w:val="NormalHanging12a"/>
      </w:pPr>
      <w:r w:rsidRPr="00F7571C">
        <w:t>–</w:t>
      </w:r>
      <w:r w:rsidRPr="00F7571C">
        <w:tab/>
        <w:t>s ohledem na čl. 294 odst. 3 Smlouvy o fungování Evropské unie,</w:t>
      </w:r>
    </w:p>
    <w:p w:rsidR="00B52D64" w:rsidRPr="00F7571C" w:rsidP="00B52D64" w14:paraId="608BBD68" w14:textId="77777777">
      <w:pPr>
        <w:pStyle w:val="NormalHanging12a"/>
      </w:pPr>
      <w:r w:rsidRPr="00F7571C">
        <w:t>–</w:t>
      </w:r>
      <w:r w:rsidRPr="00F7571C">
        <w:tab/>
        <w:t>s ohledem na rozpočtové posouzení poskytnuté Rozpočtovým výborem,</w:t>
      </w:r>
    </w:p>
    <w:p w:rsidR="00CE79C3" w:rsidRPr="00F7571C" w:rsidP="00CE79C3" w14:paraId="2E9F291C" w14:textId="77777777">
      <w:pPr>
        <w:pStyle w:val="NormalHanging12a"/>
      </w:pPr>
      <w:r w:rsidRPr="00F7571C">
        <w:t>–</w:t>
      </w:r>
      <w:r w:rsidRPr="00F7571C">
        <w:tab/>
        <w:t>s ohledem na stanovisko Evropského hospodářského a sociálního výboru ze dne 19. června 2025</w:t>
      </w:r>
      <w:r>
        <w:rPr>
          <w:rStyle w:val="FootnoteReference"/>
        </w:rPr>
        <w:footnoteReference w:id="2"/>
      </w:r>
      <w:r w:rsidRPr="00F7571C">
        <w:t>,</w:t>
      </w:r>
    </w:p>
    <w:p w:rsidR="00CE79C3" w:rsidRPr="00F7571C" w:rsidP="00CE79C3" w14:paraId="2AF8E001" w14:textId="77777777">
      <w:pPr>
        <w:pStyle w:val="NormalHanging12a"/>
      </w:pPr>
      <w:r w:rsidRPr="00F7571C">
        <w:t>–</w:t>
      </w:r>
      <w:r w:rsidRPr="00F7571C">
        <w:tab/>
        <w:t>s ohledem na stanovisko Výboru regionů ze dne 3. července 2025</w:t>
      </w:r>
      <w:r>
        <w:rPr>
          <w:rStyle w:val="FootnoteReference"/>
        </w:rPr>
        <w:footnoteReference w:id="3"/>
      </w:r>
      <w:r w:rsidRPr="00F7571C">
        <w:t>,</w:t>
      </w:r>
    </w:p>
    <w:p w:rsidR="00C7222D" w:rsidRPr="00F7571C" w:rsidP="00CE79C3" w14:paraId="200FED5D" w14:textId="237102D3">
      <w:pPr>
        <w:pStyle w:val="NormalHanging12a"/>
      </w:pPr>
      <w:r w:rsidRPr="00F7571C">
        <w:t>–</w:t>
      </w:r>
      <w:r w:rsidRPr="00F7571C">
        <w:tab/>
      </w:r>
      <w:r w:rsidRPr="00020407">
        <w:t xml:space="preserve">s ohledem na předběžnou dohodu přijatou příslušným výborem podle čl. 75 odst. 4 jednacího řádu a s ohledem na to, že se zástupce Rady dopisem ze dne </w:t>
      </w:r>
      <w:r>
        <w:t>11</w:t>
      </w:r>
      <w:r w:rsidRPr="00020407">
        <w:t xml:space="preserve">. </w:t>
      </w:r>
      <w:r>
        <w:t>března</w:t>
      </w:r>
      <w:r w:rsidRPr="00020407">
        <w:t xml:space="preserve"> 202</w:t>
      </w:r>
      <w:r>
        <w:t>6</w:t>
      </w:r>
      <w:r w:rsidRPr="00020407">
        <w:t xml:space="preserve"> zavázal schválit postoj Parlamentu v souladu s čl. 294 odst. 4 Smlouvy o fungování Evropské unie</w:t>
      </w:r>
      <w:r>
        <w:t>,</w:t>
      </w:r>
    </w:p>
    <w:p w:rsidR="00020407" w:rsidRPr="00F7571C" w:rsidP="00C7222D" w14:paraId="568003B0" w14:textId="4F613F52">
      <w:pPr>
        <w:pStyle w:val="NormalHanging12a"/>
      </w:pPr>
      <w:r w:rsidRPr="00F7571C">
        <w:t>–</w:t>
      </w:r>
      <w:r w:rsidRPr="00F7571C">
        <w:tab/>
        <w:t>s ohledem na články 60 a 58 jednacího řádu,</w:t>
      </w:r>
    </w:p>
    <w:p w:rsidR="00B52D64" w:rsidRPr="00F7571C" w:rsidP="00B52D64" w14:paraId="3D14BF6E" w14:textId="77777777">
      <w:pPr>
        <w:pStyle w:val="NormalHanging12a"/>
      </w:pPr>
      <w:r w:rsidRPr="00F7571C">
        <w:t>–</w:t>
      </w:r>
      <w:r w:rsidRPr="00F7571C">
        <w:tab/>
        <w:t>s ohledem na zprávu Výboru pro zaměstnanost a sociální věci (A10-0251/2025),</w:t>
      </w:r>
    </w:p>
    <w:p w:rsidR="00B52D64" w:rsidRPr="00F7571C" w:rsidP="00B52D64" w14:paraId="6000BA26" w14:textId="77777777">
      <w:pPr>
        <w:pStyle w:val="NormalHanging12a"/>
      </w:pPr>
      <w:r w:rsidRPr="00F7571C">
        <w:t>1.</w:t>
      </w:r>
      <w:r w:rsidRPr="00F7571C">
        <w:tab/>
        <w:t>přijímá níže uvedený postoj v prvním čtení;</w:t>
      </w:r>
    </w:p>
    <w:p w:rsidR="00B52D64" w:rsidRPr="00F7571C" w:rsidP="00B52D64" w14:paraId="16F21FD2" w14:textId="77777777">
      <w:pPr>
        <w:pStyle w:val="NormalHanging12a"/>
      </w:pPr>
      <w:r w:rsidRPr="00F7571C">
        <w:t>2.</w:t>
      </w:r>
      <w:r w:rsidRPr="00F7571C">
        <w:tab/>
        <w:t>vyzývá Komisi, aby věc znovu postoupila Parlamentu, jestliže svůj návrh nahradí jiným textem, podstatně jej změní nebo má v úmyslu jej podstatně změnit;</w:t>
      </w:r>
    </w:p>
    <w:p w:rsidR="007B502D" w:rsidP="00B52D64" w14:paraId="4E94331E" w14:textId="77777777">
      <w:pPr>
        <w:pStyle w:val="NormalHanging12a"/>
        <w:sectPr w:rsidSect="00D92A1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F7571C">
        <w:t>3.</w:t>
      </w:r>
      <w:r w:rsidRPr="00F7571C">
        <w:tab/>
        <w:t>pověřuje svou předsedkyni, aby předala postoj Parlamentu Radě</w:t>
      </w:r>
      <w:r w:rsidR="00F7571C">
        <w:t xml:space="preserve"> a</w:t>
      </w:r>
      <w:r w:rsidRPr="00F7571C">
        <w:t xml:space="preserve"> Komisi, jakož i vnitrostátním parlamentům.</w:t>
      </w:r>
    </w:p>
    <w:p w:rsidR="007B502D" w:rsidRPr="004D72EA" w:rsidP="007B502D" w14:paraId="1B9165F2" w14:textId="77777777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 w:rsidRPr="004D72EA">
        <w:rPr>
          <w:rFonts w:eastAsia="Calibri"/>
          <w:b/>
          <w:bCs/>
          <w:color w:val="000000"/>
          <w:szCs w:val="24"/>
        </w:rPr>
        <w:t>P10_TC1-</w:t>
      </w:r>
      <w:r w:rsidRPr="004D72EA">
        <w:rPr>
          <w:rFonts w:eastAsia="Calibri"/>
          <w:b/>
          <w:bCs/>
          <w:color w:val="000000"/>
          <w:szCs w:val="24"/>
        </w:rPr>
        <w:t>COD(</w:t>
      </w:r>
      <w:r w:rsidRPr="004D72EA">
        <w:rPr>
          <w:rFonts w:eastAsia="Calibri"/>
          <w:b/>
          <w:bCs/>
          <w:color w:val="000000"/>
          <w:szCs w:val="24"/>
        </w:rPr>
        <w:t>2025)0073</w:t>
      </w:r>
    </w:p>
    <w:p w:rsidR="007B502D" w:rsidP="007B502D" w14:paraId="24A52711" w14:textId="11A052CD">
      <w:pPr>
        <w:pStyle w:val="NormalHanging12a"/>
        <w:ind w:left="0" w:firstLine="0"/>
        <w:rPr>
          <w:rFonts w:eastAsia="Calibri"/>
          <w:b/>
          <w:szCs w:val="22"/>
          <w:lang w:eastAsia="cs-CZ" w:bidi="cs-CZ"/>
        </w:rPr>
      </w:pPr>
      <w:r w:rsidRPr="007B502D">
        <w:rPr>
          <w:rFonts w:eastAsia="Calibri"/>
          <w:b/>
          <w:bCs/>
          <w:szCs w:val="24"/>
        </w:rPr>
        <w:t xml:space="preserve">Postoj Evropského parlamentu přijatý v prvním čtení dne </w:t>
      </w:r>
      <w:r>
        <w:rPr>
          <w:rFonts w:eastAsia="Calibri"/>
          <w:b/>
          <w:bCs/>
          <w:szCs w:val="24"/>
        </w:rPr>
        <w:t>2</w:t>
      </w:r>
      <w:r w:rsidRPr="007B502D">
        <w:rPr>
          <w:rFonts w:eastAsia="Calibri"/>
          <w:b/>
          <w:bCs/>
          <w:szCs w:val="24"/>
        </w:rPr>
        <w:t xml:space="preserve">8. </w:t>
      </w:r>
      <w:r>
        <w:rPr>
          <w:rFonts w:eastAsia="Calibri"/>
          <w:b/>
          <w:bCs/>
          <w:szCs w:val="24"/>
        </w:rPr>
        <w:t>dubna</w:t>
      </w:r>
      <w:r w:rsidRPr="007B502D">
        <w:rPr>
          <w:rFonts w:eastAsia="Calibri"/>
          <w:b/>
          <w:bCs/>
          <w:szCs w:val="24"/>
        </w:rPr>
        <w:t xml:space="preserve"> 202</w:t>
      </w:r>
      <w:r>
        <w:rPr>
          <w:rFonts w:eastAsia="Calibri"/>
          <w:b/>
          <w:bCs/>
          <w:szCs w:val="24"/>
        </w:rPr>
        <w:t>6</w:t>
      </w:r>
      <w:r w:rsidRPr="007B502D">
        <w:rPr>
          <w:rFonts w:eastAsia="Calibri"/>
          <w:b/>
          <w:bCs/>
          <w:szCs w:val="24"/>
        </w:rPr>
        <w:t xml:space="preserve"> k přijetí </w:t>
      </w:r>
      <w:r w:rsidRPr="007B502D">
        <w:rPr>
          <w:rFonts w:eastAsia="Calibri"/>
          <w:b/>
          <w:szCs w:val="22"/>
          <w:lang w:eastAsia="cs-CZ" w:bidi="cs-CZ"/>
        </w:rPr>
        <w:t>nařízení Evropského parlamentu a Rady (EU) 2026/...,</w:t>
      </w:r>
      <w:r>
        <w:rPr>
          <w:rFonts w:eastAsia="Calibri"/>
          <w:b/>
          <w:szCs w:val="22"/>
          <w:lang w:eastAsia="cs-CZ" w:bidi="cs-CZ"/>
        </w:rPr>
        <w:t xml:space="preserve"> </w:t>
      </w:r>
      <w:r w:rsidRPr="007B502D">
        <w:rPr>
          <w:rFonts w:eastAsia="Calibri"/>
          <w:b/>
          <w:szCs w:val="22"/>
          <w:lang w:eastAsia="cs-CZ" w:bidi="cs-CZ"/>
        </w:rPr>
        <w:t>kterým se mění nařízení (EU) 2021/691, pokud jde o pracovníky bezprostředně ohrožené propouštěním v podnicích procházejících restrukturalizací</w:t>
      </w:r>
    </w:p>
    <w:p w:rsidR="00837CA3" w:rsidRPr="007B502D" w:rsidP="00837CA3" w14:paraId="1D96C3F7" w14:textId="2FD43450">
      <w:pPr>
        <w:spacing w:before="360"/>
        <w:rPr>
          <w:rFonts w:eastAsia="Calibri"/>
          <w:bCs/>
          <w:szCs w:val="22"/>
          <w:lang w:eastAsia="cs-CZ" w:bidi="cs-CZ"/>
        </w:rPr>
      </w:pPr>
      <w:r w:rsidRPr="008977C0">
        <w:rPr>
          <w:i/>
        </w:rPr>
        <w:t xml:space="preserve">(Vzhledem k tomu, že bylo dosaženo dohody mezi Parlamentem a Radou, postoj Parlamentu odpovídá konečnému znění legislativního aktu, </w:t>
      </w:r>
      <w:r>
        <w:rPr>
          <w:i/>
        </w:rPr>
        <w:t>nařízení</w:t>
      </w:r>
      <w:r w:rsidRPr="008977C0">
        <w:rPr>
          <w:i/>
        </w:rPr>
        <w:t xml:space="preserve"> (EU) </w:t>
      </w:r>
      <w:r>
        <w:rPr>
          <w:i/>
        </w:rPr>
        <w:t>2026</w:t>
      </w:r>
      <w:r w:rsidRPr="008977C0">
        <w:rPr>
          <w:i/>
        </w:rPr>
        <w:t>/</w:t>
      </w:r>
      <w:r>
        <w:rPr>
          <w:i/>
        </w:rPr>
        <w:t>1139</w:t>
      </w:r>
      <w:r>
        <w:rPr>
          <w:i/>
        </w:rPr>
        <w:t>.)</w:t>
      </w:r>
    </w:p>
    <w:sectPr w:rsidSect="00D92A1D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92A1D" w14:paraId="49D62A88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92A1D" w14:paraId="4F140294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92A1D" w14:paraId="5963A6FB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80BC3" w:rsidRPr="00D92A1D" w14:paraId="506E4EF1" w14:textId="77777777">
      <w:r w:rsidRPr="00D92A1D">
        <w:separator/>
      </w:r>
    </w:p>
  </w:footnote>
  <w:footnote w:type="continuationSeparator" w:id="1">
    <w:p w:rsidR="00080BC3" w:rsidRPr="00D92A1D" w14:paraId="08DAA5D7" w14:textId="77777777">
      <w:r w:rsidRPr="00D92A1D">
        <w:continuationSeparator/>
      </w:r>
    </w:p>
  </w:footnote>
  <w:footnote w:id="2">
    <w:p w:rsidR="00CE79C3" w:rsidRPr="00D92A1D" w:rsidP="00CE79C3" w14:paraId="28B64F1F" w14:textId="202A9087">
      <w:pPr>
        <w:pStyle w:val="FootnoteText"/>
        <w:ind w:left="567" w:hanging="567"/>
        <w:rPr>
          <w:sz w:val="24"/>
          <w:lang w:val="cs-CZ"/>
        </w:rPr>
      </w:pPr>
      <w:r w:rsidRPr="00D92A1D">
        <w:rPr>
          <w:rStyle w:val="FootnoteReference"/>
          <w:sz w:val="24"/>
          <w:lang w:val="cs-CZ"/>
        </w:rPr>
        <w:footnoteRef/>
      </w:r>
      <w:r w:rsidRPr="00D92A1D">
        <w:rPr>
          <w:sz w:val="24"/>
          <w:lang w:val="cs-CZ"/>
        </w:rPr>
        <w:t xml:space="preserve"> </w:t>
      </w:r>
      <w:r w:rsidRPr="00D92A1D">
        <w:rPr>
          <w:sz w:val="24"/>
          <w:lang w:val="cs-CZ"/>
        </w:rPr>
        <w:tab/>
      </w:r>
      <w:r w:rsidRPr="00D92A1D">
        <w:rPr>
          <w:sz w:val="24"/>
          <w:lang w:val="cs-CZ"/>
        </w:rPr>
        <w:t>Úř</w:t>
      </w:r>
      <w:r w:rsidRPr="00D92A1D">
        <w:rPr>
          <w:sz w:val="24"/>
          <w:lang w:val="cs-CZ"/>
        </w:rPr>
        <w:t xml:space="preserve">. </w:t>
      </w:r>
      <w:r w:rsidRPr="00D92A1D">
        <w:rPr>
          <w:sz w:val="24"/>
          <w:lang w:val="cs-CZ"/>
        </w:rPr>
        <w:t>věst</w:t>
      </w:r>
      <w:r w:rsidRPr="00D92A1D">
        <w:rPr>
          <w:sz w:val="24"/>
          <w:lang w:val="cs-CZ"/>
        </w:rPr>
        <w:t xml:space="preserve">. </w:t>
      </w:r>
      <w:r>
        <w:rPr>
          <w:sz w:val="24"/>
          <w:lang w:val="cs-CZ"/>
        </w:rPr>
        <w:t xml:space="preserve">C, </w:t>
      </w:r>
      <w:r w:rsidRPr="00D92A1D">
        <w:rPr>
          <w:sz w:val="24"/>
          <w:lang w:val="cs-CZ"/>
        </w:rPr>
        <w:t>C/2025/4217, 20.8.2025, ELI: </w:t>
      </w:r>
      <w:hyperlink r:id="rId1" w:tgtFrame="_blank" w:tooltip="Umožňuje přístup k tomuto dokumentu prostřednictvím jeho identifikátoru URI používaného v rámci ELI." w:history="1">
        <w:r w:rsidRPr="00D92A1D">
          <w:rPr>
            <w:rStyle w:val="Hyperlink"/>
            <w:sz w:val="24"/>
            <w:lang w:val="cs-CZ"/>
          </w:rPr>
          <w:t>http://data.europa.eu/eli/C/2025/4217/oj</w:t>
        </w:r>
      </w:hyperlink>
      <w:r w:rsidRPr="00D92A1D">
        <w:rPr>
          <w:sz w:val="24"/>
          <w:lang w:val="cs-CZ"/>
        </w:rPr>
        <w:t>.</w:t>
      </w:r>
    </w:p>
  </w:footnote>
  <w:footnote w:id="3">
    <w:p w:rsidR="00CE79C3" w:rsidRPr="00D92A1D" w:rsidP="00CE79C3" w14:paraId="75061A0C" w14:textId="002825BB">
      <w:pPr>
        <w:pStyle w:val="FootnoteText"/>
        <w:ind w:left="567" w:hanging="567"/>
        <w:rPr>
          <w:sz w:val="24"/>
          <w:lang w:val="cs-CZ"/>
        </w:rPr>
      </w:pPr>
      <w:r w:rsidRPr="00D92A1D">
        <w:rPr>
          <w:rStyle w:val="FootnoteReference"/>
          <w:sz w:val="24"/>
          <w:lang w:val="cs-CZ"/>
        </w:rPr>
        <w:footnoteRef/>
      </w:r>
      <w:r w:rsidRPr="00D92A1D">
        <w:rPr>
          <w:sz w:val="24"/>
          <w:lang w:val="cs-CZ"/>
        </w:rPr>
        <w:t xml:space="preserve"> </w:t>
      </w:r>
      <w:r w:rsidRPr="00D92A1D">
        <w:rPr>
          <w:sz w:val="24"/>
          <w:lang w:val="cs-CZ"/>
        </w:rPr>
        <w:tab/>
      </w:r>
      <w:r w:rsidRPr="00D92A1D">
        <w:rPr>
          <w:sz w:val="24"/>
          <w:lang w:val="cs-CZ"/>
        </w:rPr>
        <w:t>Úř</w:t>
      </w:r>
      <w:r w:rsidRPr="00D92A1D">
        <w:rPr>
          <w:sz w:val="24"/>
          <w:lang w:val="cs-CZ"/>
        </w:rPr>
        <w:t xml:space="preserve">. </w:t>
      </w:r>
      <w:r w:rsidRPr="00D92A1D">
        <w:rPr>
          <w:sz w:val="24"/>
          <w:lang w:val="cs-CZ"/>
        </w:rPr>
        <w:t>věst</w:t>
      </w:r>
      <w:r w:rsidRPr="00D92A1D">
        <w:rPr>
          <w:sz w:val="24"/>
          <w:lang w:val="cs-CZ"/>
        </w:rPr>
        <w:t xml:space="preserve">. </w:t>
      </w:r>
      <w:r>
        <w:rPr>
          <w:sz w:val="24"/>
          <w:lang w:val="cs-CZ"/>
        </w:rPr>
        <w:t xml:space="preserve">C, </w:t>
      </w:r>
      <w:r w:rsidRPr="00D92A1D">
        <w:rPr>
          <w:sz w:val="24"/>
          <w:lang w:val="cs-CZ"/>
        </w:rPr>
        <w:t>C/2025/4419, 29.8.2025, ELI: </w:t>
      </w:r>
      <w:hyperlink r:id="rId2" w:tgtFrame="_blank" w:tooltip="Umožňuje přístup k tomuto dokumentu prostřednictvím jeho identifikátoru URI používaného v rámci ELI." w:history="1">
        <w:r w:rsidRPr="00D92A1D">
          <w:rPr>
            <w:rStyle w:val="Hyperlink"/>
            <w:sz w:val="24"/>
            <w:lang w:val="cs-CZ"/>
          </w:rPr>
          <w:t>http://data.europa.eu/eli/C/2025/4419/oj</w:t>
        </w:r>
      </w:hyperlink>
      <w:r w:rsidRPr="00D92A1D">
        <w:rPr>
          <w:sz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92A1D" w14:paraId="500876EB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92A1D" w14:paraId="3C38AEC8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92A1D" w14:paraId="04B821BE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12296A8E"/>
    <w:multiLevelType w:val="hybridMultilevel"/>
    <w:tmpl w:val="F4BED3CA"/>
    <w:lvl w:ilvl="0">
      <w:start w:val="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3">
    <w:nsid w:val="47555E8B"/>
    <w:multiLevelType w:val="hybridMultilevel"/>
    <w:tmpl w:val="BE9CFE72"/>
    <w:lvl w:ilvl="0">
      <w:start w:val="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3643297">
    <w:abstractNumId w:val="9"/>
  </w:num>
  <w:num w:numId="2" w16cid:durableId="297882367">
    <w:abstractNumId w:val="9"/>
  </w:num>
  <w:num w:numId="3" w16cid:durableId="688992068">
    <w:abstractNumId w:val="7"/>
  </w:num>
  <w:num w:numId="4" w16cid:durableId="633830215">
    <w:abstractNumId w:val="7"/>
  </w:num>
  <w:num w:numId="5" w16cid:durableId="1350597246">
    <w:abstractNumId w:val="6"/>
  </w:num>
  <w:num w:numId="6" w16cid:durableId="1165169599">
    <w:abstractNumId w:val="6"/>
  </w:num>
  <w:num w:numId="7" w16cid:durableId="1338462841">
    <w:abstractNumId w:val="5"/>
  </w:num>
  <w:num w:numId="8" w16cid:durableId="953639283">
    <w:abstractNumId w:val="5"/>
  </w:num>
  <w:num w:numId="9" w16cid:durableId="1767918509">
    <w:abstractNumId w:val="4"/>
  </w:num>
  <w:num w:numId="10" w16cid:durableId="461924466">
    <w:abstractNumId w:val="4"/>
  </w:num>
  <w:num w:numId="11" w16cid:durableId="920142348">
    <w:abstractNumId w:val="8"/>
  </w:num>
  <w:num w:numId="12" w16cid:durableId="1472864137">
    <w:abstractNumId w:val="8"/>
  </w:num>
  <w:num w:numId="13" w16cid:durableId="602764001">
    <w:abstractNumId w:val="3"/>
  </w:num>
  <w:num w:numId="14" w16cid:durableId="1191801694">
    <w:abstractNumId w:val="3"/>
  </w:num>
  <w:num w:numId="15" w16cid:durableId="1151826306">
    <w:abstractNumId w:val="2"/>
  </w:num>
  <w:num w:numId="16" w16cid:durableId="1081488369">
    <w:abstractNumId w:val="2"/>
  </w:num>
  <w:num w:numId="17" w16cid:durableId="77333631">
    <w:abstractNumId w:val="1"/>
  </w:num>
  <w:num w:numId="18" w16cid:durableId="783186715">
    <w:abstractNumId w:val="1"/>
  </w:num>
  <w:num w:numId="19" w16cid:durableId="951011830">
    <w:abstractNumId w:val="0"/>
  </w:num>
  <w:num w:numId="20" w16cid:durableId="281114852">
    <w:abstractNumId w:val="0"/>
  </w:num>
  <w:num w:numId="21" w16cid:durableId="786655226">
    <w:abstractNumId w:val="9"/>
  </w:num>
  <w:num w:numId="22" w16cid:durableId="692655150">
    <w:abstractNumId w:val="7"/>
  </w:num>
  <w:num w:numId="23" w16cid:durableId="756830405">
    <w:abstractNumId w:val="6"/>
  </w:num>
  <w:num w:numId="24" w16cid:durableId="1016417998">
    <w:abstractNumId w:val="5"/>
  </w:num>
  <w:num w:numId="25" w16cid:durableId="357122300">
    <w:abstractNumId w:val="4"/>
  </w:num>
  <w:num w:numId="26" w16cid:durableId="420610948">
    <w:abstractNumId w:val="8"/>
  </w:num>
  <w:num w:numId="27" w16cid:durableId="2076199032">
    <w:abstractNumId w:val="3"/>
  </w:num>
  <w:num w:numId="28" w16cid:durableId="1179925319">
    <w:abstractNumId w:val="2"/>
  </w:num>
  <w:num w:numId="29" w16cid:durableId="825588628">
    <w:abstractNumId w:val="1"/>
  </w:num>
  <w:num w:numId="30" w16cid:durableId="1484736166">
    <w:abstractNumId w:val="0"/>
  </w:num>
  <w:num w:numId="31" w16cid:durableId="130445996">
    <w:abstractNumId w:val="9"/>
  </w:num>
  <w:num w:numId="32" w16cid:durableId="26638337">
    <w:abstractNumId w:val="7"/>
  </w:num>
  <w:num w:numId="33" w16cid:durableId="962004569">
    <w:abstractNumId w:val="6"/>
  </w:num>
  <w:num w:numId="34" w16cid:durableId="359014377">
    <w:abstractNumId w:val="5"/>
  </w:num>
  <w:num w:numId="35" w16cid:durableId="2036073018">
    <w:abstractNumId w:val="4"/>
  </w:num>
  <w:num w:numId="36" w16cid:durableId="1797943741">
    <w:abstractNumId w:val="8"/>
  </w:num>
  <w:num w:numId="37" w16cid:durableId="1297642607">
    <w:abstractNumId w:val="3"/>
  </w:num>
  <w:num w:numId="38" w16cid:durableId="1861964696">
    <w:abstractNumId w:val="2"/>
  </w:num>
  <w:num w:numId="39" w16cid:durableId="100146655">
    <w:abstractNumId w:val="1"/>
  </w:num>
  <w:num w:numId="40" w16cid:durableId="951940449">
    <w:abstractNumId w:val="0"/>
  </w:num>
  <w:num w:numId="41" w16cid:durableId="548960079">
    <w:abstractNumId w:val="10"/>
  </w:num>
  <w:num w:numId="42" w16cid:durableId="745961706">
    <w:abstractNumId w:val="10"/>
  </w:num>
  <w:num w:numId="43" w16cid:durableId="2050647713">
    <w:abstractNumId w:val="10"/>
  </w:num>
  <w:num w:numId="44" w16cid:durableId="1098326430">
    <w:abstractNumId w:val="12"/>
  </w:num>
  <w:num w:numId="45" w16cid:durableId="1055592454">
    <w:abstractNumId w:val="11"/>
  </w:num>
  <w:num w:numId="46" w16cid:durableId="102081759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BC3"/>
    <w:rsid w:val="00002272"/>
    <w:rsid w:val="00020407"/>
    <w:rsid w:val="00064002"/>
    <w:rsid w:val="000677B9"/>
    <w:rsid w:val="000773C7"/>
    <w:rsid w:val="00080BC3"/>
    <w:rsid w:val="000831BA"/>
    <w:rsid w:val="000A42CC"/>
    <w:rsid w:val="000E7DD9"/>
    <w:rsid w:val="0010095E"/>
    <w:rsid w:val="001130E7"/>
    <w:rsid w:val="00125B37"/>
    <w:rsid w:val="00187494"/>
    <w:rsid w:val="001F32AE"/>
    <w:rsid w:val="00251EC2"/>
    <w:rsid w:val="002767FF"/>
    <w:rsid w:val="002A6C4D"/>
    <w:rsid w:val="002B18FE"/>
    <w:rsid w:val="002B5493"/>
    <w:rsid w:val="002E6D4C"/>
    <w:rsid w:val="00343214"/>
    <w:rsid w:val="00361C00"/>
    <w:rsid w:val="00395FA1"/>
    <w:rsid w:val="003A16B3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4D72EA"/>
    <w:rsid w:val="004E35A2"/>
    <w:rsid w:val="0050519A"/>
    <w:rsid w:val="005072A1"/>
    <w:rsid w:val="00514517"/>
    <w:rsid w:val="00545827"/>
    <w:rsid w:val="00560270"/>
    <w:rsid w:val="005C2568"/>
    <w:rsid w:val="005F1B17"/>
    <w:rsid w:val="006037C0"/>
    <w:rsid w:val="006136E0"/>
    <w:rsid w:val="006631B6"/>
    <w:rsid w:val="00680577"/>
    <w:rsid w:val="006A4373"/>
    <w:rsid w:val="006A5EF3"/>
    <w:rsid w:val="006B0B0B"/>
    <w:rsid w:val="006F74FA"/>
    <w:rsid w:val="00731ADD"/>
    <w:rsid w:val="00734777"/>
    <w:rsid w:val="00747932"/>
    <w:rsid w:val="00751A4A"/>
    <w:rsid w:val="00756632"/>
    <w:rsid w:val="00762C74"/>
    <w:rsid w:val="00786EC0"/>
    <w:rsid w:val="007B502D"/>
    <w:rsid w:val="007D1690"/>
    <w:rsid w:val="007E22AD"/>
    <w:rsid w:val="00817416"/>
    <w:rsid w:val="00827816"/>
    <w:rsid w:val="00837CA3"/>
    <w:rsid w:val="00842779"/>
    <w:rsid w:val="00865F67"/>
    <w:rsid w:val="00881A7B"/>
    <w:rsid w:val="008840E5"/>
    <w:rsid w:val="00887B3E"/>
    <w:rsid w:val="008977C0"/>
    <w:rsid w:val="008A345C"/>
    <w:rsid w:val="008C2AC6"/>
    <w:rsid w:val="00921218"/>
    <w:rsid w:val="00930C23"/>
    <w:rsid w:val="0093193B"/>
    <w:rsid w:val="009509D8"/>
    <w:rsid w:val="00950B64"/>
    <w:rsid w:val="00981893"/>
    <w:rsid w:val="00A1687D"/>
    <w:rsid w:val="00A43E52"/>
    <w:rsid w:val="00A4678D"/>
    <w:rsid w:val="00A52618"/>
    <w:rsid w:val="00A778C7"/>
    <w:rsid w:val="00AB441E"/>
    <w:rsid w:val="00AB6293"/>
    <w:rsid w:val="00AE0928"/>
    <w:rsid w:val="00AF3B82"/>
    <w:rsid w:val="00B12E95"/>
    <w:rsid w:val="00B22876"/>
    <w:rsid w:val="00B431F6"/>
    <w:rsid w:val="00B52D64"/>
    <w:rsid w:val="00B53D1A"/>
    <w:rsid w:val="00B558F0"/>
    <w:rsid w:val="00BD48FE"/>
    <w:rsid w:val="00BD7BD8"/>
    <w:rsid w:val="00BE6ADC"/>
    <w:rsid w:val="00C05BFE"/>
    <w:rsid w:val="00C23CD4"/>
    <w:rsid w:val="00C61C0C"/>
    <w:rsid w:val="00C7222D"/>
    <w:rsid w:val="00C941CB"/>
    <w:rsid w:val="00CC2357"/>
    <w:rsid w:val="00CC5FEB"/>
    <w:rsid w:val="00CE79C3"/>
    <w:rsid w:val="00CF071A"/>
    <w:rsid w:val="00D058B8"/>
    <w:rsid w:val="00D56C11"/>
    <w:rsid w:val="00D834A0"/>
    <w:rsid w:val="00D872DF"/>
    <w:rsid w:val="00D91E21"/>
    <w:rsid w:val="00D92A1D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53DC9"/>
    <w:rsid w:val="00F74202"/>
    <w:rsid w:val="00F7571C"/>
    <w:rsid w:val="00F87713"/>
    <w:rsid w:val="00FB4360"/>
    <w:rsid w:val="00FD0C70"/>
  </w:rsids>
  <w:docVars>
    <w:docVar w:name="dvdocse" w:val="A10-0251/2025"/>
    <w:docVar w:name="dvlangue" w:val="CS"/>
    <w:docVar w:name="dvnumam" w:val="0"/>
    <w:docVar w:name="dvpe" w:val="774.423"/>
    <w:docVar w:name="dvrapporteur" w:val="Zpravodajka: "/>
    <w:docVar w:name="dvstar" w:val="***I"/>
    <w:docVar w:name="dvtitre" w:val="Legislativní usnesení Evropského parlamentu ze dne 28. dubna 2026 o návrhu nařízení Evropského parlamentu a Rady, kterým se mění nařízení (EU) 2021/691, pokud jde o pracovníky bezprostředně ohrožené propouštěním v podnicích procházejících restrukturalizací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FA79395"/>
  <w15:chartTrackingRefBased/>
  <w15:docId w15:val="{B9570D9B-99DE-465C-9E8D-F6C5A9ED0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B52D64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B52D64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semiHidden/>
    <w:rsid w:val="00B52D64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semiHidden/>
    <w:rsid w:val="00B52D64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semiHidden/>
    <w:rsid w:val="00B52D64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semiHidden/>
    <w:rsid w:val="00B52D64"/>
    <w:rPr>
      <w:i/>
      <w:sz w:val="22"/>
      <w:lang w:val="cs-CZ"/>
    </w:rPr>
  </w:style>
  <w:style w:type="character" w:customStyle="1" w:styleId="Heading7Char">
    <w:name w:val="Heading 7 Char"/>
    <w:basedOn w:val="DefaultParagraphFont"/>
    <w:link w:val="Heading7"/>
    <w:semiHidden/>
    <w:rsid w:val="00B52D64"/>
    <w:rPr>
      <w:rFonts w:ascii="Arial" w:hAnsi="Arial"/>
      <w:sz w:val="24"/>
      <w:lang w:val="cs-CZ"/>
    </w:rPr>
  </w:style>
  <w:style w:type="character" w:customStyle="1" w:styleId="Heading8Char">
    <w:name w:val="Heading 8 Char"/>
    <w:basedOn w:val="DefaultParagraphFont"/>
    <w:link w:val="Heading8"/>
    <w:semiHidden/>
    <w:rsid w:val="00B52D64"/>
    <w:rPr>
      <w:rFonts w:ascii="Arial" w:hAnsi="Arial"/>
      <w:i/>
      <w:sz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B52D64"/>
    <w:rPr>
      <w:rFonts w:ascii="Arial" w:hAnsi="Arial"/>
      <w:b/>
      <w:i/>
      <w:sz w:val="18"/>
      <w:lang w:val="cs-CZ"/>
    </w:rPr>
  </w:style>
  <w:style w:type="paragraph" w:styleId="TOCHeading">
    <w:name w:val="TOC Heading"/>
    <w:basedOn w:val="Normal"/>
    <w:next w:val="Normal"/>
    <w:unhideWhenUsed/>
    <w:qFormat/>
    <w:rsid w:val="00B52D64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B52D64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B52D64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B52D64"/>
    <w:pPr>
      <w:spacing w:after="120"/>
    </w:pPr>
  </w:style>
  <w:style w:type="paragraph" w:customStyle="1" w:styleId="PageHeading">
    <w:name w:val="PageHeading"/>
    <w:basedOn w:val="Normal"/>
    <w:rsid w:val="00B52D64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B52D64"/>
    <w:rPr>
      <w:b/>
    </w:rPr>
  </w:style>
  <w:style w:type="paragraph" w:customStyle="1" w:styleId="NormalBold12a">
    <w:name w:val="NormalBold12a"/>
    <w:basedOn w:val="Normal"/>
    <w:rsid w:val="00B52D64"/>
    <w:pPr>
      <w:spacing w:after="240"/>
    </w:pPr>
    <w:rPr>
      <w:b/>
    </w:rPr>
  </w:style>
  <w:style w:type="paragraph" w:customStyle="1" w:styleId="AmJustText">
    <w:name w:val="AmJustText"/>
    <w:basedOn w:val="Normal"/>
    <w:rsid w:val="00B52D64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B52D64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B52D64"/>
    <w:pPr>
      <w:spacing w:after="480"/>
      <w:ind w:left="1417"/>
    </w:pPr>
  </w:style>
  <w:style w:type="paragraph" w:customStyle="1" w:styleId="CoverNormal">
    <w:name w:val="CoverNormal"/>
    <w:basedOn w:val="Normal"/>
    <w:rsid w:val="00B52D64"/>
    <w:pPr>
      <w:ind w:left="1418"/>
    </w:pPr>
  </w:style>
  <w:style w:type="paragraph" w:customStyle="1" w:styleId="AmCrossRef">
    <w:name w:val="AmCrossRef"/>
    <w:basedOn w:val="Normal"/>
    <w:rsid w:val="00B52D64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B52D64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B52D64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B52D64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B52D64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B52D64"/>
    <w:pPr>
      <w:spacing w:before="240" w:after="1200"/>
    </w:pPr>
  </w:style>
  <w:style w:type="paragraph" w:styleId="Header">
    <w:name w:val="header"/>
    <w:basedOn w:val="Normal"/>
    <w:link w:val="HeaderChar"/>
    <w:rsid w:val="00B52D6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52D64"/>
    <w:rPr>
      <w:sz w:val="24"/>
      <w:lang w:val="cs-CZ"/>
    </w:rPr>
  </w:style>
  <w:style w:type="paragraph" w:customStyle="1" w:styleId="AmOrLang">
    <w:name w:val="AmOrLang"/>
    <w:basedOn w:val="Normal"/>
    <w:rsid w:val="00B52D64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B52D64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52D6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52D64"/>
    <w:pPr>
      <w:spacing w:before="240"/>
    </w:pPr>
    <w:rPr>
      <w:b/>
    </w:rPr>
  </w:style>
  <w:style w:type="paragraph" w:customStyle="1" w:styleId="EPBody">
    <w:name w:val="EPBody"/>
    <w:basedOn w:val="Normal"/>
    <w:rsid w:val="00B52D64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B52D64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52D64"/>
    <w:pPr>
      <w:spacing w:before="480" w:after="240"/>
    </w:pPr>
  </w:style>
  <w:style w:type="paragraph" w:customStyle="1" w:styleId="Lgendesigne">
    <w:name w:val="Légende signe"/>
    <w:basedOn w:val="Normal"/>
    <w:rsid w:val="00B52D64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B52D64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B52D64"/>
    <w:rPr>
      <w:sz w:val="18"/>
    </w:rPr>
  </w:style>
  <w:style w:type="character" w:customStyle="1" w:styleId="Normal6Char">
    <w:name w:val="Normal6 Char"/>
    <w:basedOn w:val="DefaultParagraphFont"/>
    <w:link w:val="Normal6"/>
    <w:locked/>
    <w:rsid w:val="00B52D64"/>
    <w:rPr>
      <w:sz w:val="24"/>
      <w:lang w:val="cs-CZ"/>
    </w:rPr>
  </w:style>
  <w:style w:type="paragraph" w:customStyle="1" w:styleId="Normal6">
    <w:name w:val="Normal6"/>
    <w:basedOn w:val="Normal"/>
    <w:link w:val="Normal6Char"/>
    <w:rsid w:val="00B52D64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B52D64"/>
    <w:rPr>
      <w:b/>
      <w:sz w:val="24"/>
      <w:lang w:val="cs-CZ"/>
    </w:rPr>
  </w:style>
  <w:style w:type="paragraph" w:customStyle="1" w:styleId="ColumnHeading">
    <w:name w:val="ColumnHeading"/>
    <w:basedOn w:val="Normal"/>
    <w:rsid w:val="00B52D64"/>
    <w:pPr>
      <w:spacing w:after="240"/>
      <w:jc w:val="center"/>
    </w:pPr>
    <w:rPr>
      <w:i/>
    </w:rPr>
  </w:style>
  <w:style w:type="paragraph" w:customStyle="1" w:styleId="AMNumberTabs0">
    <w:name w:val="AMNumberTabs"/>
    <w:basedOn w:val="Normal"/>
    <w:rsid w:val="00B52D64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Olang">
    <w:name w:val="Olang"/>
    <w:rsid w:val="00B52D64"/>
    <w:pPr>
      <w:jc w:val="right"/>
    </w:pPr>
    <w:rPr>
      <w:lang w:val="cs-CZ"/>
    </w:rPr>
  </w:style>
  <w:style w:type="paragraph" w:styleId="Footer">
    <w:name w:val="footer"/>
    <w:basedOn w:val="Normal"/>
    <w:link w:val="FooterChar"/>
    <w:rsid w:val="00B52D64"/>
    <w:pPr>
      <w:tabs>
        <w:tab w:val="center" w:pos="4513"/>
        <w:tab w:val="right" w:pos="9026"/>
      </w:tabs>
    </w:pPr>
    <w:rPr>
      <w:lang w:val="en-GB"/>
    </w:rPr>
  </w:style>
  <w:style w:type="character" w:customStyle="1" w:styleId="FooterChar">
    <w:name w:val="Footer Char"/>
    <w:basedOn w:val="DefaultParagraphFont"/>
    <w:link w:val="Footer"/>
    <w:rsid w:val="00B52D64"/>
    <w:rPr>
      <w:sz w:val="24"/>
    </w:rPr>
  </w:style>
  <w:style w:type="paragraph" w:customStyle="1" w:styleId="Normal24a">
    <w:name w:val="Normal24a"/>
    <w:basedOn w:val="Normal"/>
    <w:rsid w:val="00B52D64"/>
    <w:pPr>
      <w:spacing w:after="480"/>
    </w:pPr>
  </w:style>
  <w:style w:type="paragraph" w:customStyle="1" w:styleId="NormalBoldCenter">
    <w:name w:val="NormalBoldCenter"/>
    <w:basedOn w:val="Normal"/>
    <w:rsid w:val="00B52D64"/>
    <w:pPr>
      <w:jc w:val="center"/>
    </w:pPr>
    <w:rPr>
      <w:b/>
    </w:rPr>
  </w:style>
  <w:style w:type="paragraph" w:customStyle="1" w:styleId="Footprint12b">
    <w:name w:val="Footprint12b"/>
    <w:basedOn w:val="Normal"/>
    <w:rsid w:val="00B52D64"/>
    <w:pPr>
      <w:spacing w:before="240"/>
    </w:pPr>
    <w:rPr>
      <w:szCs w:val="24"/>
    </w:rPr>
  </w:style>
  <w:style w:type="paragraph" w:customStyle="1" w:styleId="NormalSingle">
    <w:name w:val="NormalSingle"/>
    <w:basedOn w:val="Normal"/>
    <w:qFormat/>
    <w:rsid w:val="00B52D64"/>
    <w:rPr>
      <w:szCs w:val="24"/>
    </w:rPr>
  </w:style>
  <w:style w:type="character" w:styleId="Hyperlink">
    <w:name w:val="Hyperlink"/>
    <w:basedOn w:val="DefaultParagraphFont"/>
    <w:rsid w:val="00B52D64"/>
    <w:rPr>
      <w:color w:val="0563C1" w:themeColor="hyperlink"/>
      <w:u w:val="single"/>
    </w:rPr>
  </w:style>
  <w:style w:type="character" w:customStyle="1" w:styleId="erplproduct-name">
    <w:name w:val="erpl_product-name"/>
    <w:basedOn w:val="DefaultParagraphFont"/>
    <w:rsid w:val="00B52D64"/>
  </w:style>
  <w:style w:type="paragraph" w:styleId="BalloonText">
    <w:name w:val="Balloon Text"/>
    <w:basedOn w:val="Normal"/>
    <w:link w:val="BalloonTextChar"/>
    <w:unhideWhenUsed/>
    <w:rsid w:val="00B52D6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52D64"/>
    <w:rPr>
      <w:rFonts w:ascii="Segoe UI" w:hAnsi="Segoe UI" w:cs="Segoe UI"/>
      <w:sz w:val="18"/>
      <w:szCs w:val="18"/>
      <w:lang w:val="cs-CZ"/>
    </w:rPr>
  </w:style>
  <w:style w:type="character" w:styleId="CommentReference">
    <w:name w:val="annotation reference"/>
    <w:basedOn w:val="DefaultParagraphFont"/>
    <w:rsid w:val="00B52D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52D64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B52D64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B52D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52D64"/>
    <w:rPr>
      <w:b/>
      <w:bCs/>
      <w:lang w:val="cs-CZ"/>
    </w:rPr>
  </w:style>
  <w:style w:type="paragraph" w:styleId="Revision">
    <w:name w:val="Revision"/>
    <w:hidden/>
    <w:uiPriority w:val="99"/>
    <w:semiHidden/>
    <w:rsid w:val="00B52D64"/>
    <w:rPr>
      <w:sz w:val="24"/>
      <w:lang w:val="cs-CZ"/>
    </w:rPr>
  </w:style>
  <w:style w:type="character" w:styleId="UnresolvedMention">
    <w:name w:val="Unresolved Mention"/>
    <w:basedOn w:val="DefaultParagraphFont"/>
    <w:uiPriority w:val="99"/>
    <w:semiHidden/>
    <w:unhideWhenUsed/>
    <w:rsid w:val="00B52D64"/>
    <w:rPr>
      <w:color w:val="605E5C"/>
      <w:shd w:val="clear" w:color="auto" w:fill="E1DFDD"/>
    </w:rPr>
  </w:style>
  <w:style w:type="character" w:customStyle="1" w:styleId="NormalBold12bChar">
    <w:name w:val="NormalBold12b Char"/>
    <w:basedOn w:val="DefaultParagraphFont"/>
    <w:link w:val="NormalBold12b"/>
    <w:rsid w:val="00B52D64"/>
    <w:rPr>
      <w:b/>
      <w:sz w:val="24"/>
      <w:lang w:val="cs-CZ"/>
    </w:rPr>
  </w:style>
  <w:style w:type="paragraph" w:customStyle="1" w:styleId="Normal12a">
    <w:name w:val="Normal12a"/>
    <w:basedOn w:val="Normal"/>
    <w:rsid w:val="00B52D64"/>
    <w:pPr>
      <w:spacing w:after="240"/>
    </w:pPr>
    <w:rPr>
      <w:lang w:val="en-GB"/>
    </w:rPr>
  </w:style>
  <w:style w:type="paragraph" w:customStyle="1" w:styleId="RollCallVotes">
    <w:name w:val="RollCallVotes"/>
    <w:basedOn w:val="Normal"/>
    <w:rsid w:val="00B52D64"/>
    <w:pPr>
      <w:spacing w:before="120" w:after="120"/>
      <w:jc w:val="center"/>
    </w:pPr>
    <w:rPr>
      <w:b/>
      <w:bCs/>
      <w:snapToGrid w:val="0"/>
      <w:sz w:val="16"/>
      <w:lang w:val="en-GB" w:eastAsia="en-US"/>
    </w:rPr>
  </w:style>
  <w:style w:type="paragraph" w:customStyle="1" w:styleId="RollCallTabs">
    <w:name w:val="RollCallTabs"/>
    <w:basedOn w:val="Normal"/>
    <w:qFormat/>
    <w:rsid w:val="00B52D64"/>
    <w:pPr>
      <w:tabs>
        <w:tab w:val="center" w:pos="284"/>
        <w:tab w:val="left" w:pos="426"/>
      </w:tabs>
    </w:pPr>
    <w:rPr>
      <w:snapToGrid w:val="0"/>
      <w:lang w:val="en-GB" w:eastAsia="en-US"/>
    </w:rPr>
  </w:style>
  <w:style w:type="paragraph" w:customStyle="1" w:styleId="RollCallSymbols14pt">
    <w:name w:val="RollCallSymbols14pt"/>
    <w:basedOn w:val="Normal"/>
    <w:rsid w:val="00B52D64"/>
    <w:pPr>
      <w:spacing w:before="120" w:after="120"/>
      <w:jc w:val="center"/>
    </w:pPr>
    <w:rPr>
      <w:rFonts w:ascii="Arial" w:hAnsi="Arial"/>
      <w:b/>
      <w:bCs/>
      <w:snapToGrid w:val="0"/>
      <w:sz w:val="28"/>
      <w:lang w:val="en-GB" w:eastAsia="en-US"/>
    </w:rPr>
  </w:style>
  <w:style w:type="paragraph" w:customStyle="1" w:styleId="RollCallTable">
    <w:name w:val="RollCallTable"/>
    <w:basedOn w:val="Normal"/>
    <w:rsid w:val="00B52D64"/>
    <w:pPr>
      <w:spacing w:before="120" w:after="120"/>
    </w:pPr>
    <w:rPr>
      <w:snapToGrid w:val="0"/>
      <w:sz w:val="16"/>
      <w:lang w:val="en-GB" w:eastAsia="en-US"/>
    </w:rPr>
  </w:style>
  <w:style w:type="paragraph" w:customStyle="1" w:styleId="PageHeadingNotTOC">
    <w:name w:val="PageHeadingNotTOC"/>
    <w:basedOn w:val="Normal"/>
    <w:rsid w:val="00B52D64"/>
    <w:pPr>
      <w:keepNext/>
      <w:spacing w:after="480"/>
      <w:jc w:val="center"/>
    </w:pPr>
    <w:rPr>
      <w:rFonts w:ascii="Arial" w:hAnsi="Arial" w:cs="Arial"/>
      <w:b/>
      <w:lang w:val="en-GB"/>
    </w:rPr>
  </w:style>
  <w:style w:type="paragraph" w:styleId="NormalWeb">
    <w:name w:val="Normal (Web)"/>
    <w:basedOn w:val="Normal"/>
    <w:rsid w:val="00B52D64"/>
    <w:rPr>
      <w:szCs w:val="24"/>
      <w:lang w:val="en-GB"/>
    </w:rPr>
  </w:style>
  <w:style w:type="character" w:styleId="FollowedHyperlink">
    <w:name w:val="FollowedHyperlink"/>
    <w:basedOn w:val="DefaultParagraphFont"/>
    <w:rsid w:val="00A52618"/>
    <w:rPr>
      <w:color w:val="954F72" w:themeColor="followedHyperlink"/>
      <w:u w:val="single"/>
    </w:rPr>
  </w:style>
  <w:style w:type="character" w:customStyle="1" w:styleId="Hyperlink1">
    <w:name w:val="Hyperlink1"/>
    <w:basedOn w:val="DefaultParagraphFont"/>
    <w:uiPriority w:val="99"/>
    <w:unhideWhenUsed/>
    <w:rsid w:val="007B502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2026-08-26T09:31:00Z</dcterms:created>
  <dcterms:modified xsi:type="dcterms:W3CDTF">2026-08-26T09:31:00Z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