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A85E800" w14:textId="77777777" w:rsidTr="0010095E">
        <w:tblPrEx>
          <w:tblW w:w="9072" w:type="dxa"/>
          <w:tblLook w:val="01E0"/>
        </w:tblPrEx>
        <w:trPr>
          <w:trHeight w:hRule="exact" w:val="1418"/>
        </w:trPr>
        <w:tc>
          <w:tcPr>
            <w:tcW w:w="6804" w:type="dxa"/>
            <w:shd w:val="clear" w:color="auto" w:fill="auto"/>
            <w:vAlign w:val="center"/>
          </w:tcPr>
          <w:p w:rsidR="00751A4A" w:rsidRPr="004C44F0" w:rsidP="0010095E" w14:paraId="79E6C805" w14:textId="6B06E826">
            <w:pPr>
              <w:pStyle w:val="EPName"/>
            </w:pPr>
            <w:r w:rsidRPr="004C44F0">
              <w:t>Parlamento Europeo</w:t>
            </w:r>
          </w:p>
          <w:p w:rsidR="00751A4A" w:rsidRPr="004C44F0" w:rsidP="005F1B17" w14:paraId="2594507E" w14:textId="77777777">
            <w:pPr>
              <w:pStyle w:val="EPTerm"/>
              <w:rPr>
                <w:rStyle w:val="HideTWBExt"/>
                <w:noProof w:val="0"/>
                <w:vanish w:val="0"/>
                <w:color w:val="auto"/>
              </w:rPr>
            </w:pPr>
            <w:r w:rsidRPr="004C44F0">
              <w:t>2024</w:t>
            </w:r>
            <w:r w:rsidRPr="004C44F0" w:rsidR="00817416">
              <w:t>-202</w:t>
            </w:r>
            <w:r w:rsidRPr="004C44F0">
              <w:t>9</w:t>
            </w:r>
          </w:p>
        </w:tc>
        <w:tc>
          <w:tcPr>
            <w:tcW w:w="2268" w:type="dxa"/>
            <w:shd w:val="clear" w:color="auto" w:fill="auto"/>
          </w:tcPr>
          <w:p w:rsidR="00751A4A" w:rsidRPr="004C44F0" w:rsidP="0010095E" w14:paraId="45E0C22C" w14:textId="77777777">
            <w:pPr>
              <w:pStyle w:val="EPLogo"/>
            </w:pPr>
            <w:r w:rsidRPr="004C44F0">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4C44F0" w:rsidP="004C5D52" w14:paraId="5E2235EB" w14:textId="77777777">
      <w:pPr>
        <w:pStyle w:val="LineTop"/>
      </w:pPr>
    </w:p>
    <w:p w:rsidR="00680577" w:rsidRPr="004C44F0" w:rsidP="00680577" w14:paraId="617B641E" w14:textId="77777777">
      <w:pPr>
        <w:pStyle w:val="EPBodyTA1"/>
      </w:pPr>
      <w:r w:rsidRPr="004C44F0">
        <w:t>TEXTOS APROBADOS</w:t>
      </w:r>
    </w:p>
    <w:p w:rsidR="00D058B8" w:rsidRPr="004C44F0" w:rsidP="00D058B8" w14:paraId="55BCB461" w14:textId="77777777">
      <w:pPr>
        <w:pStyle w:val="LineBottom"/>
      </w:pPr>
    </w:p>
    <w:p w:rsidR="00361850" w:rsidRPr="007A4C2E" w:rsidP="00361850" w14:paraId="4360D324" w14:textId="5914DFB0">
      <w:pPr>
        <w:pStyle w:val="ATHeading1"/>
      </w:pPr>
      <w:bookmarkStart w:id="0" w:name="TANumber"/>
      <w:r w:rsidRPr="007A4C2E">
        <w:t>P10_TA(2026)0</w:t>
      </w:r>
      <w:r w:rsidRPr="007A4C2E" w:rsidR="00F3550B">
        <w:t>116</w:t>
      </w:r>
      <w:bookmarkEnd w:id="0"/>
    </w:p>
    <w:p w:rsidR="00361850" w:rsidRPr="007A4C2E" w:rsidP="00361850" w14:paraId="7490E71D" w14:textId="4B8DB8B6">
      <w:pPr>
        <w:pStyle w:val="ATHeading2"/>
      </w:pPr>
      <w:bookmarkStart w:id="1" w:name="title"/>
      <w:r w:rsidRPr="007A4C2E">
        <w:t>Fondo Europeo de Adaptación a la Globalización: trabajadores afectados por un despido inminente</w:t>
      </w:r>
      <w:bookmarkEnd w:id="1"/>
    </w:p>
    <w:p w:rsidR="00361850" w:rsidRPr="004C44F0" w:rsidP="00361850" w14:paraId="75FF37F9" w14:textId="77777777">
      <w:pPr>
        <w:rPr>
          <w:i/>
          <w:vanish/>
        </w:rPr>
      </w:pPr>
      <w:r>
        <w:rPr>
          <w:i/>
        </w:rPr>
        <w:fldChar w:fldCharType="begin"/>
      </w:r>
      <w:r w:rsidRPr="004C44F0">
        <w:rPr>
          <w:i/>
        </w:rPr>
        <w:instrText xml:space="preserve"> TC"(</w:instrText>
      </w:r>
      <w:bookmarkStart w:id="2" w:name="DocNumber"/>
      <w:r w:rsidRPr="004C44F0">
        <w:rPr>
          <w:i/>
        </w:rPr>
        <w:instrText>A10-0251/2025</w:instrText>
      </w:r>
      <w:bookmarkEnd w:id="2"/>
      <w:r w:rsidRPr="004C44F0">
        <w:rPr>
          <w:i/>
        </w:rPr>
        <w:instrText xml:space="preserve"> - Ponente: </w:instrText>
      </w:r>
      <w:r w:rsidRPr="004C44F0">
        <w:rPr>
          <w:i/>
        </w:rPr>
        <w:instrText>Liesbet</w:instrText>
      </w:r>
      <w:r w:rsidRPr="004C44F0">
        <w:rPr>
          <w:i/>
        </w:rPr>
        <w:instrText xml:space="preserve"> </w:instrText>
      </w:r>
      <w:r w:rsidRPr="004C44F0">
        <w:rPr>
          <w:i/>
        </w:rPr>
        <w:instrText>Sommen</w:instrText>
      </w:r>
      <w:r w:rsidRPr="004C44F0">
        <w:rPr>
          <w:i/>
        </w:rPr>
        <w:instrText xml:space="preserve">)"\l3 \n&gt; \* MERGEFORMAT </w:instrText>
      </w:r>
      <w:r>
        <w:rPr>
          <w:i/>
        </w:rPr>
        <w:fldChar w:fldCharType="end"/>
      </w:r>
    </w:p>
    <w:p w:rsidR="00361850" w:rsidRPr="004C44F0" w:rsidP="00361850" w14:paraId="5B132FC9" w14:textId="77777777">
      <w:pPr>
        <w:rPr>
          <w:vanish/>
        </w:rPr>
      </w:pPr>
      <w:bookmarkStart w:id="3" w:name="Commission"/>
      <w:r w:rsidRPr="004C44F0">
        <w:rPr>
          <w:vanish/>
        </w:rPr>
        <w:t>Comisión de Empleo y Asuntos Sociales</w:t>
      </w:r>
      <w:bookmarkEnd w:id="3"/>
    </w:p>
    <w:p w:rsidR="00361850" w:rsidRPr="004C44F0" w:rsidP="00361850" w14:paraId="0A1D1441" w14:textId="77777777">
      <w:pPr>
        <w:rPr>
          <w:vanish/>
        </w:rPr>
      </w:pPr>
      <w:bookmarkStart w:id="4" w:name="PE"/>
      <w:r w:rsidRPr="004C44F0">
        <w:rPr>
          <w:vanish/>
        </w:rPr>
        <w:t>PE774.423</w:t>
      </w:r>
      <w:bookmarkEnd w:id="4"/>
    </w:p>
    <w:p w:rsidR="00361850" w:rsidRPr="007A4C2E" w:rsidP="00361850" w14:paraId="189EBA1D" w14:textId="23129FB3">
      <w:pPr>
        <w:pStyle w:val="ATHeading3"/>
      </w:pPr>
      <w:bookmarkStart w:id="5" w:name="Sujet"/>
      <w:r w:rsidRPr="007A4C2E">
        <w:t xml:space="preserve">Resolución legislativa del Parlamento Europeo, de </w:t>
      </w:r>
      <w:r w:rsidRPr="007A4C2E" w:rsidR="00405B03">
        <w:t>28</w:t>
      </w:r>
      <w:r w:rsidRPr="007A4C2E">
        <w:t xml:space="preserve"> de abril de 2026, sobre la propuesta de Reglamento del Parlamento Europeo y del Consejo por el que se modifica el Reglamento (UE) 2021/691 en lo que respecta al apoyo a los trabajadores afectados por un despido inminente en empresas en proceso de reestructuración</w:t>
      </w:r>
      <w:bookmarkEnd w:id="5"/>
      <w:r w:rsidRPr="007A4C2E">
        <w:t xml:space="preserve"> </w:t>
      </w:r>
      <w:bookmarkStart w:id="6" w:name="References"/>
      <w:r w:rsidRPr="007A4C2E">
        <w:t>(COM(2025)0140 – C10-0060/2025 – 2025/0073(COD))</w:t>
      </w:r>
      <w:bookmarkEnd w:id="6"/>
    </w:p>
    <w:p w:rsidR="007A06F2" w:rsidRPr="004C44F0" w:rsidP="007A06F2" w14:paraId="32D6A067" w14:textId="77777777">
      <w:pPr>
        <w:pStyle w:val="NormalBold"/>
      </w:pPr>
      <w:r w:rsidRPr="004C44F0">
        <w:t>(Procedimiento legislativo ordinario: primera lectura)</w:t>
      </w:r>
    </w:p>
    <w:p w:rsidR="007A06F2" w:rsidRPr="004C44F0" w:rsidP="007A06F2" w14:paraId="6ED4600A" w14:textId="77777777">
      <w:pPr>
        <w:pStyle w:val="EPComma"/>
      </w:pPr>
      <w:r w:rsidRPr="004C44F0">
        <w:rPr>
          <w:i/>
        </w:rPr>
        <w:t>El Parlamento Europeo</w:t>
      </w:r>
      <w:r w:rsidRPr="004C44F0">
        <w:t>,</w:t>
      </w:r>
    </w:p>
    <w:p w:rsidR="007A06F2" w:rsidRPr="004C44F0" w:rsidP="007A06F2" w14:paraId="64754A8E" w14:textId="77777777">
      <w:pPr>
        <w:pStyle w:val="NormalHanging12a"/>
      </w:pPr>
      <w:r w:rsidRPr="004C44F0">
        <w:t>–</w:t>
      </w:r>
      <w:r w:rsidRPr="004C44F0">
        <w:tab/>
        <w:t>Vista la propuesta de la Comisión al Parlamento Europeo y al Consejo (COM(2025)0140),</w:t>
      </w:r>
    </w:p>
    <w:p w:rsidR="007A06F2" w:rsidRPr="004C44F0" w:rsidP="007A06F2" w14:paraId="02BA0B39" w14:textId="77777777">
      <w:pPr>
        <w:pStyle w:val="NormalHanging12a"/>
      </w:pPr>
      <w:r w:rsidRPr="004C44F0">
        <w:t>–</w:t>
      </w:r>
      <w:r w:rsidRPr="004C44F0">
        <w:tab/>
        <w:t>Vistos el artículo 294, apartado 2, y el artículo 175 del Tratado de Funcionamiento de la Unión Europea, conforme a los cuales la Comisión le ha presentado su propuesta (C10</w:t>
      </w:r>
      <w:r w:rsidRPr="004C44F0">
        <w:noBreakHyphen/>
        <w:t>0060/2025),</w:t>
      </w:r>
    </w:p>
    <w:p w:rsidR="007A06F2" w:rsidRPr="004C44F0" w:rsidP="007A06F2" w14:paraId="364D30D2" w14:textId="77777777">
      <w:pPr>
        <w:pStyle w:val="NormalHanging12a"/>
      </w:pPr>
      <w:r w:rsidRPr="004C44F0">
        <w:t>–</w:t>
      </w:r>
      <w:r w:rsidRPr="004C44F0">
        <w:tab/>
        <w:t>Visto el artículo 294, apartado 3, del Tratado de Funcionamiento de la Unión Europea,</w:t>
      </w:r>
    </w:p>
    <w:p w:rsidR="007A06F2" w:rsidRPr="004C44F0" w:rsidP="007A06F2" w14:paraId="4A56BB16" w14:textId="77777777">
      <w:pPr>
        <w:pStyle w:val="NormalHanging12a"/>
      </w:pPr>
      <w:r w:rsidRPr="004C44F0">
        <w:t>–</w:t>
      </w:r>
      <w:r w:rsidRPr="004C44F0">
        <w:tab/>
        <w:t>Vista la evaluación presupuestaria emitida por la Comisión de Presupuestos,</w:t>
      </w:r>
    </w:p>
    <w:p w:rsidR="00402A5D" w:rsidRPr="004C44F0" w:rsidP="00402A5D" w14:paraId="088D7D66" w14:textId="77777777">
      <w:pPr>
        <w:pStyle w:val="NormalHanging12a"/>
      </w:pPr>
      <w:r w:rsidRPr="004C44F0">
        <w:t>–</w:t>
      </w:r>
      <w:r w:rsidRPr="004C44F0">
        <w:tab/>
        <w:t>Visto el dictamen del Comité Económico y Social Europeo de 19 de junio de 2025</w:t>
      </w:r>
      <w:r>
        <w:rPr>
          <w:rStyle w:val="FootnoteReference"/>
        </w:rPr>
        <w:footnoteReference w:id="2"/>
      </w:r>
      <w:r w:rsidRPr="004C44F0">
        <w:t>,</w:t>
      </w:r>
    </w:p>
    <w:p w:rsidR="00402A5D" w:rsidRPr="004C44F0" w:rsidP="00402A5D" w14:paraId="371077D0" w14:textId="77777777">
      <w:pPr>
        <w:pStyle w:val="NormalHanging12a"/>
      </w:pPr>
      <w:r w:rsidRPr="004C44F0">
        <w:t>–</w:t>
      </w:r>
      <w:r w:rsidRPr="004C44F0">
        <w:tab/>
        <w:t>Visto el dictamen del Comité de las Regiones de 3 de julio de 2025</w:t>
      </w:r>
      <w:r>
        <w:rPr>
          <w:rStyle w:val="FootnoteReference"/>
        </w:rPr>
        <w:footnoteReference w:id="3"/>
      </w:r>
      <w:r w:rsidRPr="004C44F0">
        <w:t>,</w:t>
      </w:r>
    </w:p>
    <w:p w:rsidR="00405B03" w:rsidRPr="004C44F0" w:rsidP="007A06F2" w14:paraId="29B4B70A" w14:textId="07A00E30">
      <w:pPr>
        <w:pStyle w:val="NormalHanging12a"/>
      </w:pPr>
      <w:r w:rsidRPr="004C44F0">
        <w:t>–</w:t>
      </w:r>
      <w:r w:rsidRPr="004C44F0">
        <w:tab/>
        <w:t>Vistos el acuerdo provisional aprobado por la comisión competente con arreglo al artículo 75, apartado 4, de su Reglamento interno y el compromiso asumido por el representante del Consejo, mediante carta de 11 de marzo de 2026, de aprobar la Posición del Parlamento Europeo, de conformidad con el artículo 294, apartado 4, del Tratado de Funcionamiento de la Unión Europea,</w:t>
      </w:r>
    </w:p>
    <w:p w:rsidR="007A06F2" w:rsidRPr="004C44F0" w:rsidP="007A06F2" w14:paraId="427BEC5C" w14:textId="77777777">
      <w:pPr>
        <w:pStyle w:val="NormalHanging12a"/>
      </w:pPr>
      <w:r w:rsidRPr="004C44F0">
        <w:t>–</w:t>
      </w:r>
      <w:r w:rsidRPr="004C44F0">
        <w:tab/>
        <w:t>Vistos los artículos 60 y 58 de su Reglamento interno,</w:t>
      </w:r>
    </w:p>
    <w:p w:rsidR="007A06F2" w:rsidRPr="004C44F0" w:rsidP="007A06F2" w14:paraId="738E7269" w14:textId="77777777">
      <w:pPr>
        <w:pStyle w:val="NormalHanging12a"/>
      </w:pPr>
      <w:r w:rsidRPr="004C44F0">
        <w:t>–</w:t>
      </w:r>
      <w:r w:rsidRPr="004C44F0">
        <w:tab/>
        <w:t>Visto el informe de la Comisión de Empleo y Asuntos Sociales (A10-0251/2025),</w:t>
      </w:r>
    </w:p>
    <w:p w:rsidR="007A06F2" w:rsidRPr="004C44F0" w:rsidP="007A06F2" w14:paraId="3AC81BA2" w14:textId="77777777">
      <w:pPr>
        <w:pStyle w:val="NormalHanging12a"/>
      </w:pPr>
      <w:r w:rsidRPr="004C44F0">
        <w:t>1.</w:t>
      </w:r>
      <w:r w:rsidRPr="004C44F0">
        <w:tab/>
        <w:t>Aprueba la Posición en primera lectura que figura a continuación;</w:t>
      </w:r>
    </w:p>
    <w:p w:rsidR="007A06F2" w:rsidRPr="004C44F0" w:rsidP="007A06F2" w14:paraId="29D8E880" w14:textId="77777777">
      <w:pPr>
        <w:pStyle w:val="NormalHanging12a"/>
      </w:pPr>
      <w:r w:rsidRPr="004C44F0">
        <w:t>2.</w:t>
      </w:r>
      <w:r w:rsidRPr="004C44F0">
        <w:tab/>
        <w:t>Pide a la Comisión que le consulte de nuevo si sustituye su propuesta, la modifica sustancialmente o se propone modificarla sustancialmente;</w:t>
      </w:r>
    </w:p>
    <w:p w:rsidR="007A06F2" w:rsidRPr="004C44F0" w:rsidP="007A06F2" w14:paraId="015C3764" w14:textId="77777777">
      <w:pPr>
        <w:pStyle w:val="NormalHanging12a"/>
      </w:pPr>
      <w:r w:rsidRPr="004C44F0">
        <w:t>3.</w:t>
      </w:r>
      <w:r w:rsidRPr="004C44F0">
        <w:tab/>
        <w:t>Encarga a su presidenta que transmita la Posición del Parlamento al Consejo y a la Comisión, así como a los Parlamentos nacionales.</w:t>
      </w:r>
    </w:p>
    <w:p w:rsidR="00405B03" w:rsidRPr="004C44F0" w:rsidP="007A06F2" w14:paraId="58A3FC97" w14:textId="77777777">
      <w:pPr>
        <w:widowControl/>
        <w:sectPr w:rsidSect="002B789C">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02A5D" w:rsidRPr="004C44F0" w:rsidP="00402A5D" w14:paraId="3C4A6A63" w14:textId="77777777">
      <w:pPr>
        <w:autoSpaceDE w:val="0"/>
        <w:autoSpaceDN w:val="0"/>
        <w:adjustRightInd w:val="0"/>
        <w:spacing w:after="240"/>
        <w:rPr>
          <w:rFonts w:eastAsia="Calibri"/>
          <w:b/>
          <w:bCs/>
          <w:color w:val="000000"/>
          <w:szCs w:val="24"/>
          <w:lang w:val="es-ES"/>
        </w:rPr>
      </w:pPr>
      <w:r w:rsidRPr="004C44F0">
        <w:rPr>
          <w:rFonts w:eastAsia="Calibri"/>
          <w:b/>
          <w:bCs/>
          <w:color w:val="000000"/>
          <w:szCs w:val="24"/>
          <w:lang w:val="es-ES"/>
        </w:rPr>
        <w:t>P10_TC1-COD(2025)0073</w:t>
      </w:r>
    </w:p>
    <w:p w:rsidR="00B274A5" w:rsidRPr="004C44F0" w:rsidP="00B274A5" w14:paraId="76A1BACF" w14:textId="2B3B36A4">
      <w:pPr>
        <w:widowControl/>
        <w:autoSpaceDE w:val="0"/>
        <w:autoSpaceDN w:val="0"/>
        <w:adjustRightInd w:val="0"/>
        <w:spacing w:before="120" w:after="120"/>
        <w:rPr>
          <w:rFonts w:eastAsia="Calibri"/>
          <w:b/>
          <w:bCs/>
          <w:szCs w:val="24"/>
          <w:lang w:val="es-ES"/>
        </w:rPr>
      </w:pPr>
      <w:r w:rsidRPr="004C44F0">
        <w:rPr>
          <w:rFonts w:eastAsia="Calibri"/>
          <w:b/>
          <w:bCs/>
          <w:szCs w:val="24"/>
          <w:lang w:val="es-ES"/>
        </w:rPr>
        <w:t>Posi</w:t>
      </w:r>
      <w:r w:rsidRPr="004C44F0">
        <w:rPr>
          <w:rFonts w:eastAsia="Calibri"/>
          <w:b/>
          <w:bCs/>
          <w:szCs w:val="24"/>
          <w:lang w:val="es-ES"/>
        </w:rPr>
        <w:t>c</w:t>
      </w:r>
      <w:r w:rsidRPr="004C44F0">
        <w:rPr>
          <w:rFonts w:eastAsia="Calibri"/>
          <w:b/>
          <w:bCs/>
          <w:szCs w:val="24"/>
          <w:lang w:val="es-ES"/>
        </w:rPr>
        <w:t>i</w:t>
      </w:r>
      <w:r w:rsidRPr="004C44F0">
        <w:rPr>
          <w:rFonts w:eastAsia="Calibri"/>
          <w:b/>
          <w:bCs/>
          <w:szCs w:val="24"/>
          <w:lang w:val="es-ES"/>
        </w:rPr>
        <w:t>ó</w:t>
      </w:r>
      <w:r w:rsidRPr="004C44F0">
        <w:rPr>
          <w:rFonts w:eastAsia="Calibri"/>
          <w:b/>
          <w:bCs/>
          <w:szCs w:val="24"/>
          <w:lang w:val="es-ES"/>
        </w:rPr>
        <w:t xml:space="preserve">n </w:t>
      </w:r>
      <w:r w:rsidRPr="004C44F0">
        <w:rPr>
          <w:b/>
          <w:szCs w:val="24"/>
        </w:rPr>
        <w:t xml:space="preserve">del Parlamento Europeo aprobada en primera lectura el </w:t>
      </w:r>
      <w:r w:rsidRPr="004C44F0">
        <w:rPr>
          <w:rFonts w:eastAsia="Calibri"/>
          <w:b/>
          <w:bCs/>
          <w:szCs w:val="24"/>
          <w:lang w:val="es-ES"/>
        </w:rPr>
        <w:t xml:space="preserve">28 </w:t>
      </w:r>
      <w:r w:rsidRPr="004C44F0">
        <w:rPr>
          <w:rFonts w:eastAsia="Calibri"/>
          <w:b/>
          <w:bCs/>
          <w:szCs w:val="24"/>
          <w:lang w:val="es-ES"/>
        </w:rPr>
        <w:t>de ab</w:t>
      </w:r>
      <w:r w:rsidRPr="004C44F0">
        <w:rPr>
          <w:rFonts w:eastAsia="Calibri"/>
          <w:b/>
          <w:bCs/>
          <w:szCs w:val="24"/>
          <w:lang w:val="es-ES"/>
        </w:rPr>
        <w:t xml:space="preserve">ril </w:t>
      </w:r>
      <w:r w:rsidRPr="004C44F0">
        <w:rPr>
          <w:rFonts w:eastAsia="Calibri"/>
          <w:b/>
          <w:bCs/>
          <w:szCs w:val="24"/>
          <w:lang w:val="es-ES"/>
        </w:rPr>
        <w:t xml:space="preserve">de </w:t>
      </w:r>
      <w:r w:rsidRPr="004C44F0">
        <w:rPr>
          <w:rFonts w:eastAsia="Calibri"/>
          <w:b/>
          <w:bCs/>
          <w:szCs w:val="24"/>
          <w:lang w:val="es-ES"/>
        </w:rPr>
        <w:t xml:space="preserve">2026 </w:t>
      </w:r>
      <w:r w:rsidRPr="004C44F0">
        <w:rPr>
          <w:b/>
          <w:szCs w:val="24"/>
        </w:rPr>
        <w:t xml:space="preserve">con vistas a la adopción del </w:t>
      </w:r>
      <w:r w:rsidRPr="004C44F0">
        <w:rPr>
          <w:rFonts w:eastAsia="Calibri"/>
          <w:b/>
          <w:bCs/>
          <w:szCs w:val="24"/>
          <w:lang w:val="es-ES"/>
        </w:rPr>
        <w:t>R</w:t>
      </w:r>
      <w:r w:rsidRPr="004C44F0">
        <w:rPr>
          <w:rFonts w:eastAsia="Calibri"/>
          <w:b/>
          <w:bCs/>
          <w:szCs w:val="24"/>
          <w:lang w:val="es-ES"/>
        </w:rPr>
        <w:t>e</w:t>
      </w:r>
      <w:r w:rsidRPr="004C44F0">
        <w:rPr>
          <w:rFonts w:eastAsia="Calibri"/>
          <w:b/>
          <w:bCs/>
          <w:szCs w:val="24"/>
          <w:lang w:val="es-ES"/>
        </w:rPr>
        <w:t>gla</w:t>
      </w:r>
      <w:r w:rsidRPr="004C44F0">
        <w:rPr>
          <w:rFonts w:eastAsia="Calibri"/>
          <w:b/>
          <w:bCs/>
          <w:szCs w:val="24"/>
          <w:lang w:val="es-ES"/>
        </w:rPr>
        <w:t>men</w:t>
      </w:r>
      <w:r w:rsidRPr="004C44F0">
        <w:rPr>
          <w:rFonts w:eastAsia="Calibri"/>
          <w:b/>
          <w:bCs/>
          <w:szCs w:val="24"/>
          <w:lang w:val="es-ES"/>
        </w:rPr>
        <w:t>to</w:t>
      </w:r>
      <w:r w:rsidRPr="004C44F0">
        <w:rPr>
          <w:rFonts w:eastAsia="Calibri"/>
          <w:b/>
          <w:bCs/>
          <w:szCs w:val="24"/>
          <w:lang w:val="es-ES"/>
        </w:rPr>
        <w:t xml:space="preserve"> </w:t>
      </w:r>
      <w:r w:rsidRPr="004C44F0">
        <w:rPr>
          <w:rFonts w:eastAsia="Calibri"/>
          <w:b/>
          <w:bCs/>
          <w:szCs w:val="24"/>
          <w:lang w:val="es-ES"/>
        </w:rPr>
        <w:t xml:space="preserve">(EU) 2026/… </w:t>
      </w:r>
      <w:r w:rsidRPr="004C44F0">
        <w:rPr>
          <w:b/>
          <w:szCs w:val="24"/>
        </w:rPr>
        <w:t xml:space="preserve">del Parlamento Europeo y del Consejo </w:t>
      </w:r>
      <w:r w:rsidRPr="004C44F0">
        <w:rPr>
          <w:rFonts w:eastAsia="Calibri"/>
          <w:b/>
          <w:bCs/>
          <w:szCs w:val="24"/>
          <w:lang w:val="es-ES"/>
        </w:rPr>
        <w:t>por el que se modifica el Reglamento (UE) 2021/691 en lo que respecta al apoyo a los trabajadores afectados por un despido inminente en empresas en proceso de reestructuración</w:t>
      </w:r>
    </w:p>
    <w:p w:rsidR="00E365E1" w:rsidRPr="006831CF" w:rsidP="00051EB2" w14:paraId="01AEBAA4" w14:textId="2F14B118">
      <w:pPr>
        <w:spacing w:after="240"/>
        <w:jc w:val="both"/>
        <w:rPr>
          <w:i/>
          <w:iCs/>
          <w:lang w:val="es-ES"/>
        </w:rPr>
      </w:pPr>
      <w:r w:rsidRPr="006831CF">
        <w:rPr>
          <w:i/>
          <w:iCs/>
          <w:lang w:val="es-ES"/>
        </w:rPr>
        <w:t>(</w:t>
      </w:r>
      <w:r w:rsidR="006831CF">
        <w:rPr>
          <w:i/>
        </w:rPr>
        <w:t>Dado que el Parlamento Europeo y el Consejo llegaron a un acuerdo, la posición del Parlamento coincide con el texto del acto legislativo definitivo,</w:t>
      </w:r>
      <w:r w:rsidR="006831CF">
        <w:rPr>
          <w:i/>
        </w:rPr>
        <w:t xml:space="preserve"> el </w:t>
      </w:r>
      <w:r w:rsidRPr="006831CF">
        <w:rPr>
          <w:i/>
          <w:iCs/>
          <w:lang w:val="es-ES"/>
        </w:rPr>
        <w:t>Regla</w:t>
      </w:r>
      <w:r w:rsidR="006831CF">
        <w:rPr>
          <w:i/>
          <w:iCs/>
          <w:lang w:val="es-ES"/>
        </w:rPr>
        <w:t>men</w:t>
      </w:r>
      <w:r w:rsidRPr="006831CF">
        <w:rPr>
          <w:i/>
          <w:iCs/>
          <w:lang w:val="es-ES"/>
        </w:rPr>
        <w:t>to (U</w:t>
      </w:r>
      <w:r w:rsidR="006E2401">
        <w:rPr>
          <w:i/>
          <w:iCs/>
          <w:lang w:val="es-ES"/>
        </w:rPr>
        <w:t>E</w:t>
      </w:r>
      <w:r w:rsidRPr="006831CF">
        <w:rPr>
          <w:i/>
          <w:iCs/>
          <w:lang w:val="es-ES"/>
        </w:rPr>
        <w:t>) 2026/1139.)</w:t>
      </w:r>
    </w:p>
    <w:sectPr w:rsidSect="002B789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2B789C" w14:paraId="095D318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2B789C" w14:paraId="745DEA8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2B789C" w14:paraId="03EAF15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61850" w:rsidRPr="002B789C" w14:paraId="697DCEEA" w14:textId="77777777">
      <w:r w:rsidRPr="002B789C">
        <w:separator/>
      </w:r>
    </w:p>
  </w:footnote>
  <w:footnote w:type="continuationSeparator" w:id="1">
    <w:p w:rsidR="00361850" w:rsidRPr="002B789C" w14:paraId="03FC5F28" w14:textId="77777777">
      <w:r w:rsidRPr="002B789C">
        <w:continuationSeparator/>
      </w:r>
    </w:p>
  </w:footnote>
  <w:footnote w:id="2">
    <w:p w:rsidR="00402A5D" w:rsidRPr="00572884" w:rsidP="007A4C2E" w14:paraId="0DD14487" w14:textId="658F08DA">
      <w:pPr>
        <w:pStyle w:val="FootnoteText"/>
        <w:spacing w:line="240" w:lineRule="auto"/>
        <w:ind w:left="709" w:hanging="709"/>
        <w:rPr>
          <w:sz w:val="24"/>
          <w:szCs w:val="24"/>
          <w:lang w:val="pt-PT"/>
        </w:rPr>
      </w:pPr>
      <w:r w:rsidRPr="00572884">
        <w:rPr>
          <w:rStyle w:val="FootnoteReference"/>
          <w:sz w:val="24"/>
          <w:szCs w:val="24"/>
          <w:lang w:val="es-ES_tradnl"/>
        </w:rPr>
        <w:footnoteRef/>
      </w:r>
      <w:r w:rsidRPr="00572884">
        <w:rPr>
          <w:sz w:val="24"/>
          <w:szCs w:val="24"/>
          <w:lang w:val="pt-PT"/>
        </w:rPr>
        <w:t xml:space="preserve"> </w:t>
      </w:r>
      <w:r w:rsidRPr="00572884">
        <w:rPr>
          <w:sz w:val="24"/>
          <w:szCs w:val="24"/>
          <w:lang w:val="pt-PT"/>
        </w:rPr>
        <w:tab/>
        <w:t>DO C</w:t>
      </w:r>
      <w:r w:rsidRPr="00572884" w:rsidR="004310D9">
        <w:rPr>
          <w:sz w:val="24"/>
          <w:szCs w:val="24"/>
          <w:lang w:val="pt-PT"/>
        </w:rPr>
        <w:t>, C</w:t>
      </w:r>
      <w:r w:rsidRPr="00572884">
        <w:rPr>
          <w:sz w:val="24"/>
          <w:szCs w:val="24"/>
          <w:lang w:val="pt-PT"/>
        </w:rPr>
        <w:t>/2025/4217, 20.8.2025, ELI: </w:t>
      </w:r>
      <w:hyperlink r:id="rId1" w:history="1">
        <w:r w:rsidRPr="00572884" w:rsidR="005E5E67">
          <w:rPr>
            <w:rStyle w:val="Hyperlink"/>
            <w:sz w:val="24"/>
            <w:szCs w:val="24"/>
            <w:lang w:val="pt-PT"/>
          </w:rPr>
          <w:t>http://data.europa.eu/eli/C/2025/4217/oj</w:t>
        </w:r>
      </w:hyperlink>
      <w:r w:rsidRPr="00572884">
        <w:rPr>
          <w:sz w:val="24"/>
          <w:szCs w:val="24"/>
          <w:lang w:val="pt-PT"/>
        </w:rPr>
        <w:t xml:space="preserve">. </w:t>
      </w:r>
    </w:p>
  </w:footnote>
  <w:footnote w:id="3">
    <w:p w:rsidR="00402A5D" w:rsidRPr="00572884" w:rsidP="007A4C2E" w14:paraId="303E99FA" w14:textId="394667C1">
      <w:pPr>
        <w:pStyle w:val="FootnoteText"/>
        <w:spacing w:line="240" w:lineRule="auto"/>
        <w:ind w:left="709" w:hanging="709"/>
        <w:rPr>
          <w:sz w:val="24"/>
          <w:szCs w:val="24"/>
          <w:lang w:val="pt-PT"/>
        </w:rPr>
      </w:pPr>
      <w:r w:rsidRPr="00572884">
        <w:rPr>
          <w:rStyle w:val="FootnoteReference"/>
          <w:sz w:val="24"/>
          <w:szCs w:val="24"/>
          <w:lang w:val="es-ES_tradnl"/>
        </w:rPr>
        <w:footnoteRef/>
      </w:r>
      <w:r w:rsidRPr="00572884">
        <w:rPr>
          <w:sz w:val="24"/>
          <w:szCs w:val="24"/>
          <w:lang w:val="pt-PT"/>
        </w:rPr>
        <w:t xml:space="preserve"> </w:t>
      </w:r>
      <w:r w:rsidRPr="00572884">
        <w:rPr>
          <w:sz w:val="24"/>
          <w:szCs w:val="24"/>
          <w:lang w:val="pt-PT"/>
        </w:rPr>
        <w:tab/>
        <w:t>DO C</w:t>
      </w:r>
      <w:r w:rsidRPr="00572884" w:rsidR="004310D9">
        <w:rPr>
          <w:sz w:val="24"/>
          <w:szCs w:val="24"/>
          <w:lang w:val="pt-PT"/>
        </w:rPr>
        <w:t>, C</w:t>
      </w:r>
      <w:r w:rsidRPr="00572884">
        <w:rPr>
          <w:sz w:val="24"/>
          <w:szCs w:val="24"/>
          <w:lang w:val="pt-PT"/>
        </w:rPr>
        <w:t>/2025/4419, 29.8.2025, ELI: </w:t>
      </w:r>
      <w:hyperlink r:id="rId2" w:history="1">
        <w:r w:rsidRPr="00572884" w:rsidR="005E5E67">
          <w:rPr>
            <w:rStyle w:val="Hyperlink"/>
            <w:sz w:val="24"/>
            <w:szCs w:val="24"/>
            <w:lang w:val="pt-PT"/>
          </w:rPr>
          <w:t>http://data.europa.eu/eli/C/2025/4419/oj</w:t>
        </w:r>
      </w:hyperlink>
      <w:r w:rsidRPr="00572884">
        <w:rPr>
          <w:sz w:val="24"/>
          <w:szCs w:val="24"/>
          <w:lang w:val="pt-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2B789C" w14:paraId="25FB114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2B789C" w14:paraId="65A5321B"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2B789C" w14:paraId="40385E8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65978983">
    <w:abstractNumId w:val="9"/>
  </w:num>
  <w:num w:numId="2" w16cid:durableId="1666662975">
    <w:abstractNumId w:val="9"/>
  </w:num>
  <w:num w:numId="3" w16cid:durableId="169687802">
    <w:abstractNumId w:val="7"/>
  </w:num>
  <w:num w:numId="4" w16cid:durableId="1956056199">
    <w:abstractNumId w:val="7"/>
  </w:num>
  <w:num w:numId="5" w16cid:durableId="262036296">
    <w:abstractNumId w:val="6"/>
  </w:num>
  <w:num w:numId="6" w16cid:durableId="1616714996">
    <w:abstractNumId w:val="6"/>
  </w:num>
  <w:num w:numId="7" w16cid:durableId="539973026">
    <w:abstractNumId w:val="5"/>
  </w:num>
  <w:num w:numId="8" w16cid:durableId="1853758803">
    <w:abstractNumId w:val="5"/>
  </w:num>
  <w:num w:numId="9" w16cid:durableId="1859005550">
    <w:abstractNumId w:val="4"/>
  </w:num>
  <w:num w:numId="10" w16cid:durableId="433596268">
    <w:abstractNumId w:val="4"/>
  </w:num>
  <w:num w:numId="11" w16cid:durableId="368654257">
    <w:abstractNumId w:val="8"/>
  </w:num>
  <w:num w:numId="12" w16cid:durableId="994802659">
    <w:abstractNumId w:val="8"/>
  </w:num>
  <w:num w:numId="13" w16cid:durableId="747771745">
    <w:abstractNumId w:val="3"/>
  </w:num>
  <w:num w:numId="14" w16cid:durableId="1065185602">
    <w:abstractNumId w:val="3"/>
  </w:num>
  <w:num w:numId="15" w16cid:durableId="1887133869">
    <w:abstractNumId w:val="2"/>
  </w:num>
  <w:num w:numId="16" w16cid:durableId="715855764">
    <w:abstractNumId w:val="2"/>
  </w:num>
  <w:num w:numId="17" w16cid:durableId="739522556">
    <w:abstractNumId w:val="1"/>
  </w:num>
  <w:num w:numId="18" w16cid:durableId="1148598109">
    <w:abstractNumId w:val="1"/>
  </w:num>
  <w:num w:numId="19" w16cid:durableId="925192563">
    <w:abstractNumId w:val="0"/>
  </w:num>
  <w:num w:numId="20" w16cid:durableId="1841507027">
    <w:abstractNumId w:val="0"/>
  </w:num>
  <w:num w:numId="21" w16cid:durableId="624970333">
    <w:abstractNumId w:val="9"/>
  </w:num>
  <w:num w:numId="22" w16cid:durableId="1089235711">
    <w:abstractNumId w:val="7"/>
  </w:num>
  <w:num w:numId="23" w16cid:durableId="649754189">
    <w:abstractNumId w:val="6"/>
  </w:num>
  <w:num w:numId="24" w16cid:durableId="1526796703">
    <w:abstractNumId w:val="5"/>
  </w:num>
  <w:num w:numId="25" w16cid:durableId="1446264837">
    <w:abstractNumId w:val="4"/>
  </w:num>
  <w:num w:numId="26" w16cid:durableId="1684161007">
    <w:abstractNumId w:val="8"/>
  </w:num>
  <w:num w:numId="27" w16cid:durableId="1109204133">
    <w:abstractNumId w:val="3"/>
  </w:num>
  <w:num w:numId="28" w16cid:durableId="2048793778">
    <w:abstractNumId w:val="2"/>
  </w:num>
  <w:num w:numId="29" w16cid:durableId="2117945499">
    <w:abstractNumId w:val="1"/>
  </w:num>
  <w:num w:numId="30" w16cid:durableId="121965570">
    <w:abstractNumId w:val="0"/>
  </w:num>
  <w:num w:numId="31" w16cid:durableId="543491153">
    <w:abstractNumId w:val="9"/>
  </w:num>
  <w:num w:numId="32" w16cid:durableId="1221670825">
    <w:abstractNumId w:val="7"/>
  </w:num>
  <w:num w:numId="33" w16cid:durableId="675114510">
    <w:abstractNumId w:val="6"/>
  </w:num>
  <w:num w:numId="34" w16cid:durableId="2089885090">
    <w:abstractNumId w:val="5"/>
  </w:num>
  <w:num w:numId="35" w16cid:durableId="1112017702">
    <w:abstractNumId w:val="4"/>
  </w:num>
  <w:num w:numId="36" w16cid:durableId="624384275">
    <w:abstractNumId w:val="8"/>
  </w:num>
  <w:num w:numId="37" w16cid:durableId="1522040725">
    <w:abstractNumId w:val="3"/>
  </w:num>
  <w:num w:numId="38" w16cid:durableId="1626812107">
    <w:abstractNumId w:val="2"/>
  </w:num>
  <w:num w:numId="39" w16cid:durableId="1412433346">
    <w:abstractNumId w:val="1"/>
  </w:num>
  <w:num w:numId="40" w16cid:durableId="2038919127">
    <w:abstractNumId w:val="0"/>
  </w:num>
  <w:num w:numId="41" w16cid:durableId="1058092857">
    <w:abstractNumId w:val="10"/>
  </w:num>
  <w:num w:numId="42" w16cid:durableId="1345017336">
    <w:abstractNumId w:val="10"/>
  </w:num>
  <w:num w:numId="43" w16cid:durableId="119883567">
    <w:abstractNumId w:val="10"/>
  </w:num>
  <w:num w:numId="44" w16cid:durableId="14214837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850"/>
    <w:rsid w:val="00002272"/>
    <w:rsid w:val="00042FF7"/>
    <w:rsid w:val="00051EB2"/>
    <w:rsid w:val="00064002"/>
    <w:rsid w:val="000677B9"/>
    <w:rsid w:val="000831BA"/>
    <w:rsid w:val="000A42CC"/>
    <w:rsid w:val="000C64F2"/>
    <w:rsid w:val="000E7DD9"/>
    <w:rsid w:val="0010095E"/>
    <w:rsid w:val="00125B37"/>
    <w:rsid w:val="00182224"/>
    <w:rsid w:val="00187494"/>
    <w:rsid w:val="001F32AE"/>
    <w:rsid w:val="002767FF"/>
    <w:rsid w:val="002B18FE"/>
    <w:rsid w:val="002B5493"/>
    <w:rsid w:val="002B789C"/>
    <w:rsid w:val="002E2C69"/>
    <w:rsid w:val="003275DC"/>
    <w:rsid w:val="00343214"/>
    <w:rsid w:val="00361850"/>
    <w:rsid w:val="00361C00"/>
    <w:rsid w:val="00370672"/>
    <w:rsid w:val="00394EBE"/>
    <w:rsid w:val="00395FA1"/>
    <w:rsid w:val="003D26F8"/>
    <w:rsid w:val="003E15D4"/>
    <w:rsid w:val="00402A5D"/>
    <w:rsid w:val="00405B03"/>
    <w:rsid w:val="00411CCE"/>
    <w:rsid w:val="0041666E"/>
    <w:rsid w:val="00421060"/>
    <w:rsid w:val="004310D9"/>
    <w:rsid w:val="00471C19"/>
    <w:rsid w:val="004867E3"/>
    <w:rsid w:val="004871FD"/>
    <w:rsid w:val="00494A28"/>
    <w:rsid w:val="004C0004"/>
    <w:rsid w:val="004C44F0"/>
    <w:rsid w:val="004C5D52"/>
    <w:rsid w:val="0050519A"/>
    <w:rsid w:val="005072A1"/>
    <w:rsid w:val="00514517"/>
    <w:rsid w:val="00545827"/>
    <w:rsid w:val="00560270"/>
    <w:rsid w:val="00572884"/>
    <w:rsid w:val="005A5C65"/>
    <w:rsid w:val="005C2568"/>
    <w:rsid w:val="005E5E67"/>
    <w:rsid w:val="005F1B17"/>
    <w:rsid w:val="006037C0"/>
    <w:rsid w:val="006631B6"/>
    <w:rsid w:val="00680577"/>
    <w:rsid w:val="00682A27"/>
    <w:rsid w:val="006831CF"/>
    <w:rsid w:val="006E2401"/>
    <w:rsid w:val="006F74FA"/>
    <w:rsid w:val="00704035"/>
    <w:rsid w:val="00731ADD"/>
    <w:rsid w:val="00734777"/>
    <w:rsid w:val="00747932"/>
    <w:rsid w:val="00751A4A"/>
    <w:rsid w:val="00756632"/>
    <w:rsid w:val="00762C74"/>
    <w:rsid w:val="00786EC0"/>
    <w:rsid w:val="007A06F2"/>
    <w:rsid w:val="007A4C2E"/>
    <w:rsid w:val="007D1690"/>
    <w:rsid w:val="007D1AAE"/>
    <w:rsid w:val="007D34D6"/>
    <w:rsid w:val="007E22AD"/>
    <w:rsid w:val="00817416"/>
    <w:rsid w:val="00842779"/>
    <w:rsid w:val="00865F67"/>
    <w:rsid w:val="00881A7B"/>
    <w:rsid w:val="008840E5"/>
    <w:rsid w:val="00887B3E"/>
    <w:rsid w:val="008B08EA"/>
    <w:rsid w:val="008C2AC6"/>
    <w:rsid w:val="00930C23"/>
    <w:rsid w:val="0093193B"/>
    <w:rsid w:val="009509D8"/>
    <w:rsid w:val="00950B64"/>
    <w:rsid w:val="00981893"/>
    <w:rsid w:val="00997BBE"/>
    <w:rsid w:val="009D2CE2"/>
    <w:rsid w:val="009E39AE"/>
    <w:rsid w:val="00A11F02"/>
    <w:rsid w:val="00A1687D"/>
    <w:rsid w:val="00A43E52"/>
    <w:rsid w:val="00A4678D"/>
    <w:rsid w:val="00A67E91"/>
    <w:rsid w:val="00A778C7"/>
    <w:rsid w:val="00AB441E"/>
    <w:rsid w:val="00AB6293"/>
    <w:rsid w:val="00AE0928"/>
    <w:rsid w:val="00AF3B82"/>
    <w:rsid w:val="00B016E8"/>
    <w:rsid w:val="00B12E95"/>
    <w:rsid w:val="00B22876"/>
    <w:rsid w:val="00B274A5"/>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550B"/>
    <w:rsid w:val="00F5134D"/>
    <w:rsid w:val="00F74202"/>
    <w:rsid w:val="00F87713"/>
    <w:rsid w:val="00FB4360"/>
    <w:rsid w:val="00FD0C70"/>
    <w:rsid w:val="00FE4763"/>
  </w:rsids>
  <w:docVars>
    <w:docVar w:name="dvdocse" w:val="A10-0251/2025"/>
    <w:docVar w:name="dvlangue" w:val="ES"/>
    <w:docVar w:name="dvnumam" w:val="49"/>
    <w:docVar w:name="dvpe" w:val="774.423"/>
    <w:docVar w:name="dvrapporteur" w:val="Ponente: "/>
    <w:docVar w:name="dvstar" w:val="***I"/>
    <w:docVar w:name="dvtitre" w:val="Resolución legislativa del Parlamento Europeo, de x de abril de 2026, sobre la propuesta de Reglamento del Parlamento Europeo y del Consejo por el que se modifica el Reglamento (UE) 2021/691 en lo que respecta al apoyo a los trabajadores afectados por un despido inminente en empresas en proceso de reestructuración(COM(2025)0140 – C10-0060/2025 – 2025/0073(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F37C954"/>
  <w15:chartTrackingRefBased/>
  <w15:docId w15:val="{E5082324-28E8-4CA0-A86D-117A3906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A06F2"/>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7A06F2"/>
    <w:pPr>
      <w:spacing w:after="120"/>
    </w:pPr>
  </w:style>
  <w:style w:type="paragraph" w:customStyle="1" w:styleId="NormalBold">
    <w:name w:val="NormalBold"/>
    <w:basedOn w:val="Normal"/>
    <w:link w:val="NormalBoldChar"/>
    <w:rsid w:val="007A06F2"/>
    <w:rPr>
      <w:b/>
    </w:rPr>
  </w:style>
  <w:style w:type="paragraph" w:customStyle="1" w:styleId="NormalHanging12a">
    <w:name w:val="NormalHanging12a"/>
    <w:basedOn w:val="Normal"/>
    <w:rsid w:val="007A06F2"/>
    <w:pPr>
      <w:spacing w:after="240"/>
      <w:ind w:left="567" w:hanging="567"/>
    </w:pPr>
  </w:style>
  <w:style w:type="paragraph" w:styleId="Header">
    <w:name w:val="header"/>
    <w:basedOn w:val="Normal"/>
    <w:link w:val="HeaderChar"/>
    <w:rsid w:val="007A06F2"/>
    <w:pPr>
      <w:tabs>
        <w:tab w:val="center" w:pos="4513"/>
        <w:tab w:val="right" w:pos="9026"/>
      </w:tabs>
    </w:pPr>
  </w:style>
  <w:style w:type="character" w:customStyle="1" w:styleId="HeaderChar">
    <w:name w:val="Header Char"/>
    <w:basedOn w:val="DefaultParagraphFont"/>
    <w:link w:val="Header"/>
    <w:rsid w:val="007A06F2"/>
    <w:rPr>
      <w:sz w:val="24"/>
      <w:lang w:val="es-ES_tradnl"/>
    </w:rPr>
  </w:style>
  <w:style w:type="paragraph" w:customStyle="1" w:styleId="AmColumnHeading">
    <w:name w:val="AmColumnHeading"/>
    <w:basedOn w:val="Normal"/>
    <w:rsid w:val="007A06F2"/>
    <w:pPr>
      <w:spacing w:after="240"/>
      <w:jc w:val="center"/>
    </w:pPr>
    <w:rPr>
      <w:i/>
    </w:rPr>
  </w:style>
  <w:style w:type="paragraph" w:customStyle="1" w:styleId="AmNumberTabs">
    <w:name w:val="AmNumberTabs"/>
    <w:basedOn w:val="Normal"/>
    <w:rsid w:val="007A06F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A06F2"/>
    <w:pPr>
      <w:spacing w:before="240"/>
    </w:pPr>
    <w:rPr>
      <w:b/>
    </w:rPr>
  </w:style>
  <w:style w:type="paragraph" w:customStyle="1" w:styleId="EPFooter">
    <w:name w:val="EPFooter"/>
    <w:basedOn w:val="Normal"/>
    <w:rsid w:val="007A06F2"/>
    <w:pPr>
      <w:tabs>
        <w:tab w:val="center" w:pos="4535"/>
        <w:tab w:val="right" w:pos="9071"/>
      </w:tabs>
      <w:spacing w:before="240" w:after="240"/>
    </w:pPr>
    <w:rPr>
      <w:color w:val="010000"/>
      <w:sz w:val="22"/>
    </w:rPr>
  </w:style>
  <w:style w:type="paragraph" w:customStyle="1" w:styleId="EPComma">
    <w:name w:val="EPComma"/>
    <w:basedOn w:val="Normal"/>
    <w:rsid w:val="007A06F2"/>
    <w:pPr>
      <w:spacing w:before="480" w:after="240"/>
    </w:pPr>
  </w:style>
  <w:style w:type="character" w:customStyle="1" w:styleId="Normal6Char">
    <w:name w:val="Normal6 Char"/>
    <w:basedOn w:val="DefaultParagraphFont"/>
    <w:link w:val="Normal6"/>
    <w:locked/>
    <w:rsid w:val="007A06F2"/>
    <w:rPr>
      <w:sz w:val="24"/>
      <w:lang w:val="es-ES"/>
    </w:rPr>
  </w:style>
  <w:style w:type="paragraph" w:customStyle="1" w:styleId="Normal6">
    <w:name w:val="Normal6"/>
    <w:basedOn w:val="Normal"/>
    <w:link w:val="Normal6Char"/>
    <w:rsid w:val="007A06F2"/>
    <w:pPr>
      <w:spacing w:after="120"/>
    </w:pPr>
    <w:rPr>
      <w:lang w:val="es-ES"/>
    </w:rPr>
  </w:style>
  <w:style w:type="character" w:customStyle="1" w:styleId="NormalBoldChar">
    <w:name w:val="NormalBold Char"/>
    <w:basedOn w:val="DefaultParagraphFont"/>
    <w:link w:val="NormalBold"/>
    <w:locked/>
    <w:rsid w:val="007A06F2"/>
    <w:rPr>
      <w:b/>
      <w:sz w:val="24"/>
      <w:lang w:val="es-ES_tradnl"/>
    </w:rPr>
  </w:style>
  <w:style w:type="paragraph" w:customStyle="1" w:styleId="ColumnHeading">
    <w:name w:val="ColumnHeading"/>
    <w:basedOn w:val="Normal"/>
    <w:rsid w:val="007A06F2"/>
    <w:pPr>
      <w:spacing w:after="240"/>
      <w:jc w:val="center"/>
    </w:pPr>
    <w:rPr>
      <w:i/>
      <w:lang w:val="es-ES"/>
    </w:rPr>
  </w:style>
  <w:style w:type="paragraph" w:customStyle="1" w:styleId="Olang">
    <w:name w:val="Olang"/>
    <w:rsid w:val="007A06F2"/>
    <w:pPr>
      <w:jc w:val="right"/>
    </w:pPr>
    <w:rPr>
      <w:lang w:val="es-ES"/>
    </w:rPr>
  </w:style>
  <w:style w:type="character" w:styleId="Hyperlink">
    <w:name w:val="Hyperlink"/>
    <w:basedOn w:val="DefaultParagraphFont"/>
    <w:rsid w:val="007A06F2"/>
    <w:rPr>
      <w:color w:val="0563C1" w:themeColor="hyperlink"/>
      <w:u w:val="single"/>
    </w:rPr>
  </w:style>
  <w:style w:type="character" w:customStyle="1" w:styleId="NormalBold12bChar">
    <w:name w:val="NormalBold12b Char"/>
    <w:basedOn w:val="DefaultParagraphFont"/>
    <w:link w:val="NormalBold12b"/>
    <w:rsid w:val="007A06F2"/>
    <w:rPr>
      <w:b/>
      <w:sz w:val="24"/>
      <w:lang w:val="es-ES_tradnl"/>
    </w:rPr>
  </w:style>
  <w:style w:type="paragraph" w:styleId="Revision">
    <w:name w:val="Revision"/>
    <w:hidden/>
    <w:uiPriority w:val="99"/>
    <w:semiHidden/>
    <w:rsid w:val="00405B03"/>
    <w:rPr>
      <w:sz w:val="24"/>
      <w:lang w:val="es-ES_tradnl"/>
    </w:rPr>
  </w:style>
  <w:style w:type="character" w:styleId="CommentReference">
    <w:name w:val="annotation reference"/>
    <w:basedOn w:val="DefaultParagraphFont"/>
    <w:rsid w:val="007D34D6"/>
    <w:rPr>
      <w:sz w:val="16"/>
      <w:szCs w:val="16"/>
    </w:rPr>
  </w:style>
  <w:style w:type="paragraph" w:styleId="CommentText">
    <w:name w:val="annotation text"/>
    <w:basedOn w:val="Normal"/>
    <w:link w:val="CommentTextChar"/>
    <w:rsid w:val="007D34D6"/>
    <w:rPr>
      <w:sz w:val="20"/>
    </w:rPr>
  </w:style>
  <w:style w:type="character" w:customStyle="1" w:styleId="CommentTextChar">
    <w:name w:val="Comment Text Char"/>
    <w:basedOn w:val="DefaultParagraphFont"/>
    <w:link w:val="CommentText"/>
    <w:rsid w:val="007D34D6"/>
    <w:rPr>
      <w:lang w:val="es-ES_tradnl"/>
    </w:rPr>
  </w:style>
  <w:style w:type="paragraph" w:styleId="CommentSubject">
    <w:name w:val="annotation subject"/>
    <w:basedOn w:val="CommentText"/>
    <w:next w:val="CommentText"/>
    <w:link w:val="CommentSubjectChar"/>
    <w:rsid w:val="007D34D6"/>
    <w:rPr>
      <w:b/>
      <w:bCs/>
    </w:rPr>
  </w:style>
  <w:style w:type="character" w:customStyle="1" w:styleId="CommentSubjectChar">
    <w:name w:val="Comment Subject Char"/>
    <w:basedOn w:val="CommentTextChar"/>
    <w:link w:val="CommentSubject"/>
    <w:rsid w:val="007D34D6"/>
    <w:rPr>
      <w:b/>
      <w:bCs/>
      <w:lang w:val="es-ES_tradnl"/>
    </w:rPr>
  </w:style>
  <w:style w:type="character" w:customStyle="1" w:styleId="Hyperlink1">
    <w:name w:val="Hyperlink1"/>
    <w:basedOn w:val="DefaultParagraphFont"/>
    <w:uiPriority w:val="99"/>
    <w:unhideWhenUsed/>
    <w:rsid w:val="00B274A5"/>
    <w:rPr>
      <w:color w:val="0000FF"/>
      <w:u w:val="single"/>
    </w:rPr>
  </w:style>
  <w:style w:type="character" w:styleId="UnresolvedMention">
    <w:name w:val="Unresolved Mention"/>
    <w:basedOn w:val="DefaultParagraphFont"/>
    <w:uiPriority w:val="99"/>
    <w:semiHidden/>
    <w:unhideWhenUsed/>
    <w:rsid w:val="00B27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5/4217/oj" TargetMode="External" /><Relationship Id="rId2" Type="http://schemas.openxmlformats.org/officeDocument/2006/relationships/hyperlink" Target="http://data.europa.eu/eli/C/2025/441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404</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2026-08-28T10:05:00Z</dcterms:created>
  <dcterms:modified xsi:type="dcterms:W3CDTF">2026-08-28T10:05:00Z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P10_TA(2026)0116_</vt:lpwstr>
  </property>
  <property fmtid="{D5CDD505-2E9C-101B-9397-08002B2CF9AE}" pid="4" name="&lt;Type&gt;">
    <vt:lpwstr>RR</vt:lpwstr>
  </property>
</Properties>
</file>