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35C8A823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07A63" w:rsidP="00007A63" w14:paraId="454D28E3" w14:textId="77777777">
            <w:pPr>
              <w:pStyle w:val="EPName"/>
              <w:widowControl/>
            </w:pPr>
            <w:r w:rsidRPr="00007A63">
              <w:t>Euroopan parlamentti</w:t>
            </w:r>
          </w:p>
          <w:p w:rsidR="00751A4A" w:rsidRPr="00007A63" w:rsidP="00007A63" w14:paraId="3C266BC6" w14:textId="77777777">
            <w:pPr>
              <w:pStyle w:val="EPTerm"/>
              <w:widowControl/>
              <w:rPr>
                <w:rStyle w:val="HideTWBExt"/>
                <w:noProof w:val="0"/>
                <w:vanish w:val="0"/>
                <w:color w:val="auto"/>
              </w:rPr>
            </w:pPr>
            <w:r w:rsidRPr="00007A63">
              <w:t>2024</w:t>
            </w:r>
            <w:r w:rsidRPr="00007A63" w:rsidR="00817416">
              <w:t>-202</w:t>
            </w:r>
            <w:r w:rsidRPr="00007A6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007A63" w:rsidP="00007A63" w14:paraId="29016692" w14:textId="77777777">
            <w:pPr>
              <w:pStyle w:val="EPLogo"/>
              <w:widowControl/>
            </w:pPr>
            <w:r w:rsidRPr="00007A63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07A63" w:rsidP="00007A63" w14:paraId="6DE709EC" w14:textId="77777777">
      <w:pPr>
        <w:pStyle w:val="LineTop"/>
        <w:widowControl/>
      </w:pPr>
    </w:p>
    <w:p w:rsidR="00680577" w:rsidRPr="00007A63" w:rsidP="00007A63" w14:paraId="5374A050" w14:textId="77777777">
      <w:pPr>
        <w:pStyle w:val="EPBodyTA1"/>
        <w:widowControl/>
      </w:pPr>
      <w:r w:rsidRPr="00007A63">
        <w:t>HYVÄKSYTYT TEKSTIT</w:t>
      </w:r>
    </w:p>
    <w:p w:rsidR="00D058B8" w:rsidRPr="00007A63" w:rsidP="00007A63" w14:paraId="3C370763" w14:textId="77777777">
      <w:pPr>
        <w:pStyle w:val="LineBottom"/>
        <w:widowControl/>
      </w:pPr>
    </w:p>
    <w:p w:rsidR="00E81E8F" w:rsidRPr="00007A63" w:rsidP="00007A63" w14:paraId="26233124" w14:textId="491FBB01">
      <w:pPr>
        <w:pStyle w:val="ATHeading1"/>
      </w:pPr>
      <w:bookmarkStart w:id="0" w:name="TANumber"/>
      <w:r w:rsidRPr="00007A63">
        <w:t>P10_TA(2026)0</w:t>
      </w:r>
      <w:r w:rsidRPr="00007A63" w:rsidR="00007A63">
        <w:t>116</w:t>
      </w:r>
      <w:bookmarkEnd w:id="0"/>
    </w:p>
    <w:p w:rsidR="00E81E8F" w:rsidRPr="00007A63" w:rsidP="00007A63" w14:paraId="2F20F331" w14:textId="2E876D3D">
      <w:pPr>
        <w:pStyle w:val="ATHeading2"/>
      </w:pPr>
      <w:bookmarkStart w:id="1" w:name="title"/>
      <w:r w:rsidRPr="00007A63">
        <w:t>Euroopan globalisaatiorahasto: työntekijät, joita uhkaa välitön työpaikan menettäminen</w:t>
      </w:r>
      <w:bookmarkEnd w:id="1"/>
    </w:p>
    <w:p w:rsidR="00E81E8F" w:rsidRPr="00007A63" w:rsidP="00007A63" w14:paraId="1E1E72B9" w14:textId="77777777">
      <w:pPr>
        <w:widowControl/>
        <w:rPr>
          <w:i/>
          <w:vanish/>
        </w:rPr>
      </w:pPr>
      <w:r>
        <w:rPr>
          <w:i/>
        </w:rPr>
        <w:fldChar w:fldCharType="begin"/>
      </w:r>
      <w:r w:rsidRPr="00007A63">
        <w:rPr>
          <w:i/>
        </w:rPr>
        <w:instrText xml:space="preserve"> TC"(</w:instrText>
      </w:r>
      <w:bookmarkStart w:id="2" w:name="DocNumber"/>
      <w:r w:rsidRPr="00007A63">
        <w:rPr>
          <w:i/>
        </w:rPr>
        <w:instrText>A10-0251/2025</w:instrText>
      </w:r>
      <w:bookmarkEnd w:id="2"/>
      <w:r w:rsidRPr="00007A63">
        <w:rPr>
          <w:i/>
        </w:rPr>
        <w:instrText xml:space="preserve"> - Esittelijä: Liesbet Sommen)"\l3 \n&gt; \* MERGEFORMAT </w:instrText>
      </w:r>
      <w:r>
        <w:rPr>
          <w:i/>
        </w:rPr>
        <w:fldChar w:fldCharType="end"/>
      </w:r>
    </w:p>
    <w:p w:rsidR="00E81E8F" w:rsidRPr="00007A63" w:rsidP="00007A63" w14:paraId="1123E778" w14:textId="77777777">
      <w:pPr>
        <w:widowControl/>
        <w:rPr>
          <w:vanish/>
        </w:rPr>
      </w:pPr>
      <w:bookmarkStart w:id="3" w:name="Commission"/>
      <w:r w:rsidRPr="00007A63">
        <w:rPr>
          <w:vanish/>
        </w:rPr>
        <w:t>Työllisyyden ja sosiaaliasioiden valiokunta</w:t>
      </w:r>
      <w:bookmarkEnd w:id="3"/>
    </w:p>
    <w:p w:rsidR="00E81E8F" w:rsidRPr="00007A63" w:rsidP="00007A63" w14:paraId="2973AC47" w14:textId="77777777">
      <w:pPr>
        <w:widowControl/>
        <w:rPr>
          <w:vanish/>
        </w:rPr>
      </w:pPr>
      <w:bookmarkStart w:id="4" w:name="PE"/>
      <w:r w:rsidRPr="00007A63">
        <w:rPr>
          <w:vanish/>
        </w:rPr>
        <w:t>PE774.423</w:t>
      </w:r>
      <w:bookmarkEnd w:id="4"/>
    </w:p>
    <w:p w:rsidR="00E81E8F" w:rsidRPr="00007A63" w:rsidP="00007A63" w14:paraId="55A4F6C9" w14:textId="1527F74B">
      <w:pPr>
        <w:pStyle w:val="ATHeading3"/>
      </w:pPr>
      <w:bookmarkStart w:id="5" w:name="Sujet"/>
      <w:r w:rsidRPr="00007A63">
        <w:t xml:space="preserve">Euroopan parlamentin lainsäädäntöpäätöslauselma </w:t>
      </w:r>
      <w:r w:rsidRPr="00007A63" w:rsidR="008E56BC">
        <w:t>28</w:t>
      </w:r>
      <w:r w:rsidRPr="00007A63">
        <w:t>. huhtikuuta 2026 ehdotuksesta Euroopan parlamentin ja neuvoston asetukseksi asetuksen (EU) 2021/691 muuttamisesta siltä osin kuin on kyse sellaisten työntekijöiden tukemisesta, joita uhkaa välitön työpaikan menettäminen rakenneuudistusten kohteena olevissa yrityksissä</w:t>
      </w:r>
      <w:bookmarkEnd w:id="5"/>
      <w:r w:rsidRPr="00007A63">
        <w:t xml:space="preserve"> </w:t>
      </w:r>
      <w:bookmarkStart w:id="6" w:name="References"/>
      <w:r w:rsidRPr="00007A63">
        <w:t>(COM(2025)0140 – C10-0060/2025 – 2025/0073(COD))</w:t>
      </w:r>
      <w:bookmarkEnd w:id="6"/>
    </w:p>
    <w:p w:rsidR="00713F85" w:rsidRPr="00007A63" w:rsidP="00007A63" w14:paraId="70CCF21E" w14:textId="77777777">
      <w:pPr>
        <w:pStyle w:val="NormalBold"/>
        <w:widowControl/>
      </w:pPr>
      <w:r w:rsidRPr="00007A63">
        <w:t>(Tavallinen lainsäätämisjärjestys: ensimmäinen käsittely)</w:t>
      </w:r>
    </w:p>
    <w:p w:rsidR="00713F85" w:rsidRPr="00007A63" w:rsidP="00007A63" w14:paraId="01715387" w14:textId="77777777">
      <w:pPr>
        <w:pStyle w:val="EPComma"/>
        <w:widowControl/>
      </w:pPr>
      <w:r w:rsidRPr="00007A63">
        <w:rPr>
          <w:i/>
          <w:iCs/>
        </w:rPr>
        <w:t>Euroopan parlamentti</w:t>
      </w:r>
      <w:r w:rsidRPr="00007A63">
        <w:t>, joka</w:t>
      </w:r>
    </w:p>
    <w:p w:rsidR="00713F85" w:rsidRPr="00007A63" w:rsidP="00007A63" w14:paraId="739E016F" w14:textId="77777777">
      <w:pPr>
        <w:pStyle w:val="NormalHanging12a"/>
        <w:widowControl/>
      </w:pPr>
      <w:r w:rsidRPr="00007A63">
        <w:t>–</w:t>
      </w:r>
      <w:r w:rsidRPr="00007A63">
        <w:tab/>
        <w:t>ottaa huomioon komission ehdotuksen Euroopan parlamentille ja neuvostolle (COM(2025)0140),</w:t>
      </w:r>
    </w:p>
    <w:p w:rsidR="00713F85" w:rsidRPr="00007A63" w:rsidP="00007A63" w14:paraId="0FAA03A7" w14:textId="77777777">
      <w:pPr>
        <w:pStyle w:val="NormalHanging12a"/>
        <w:widowControl/>
      </w:pPr>
      <w:r w:rsidRPr="00007A63">
        <w:t>–</w:t>
      </w:r>
      <w:r w:rsidRPr="00007A63">
        <w:tab/>
        <w:t>ottaa huomioon Euroopan unionin toiminnasta tehdyn sopimuksen 294 artiklan 2 kohdan ja 175 artiklan, joiden mukaisesti komissio on antanut ehdotuksen parlamentille (C10-0060/2025),</w:t>
      </w:r>
    </w:p>
    <w:p w:rsidR="00713F85" w:rsidRPr="00007A63" w:rsidP="00007A63" w14:paraId="085AD425" w14:textId="77777777">
      <w:pPr>
        <w:pStyle w:val="NormalHanging12a"/>
        <w:widowControl/>
      </w:pPr>
      <w:r w:rsidRPr="00007A63">
        <w:t>–</w:t>
      </w:r>
      <w:r w:rsidRPr="00007A63">
        <w:tab/>
        <w:t>ottaa huomioon Euroopan unionin toiminnasta tehdyn sopimuksen 294 artiklan 3 kohdan,</w:t>
      </w:r>
    </w:p>
    <w:p w:rsidR="00713F85" w:rsidRPr="00007A63" w:rsidP="00007A63" w14:paraId="1F8944F1" w14:textId="77777777">
      <w:pPr>
        <w:pStyle w:val="NormalHanging12a"/>
        <w:widowControl/>
      </w:pPr>
      <w:r w:rsidRPr="00007A63">
        <w:t>–</w:t>
      </w:r>
      <w:r w:rsidRPr="00007A63">
        <w:tab/>
        <w:t>ottaa huomioon budjettivaliokunnan talousarvionäkökohtia koskevan arvion,</w:t>
      </w:r>
    </w:p>
    <w:p w:rsidR="000A4CD0" w:rsidRPr="00007A63" w:rsidP="00007A63" w14:paraId="74BEDD96" w14:textId="378965FD">
      <w:pPr>
        <w:pStyle w:val="NormalHanging12a"/>
        <w:widowControl/>
      </w:pPr>
      <w:r w:rsidRPr="00007A63">
        <w:t>–</w:t>
      </w:r>
      <w:r w:rsidRPr="00007A63">
        <w:tab/>
        <w:t>ottaa huomioon Euroopan talous- ja sosiaalikomitean 19. kesäkuuta 2025 antaman lausunnon</w:t>
      </w:r>
      <w:r>
        <w:rPr>
          <w:rStyle w:val="FootnoteReference"/>
        </w:rPr>
        <w:footnoteReference w:id="2"/>
      </w:r>
      <w:r w:rsidRPr="00007A63">
        <w:t>,</w:t>
      </w:r>
    </w:p>
    <w:p w:rsidR="000A4CD0" w:rsidRPr="00007A63" w:rsidP="00007A63" w14:paraId="11459D55" w14:textId="744DC65F">
      <w:pPr>
        <w:pStyle w:val="NormalHanging12a"/>
        <w:widowControl/>
      </w:pPr>
      <w:r w:rsidRPr="00007A63">
        <w:t>–</w:t>
      </w:r>
      <w:r w:rsidRPr="00007A63">
        <w:tab/>
        <w:t>ottaa huomioon alueiden komitean 3. heinäkuuta 2025 antaman lausunnon</w:t>
      </w:r>
      <w:r>
        <w:rPr>
          <w:rStyle w:val="FootnoteReference"/>
        </w:rPr>
        <w:footnoteReference w:id="3"/>
      </w:r>
      <w:r w:rsidRPr="00007A63">
        <w:t>,</w:t>
      </w:r>
    </w:p>
    <w:p w:rsidR="008E56BC" w:rsidRPr="00007A63" w:rsidP="00007A63" w14:paraId="5C7753AC" w14:textId="2CE61B29">
      <w:pPr>
        <w:pStyle w:val="NormalHanging12a"/>
        <w:widowControl/>
      </w:pPr>
      <w:r w:rsidRPr="00007A63">
        <w:t>–</w:t>
      </w:r>
      <w:r w:rsidRPr="00007A63">
        <w:tab/>
        <w:t>ottaa huomioon asiasta vastaavan valiokunnan työjärjestyksen 75 artiklan 4 kohdan mukaisesti hyväksymän alustavan sopimuksen sekä neuvoston edustajan 11.</w:t>
      </w:r>
      <w:r w:rsidRPr="00007A63" w:rsidR="00BD4B99">
        <w:t> </w:t>
      </w:r>
      <w:r w:rsidRPr="00007A63">
        <w:t>maaliskuuta 2026 päivätyllä kirjeellä antaman sitoumuksen hyväksyä Euroopan parlamentin kanta Euroopan unionin toiminnasta tehdyn sopimuksen 294 artiklan 4 kohdan mukaisesti,</w:t>
      </w:r>
    </w:p>
    <w:p w:rsidR="00713F85" w:rsidRPr="00007A63" w:rsidP="00007A63" w14:paraId="14C3C170" w14:textId="77777777">
      <w:pPr>
        <w:pStyle w:val="NormalHanging12a"/>
        <w:widowControl/>
      </w:pPr>
      <w:r w:rsidRPr="00007A63">
        <w:t>–</w:t>
      </w:r>
      <w:r w:rsidRPr="00007A63">
        <w:tab/>
        <w:t>ottaa huomioon työjärjestyksen 60 ja 58 artiklan,</w:t>
      </w:r>
    </w:p>
    <w:p w:rsidR="00713F85" w:rsidRPr="00007A63" w:rsidP="00007A63" w14:paraId="26168B0A" w14:textId="77777777">
      <w:pPr>
        <w:pStyle w:val="NormalHanging12a"/>
        <w:widowControl/>
      </w:pPr>
      <w:r w:rsidRPr="00007A63">
        <w:t>–</w:t>
      </w:r>
      <w:r w:rsidRPr="00007A63">
        <w:tab/>
        <w:t>ottaa huomioon työllisyyden ja sosiaaliasioiden valiokunnan mietinnön (A10</w:t>
      </w:r>
      <w:r w:rsidRPr="00007A63">
        <w:noBreakHyphen/>
        <w:t>0251/2025),</w:t>
      </w:r>
    </w:p>
    <w:p w:rsidR="00713F85" w:rsidRPr="00007A63" w:rsidP="00007A63" w14:paraId="49E0C55D" w14:textId="77777777">
      <w:pPr>
        <w:pStyle w:val="NormalHanging12a"/>
        <w:widowControl/>
      </w:pPr>
      <w:r w:rsidRPr="00007A63">
        <w:t>1.</w:t>
      </w:r>
      <w:r w:rsidRPr="00007A63">
        <w:tab/>
        <w:t>vahvistaa jäljempänä esitetyn ensimmäisen käsittelyn kannan;</w:t>
      </w:r>
    </w:p>
    <w:p w:rsidR="00713F85" w:rsidRPr="00007A63" w:rsidP="00007A63" w14:paraId="4F006C9B" w14:textId="77777777">
      <w:pPr>
        <w:pStyle w:val="NormalHanging12a"/>
        <w:widowControl/>
      </w:pPr>
      <w:r w:rsidRPr="00007A63">
        <w:t>2.</w:t>
      </w:r>
      <w:r w:rsidRPr="00007A63">
        <w:tab/>
        <w:t>pyytää komissiota antamaan asian uudelleen Euroopan parlamentin käsiteltäväksi, jos se korvaa ehdotuksensa, muuttaa sitä huomattavasti tai aikoo muuttaa sitä huomattavasti;</w:t>
      </w:r>
    </w:p>
    <w:p w:rsidR="00BD4B99" w:rsidRPr="00007A63" w:rsidP="00007A63" w14:paraId="2D15A86C" w14:textId="77777777">
      <w:pPr>
        <w:pStyle w:val="NormalHanging12a"/>
        <w:widowControl/>
      </w:pPr>
      <w:r w:rsidRPr="00007A63">
        <w:t>3.</w:t>
      </w:r>
      <w:r w:rsidRPr="00007A63">
        <w:tab/>
        <w:t>kehottaa puhemiestä välittämään parlamentin kannan neuvostolle ja komissiolle sekä kansallisille parlamenteille.</w:t>
      </w:r>
    </w:p>
    <w:p w:rsidR="00BD4B99" w:rsidRPr="00007A63" w:rsidP="00007A63" w14:paraId="3330457C" w14:textId="77777777">
      <w:pPr>
        <w:pStyle w:val="NormalHanging12a"/>
        <w:widowControl/>
        <w:sectPr w:rsidSect="0050498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D4B99" w:rsidRPr="00007A63" w:rsidP="00007A63" w14:paraId="6298610F" w14:textId="31DEC65F">
      <w:pPr>
        <w:widowControl/>
        <w:spacing w:after="240"/>
        <w:rPr>
          <w:b/>
          <w:szCs w:val="24"/>
        </w:rPr>
      </w:pPr>
      <w:r w:rsidRPr="00007A63">
        <w:rPr>
          <w:b/>
          <w:szCs w:val="24"/>
        </w:rPr>
        <w:t>P10_TC1-COD(2025)0073</w:t>
      </w:r>
    </w:p>
    <w:p w:rsidR="00BD4B99" w:rsidP="00007A63" w14:paraId="23977680" w14:textId="3AC424AB">
      <w:pPr>
        <w:widowControl/>
        <w:spacing w:after="240"/>
        <w:rPr>
          <w:rFonts w:eastAsia="Calibri"/>
          <w:b/>
          <w:szCs w:val="22"/>
          <w:lang w:eastAsia="fi-FI" w:bidi="fi-FI"/>
        </w:rPr>
      </w:pPr>
      <w:r w:rsidRPr="00007A63">
        <w:rPr>
          <w:b/>
          <w:szCs w:val="24"/>
        </w:rPr>
        <w:t xml:space="preserve">Euroopan parlamentin kanta, vahvistettu ensimmäisessä käsittelyssä 28. huhtikuuta 2026, Euroopan parlamentin ja neuvoston asetuksen (EU) 2026/… antamiseksi </w:t>
      </w:r>
      <w:r w:rsidRPr="00007A63">
        <w:rPr>
          <w:rFonts w:eastAsia="Calibri"/>
          <w:b/>
          <w:szCs w:val="22"/>
          <w:lang w:eastAsia="fi-FI" w:bidi="fi-FI"/>
        </w:rPr>
        <w:t>asetuksen (EU) 2021/691 muuttamisesta siltä osin kuin on kyse sellaisten työntekijöiden tukemisesta, joita uhkaa välitön työpaikan menettäminen rakenneuudistuksen kohteena olevassa yrityksessä</w:t>
      </w:r>
    </w:p>
    <w:p w:rsidR="000A1468" w:rsidP="000A1468" w14:paraId="7EFE00DE" w14:textId="1FC9393A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2026</w:t>
      </w:r>
      <w:r w:rsidRPr="002F34F6">
        <w:rPr>
          <w:i/>
          <w:szCs w:val="24"/>
        </w:rPr>
        <w:t>/</w:t>
      </w:r>
      <w:r>
        <w:rPr>
          <w:i/>
          <w:szCs w:val="24"/>
        </w:rPr>
        <w:t>1139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Sect="0050498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81E8F" w:rsidRPr="0050498F" w14:paraId="4986B12D" w14:textId="77777777">
      <w:r w:rsidRPr="0050498F">
        <w:separator/>
      </w:r>
    </w:p>
  </w:footnote>
  <w:footnote w:type="continuationSeparator" w:id="1">
    <w:p w:rsidR="00E81E8F" w:rsidRPr="0050498F" w14:paraId="13E5777A" w14:textId="77777777">
      <w:r w:rsidRPr="0050498F">
        <w:continuationSeparator/>
      </w:r>
    </w:p>
  </w:footnote>
  <w:footnote w:id="2">
    <w:p w:rsidR="000A4CD0" w:rsidRPr="008E6762" w:rsidP="000A4CD0" w14:paraId="2D1A5F2C" w14:textId="349398D7">
      <w:pPr>
        <w:pStyle w:val="FootnoteText"/>
        <w:ind w:left="567" w:hanging="567"/>
        <w:rPr>
          <w:sz w:val="24"/>
          <w:lang w:val="fr-BE"/>
        </w:rPr>
      </w:pPr>
      <w:r w:rsidRPr="0050498F">
        <w:rPr>
          <w:rStyle w:val="FootnoteReference"/>
          <w:sz w:val="24"/>
          <w:lang w:val="fi-FI"/>
        </w:rPr>
        <w:footnoteRef/>
      </w:r>
      <w:r w:rsidRPr="008E6762">
        <w:rPr>
          <w:sz w:val="24"/>
          <w:lang w:val="fr-BE"/>
        </w:rPr>
        <w:t xml:space="preserve"> </w:t>
      </w:r>
      <w:r w:rsidRPr="008E6762">
        <w:rPr>
          <w:sz w:val="24"/>
          <w:lang w:val="fr-BE"/>
        </w:rPr>
        <w:tab/>
        <w:t xml:space="preserve">EUVL </w:t>
      </w:r>
      <w:r w:rsidR="00BD4B99">
        <w:rPr>
          <w:sz w:val="24"/>
          <w:lang w:val="fr-BE"/>
        </w:rPr>
        <w:t xml:space="preserve">C, </w:t>
      </w:r>
      <w:r w:rsidRPr="008E6762">
        <w:rPr>
          <w:sz w:val="24"/>
          <w:lang w:val="fr-BE"/>
        </w:rPr>
        <w:t>C/2025/4217, 20.8.2025, ELI: </w:t>
      </w:r>
      <w:hyperlink r:id="rId1" w:tgtFrame="_blank" w:tooltip="Avaa asiakirjan ELI URI -osoitteen kautta." w:history="1">
        <w:r w:rsidRPr="008E6762">
          <w:rPr>
            <w:rStyle w:val="Hyperlink"/>
            <w:sz w:val="24"/>
            <w:lang w:val="fr-BE"/>
          </w:rPr>
          <w:t>http://data.europa.eu/eli/C/2025/4217/oj</w:t>
        </w:r>
      </w:hyperlink>
      <w:r w:rsidRPr="008E6762">
        <w:rPr>
          <w:sz w:val="24"/>
          <w:lang w:val="fr-BE"/>
        </w:rPr>
        <w:t xml:space="preserve">. </w:t>
      </w:r>
    </w:p>
  </w:footnote>
  <w:footnote w:id="3">
    <w:p w:rsidR="000A4CD0" w:rsidRPr="008E6762" w:rsidP="000A4CD0" w14:paraId="5C75A2B5" w14:textId="7301BCA7">
      <w:pPr>
        <w:pStyle w:val="FootnoteText"/>
        <w:ind w:left="567" w:hanging="567"/>
        <w:rPr>
          <w:sz w:val="24"/>
          <w:lang w:val="fr-BE"/>
        </w:rPr>
      </w:pPr>
      <w:r w:rsidRPr="0050498F">
        <w:rPr>
          <w:rStyle w:val="FootnoteReference"/>
          <w:sz w:val="24"/>
          <w:lang w:val="fi-FI"/>
        </w:rPr>
        <w:footnoteRef/>
      </w:r>
      <w:r w:rsidRPr="008E6762">
        <w:rPr>
          <w:sz w:val="24"/>
          <w:lang w:val="fr-BE"/>
        </w:rPr>
        <w:t xml:space="preserve"> </w:t>
      </w:r>
      <w:r w:rsidRPr="008E6762">
        <w:rPr>
          <w:sz w:val="24"/>
          <w:lang w:val="fr-BE"/>
        </w:rPr>
        <w:tab/>
        <w:t xml:space="preserve">EUVL </w:t>
      </w:r>
      <w:r w:rsidR="00BD4B99">
        <w:rPr>
          <w:sz w:val="24"/>
          <w:lang w:val="fr-BE"/>
        </w:rPr>
        <w:t xml:space="preserve">C, </w:t>
      </w:r>
      <w:r w:rsidRPr="00007A63">
        <w:rPr>
          <w:sz w:val="24"/>
          <w:szCs w:val="24"/>
          <w:lang w:val="fr-BE"/>
        </w:rPr>
        <w:t>C/2025/4419, 29.8.2025, ELI: </w:t>
      </w:r>
      <w:hyperlink r:id="rId2" w:tgtFrame="_blank" w:tooltip="Gives access to this document through its ELI URI." w:history="1">
        <w:r w:rsidRPr="00007A63">
          <w:rPr>
            <w:rStyle w:val="Hyperlink"/>
            <w:sz w:val="24"/>
            <w:szCs w:val="24"/>
            <w:lang w:val="fr-BE"/>
          </w:rPr>
          <w:t>http://data.europa.eu/eli/C/2025/4419/oj</w:t>
        </w:r>
      </w:hyperlink>
      <w:r w:rsidRPr="008E6762">
        <w:rPr>
          <w:sz w:val="24"/>
          <w:lang w:val="fr-BE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141878782">
    <w:abstractNumId w:val="9"/>
  </w:num>
  <w:num w:numId="2" w16cid:durableId="1174145383">
    <w:abstractNumId w:val="9"/>
  </w:num>
  <w:num w:numId="3" w16cid:durableId="729037260">
    <w:abstractNumId w:val="7"/>
  </w:num>
  <w:num w:numId="4" w16cid:durableId="415829339">
    <w:abstractNumId w:val="7"/>
  </w:num>
  <w:num w:numId="5" w16cid:durableId="585263044">
    <w:abstractNumId w:val="6"/>
  </w:num>
  <w:num w:numId="6" w16cid:durableId="369500445">
    <w:abstractNumId w:val="6"/>
  </w:num>
  <w:num w:numId="7" w16cid:durableId="1385133887">
    <w:abstractNumId w:val="5"/>
  </w:num>
  <w:num w:numId="8" w16cid:durableId="839926609">
    <w:abstractNumId w:val="5"/>
  </w:num>
  <w:num w:numId="9" w16cid:durableId="1846826322">
    <w:abstractNumId w:val="4"/>
  </w:num>
  <w:num w:numId="10" w16cid:durableId="1750343752">
    <w:abstractNumId w:val="4"/>
  </w:num>
  <w:num w:numId="11" w16cid:durableId="777019369">
    <w:abstractNumId w:val="8"/>
  </w:num>
  <w:num w:numId="12" w16cid:durableId="137500825">
    <w:abstractNumId w:val="8"/>
  </w:num>
  <w:num w:numId="13" w16cid:durableId="1079327207">
    <w:abstractNumId w:val="3"/>
  </w:num>
  <w:num w:numId="14" w16cid:durableId="2031688054">
    <w:abstractNumId w:val="3"/>
  </w:num>
  <w:num w:numId="15" w16cid:durableId="57016662">
    <w:abstractNumId w:val="2"/>
  </w:num>
  <w:num w:numId="16" w16cid:durableId="906231899">
    <w:abstractNumId w:val="2"/>
  </w:num>
  <w:num w:numId="17" w16cid:durableId="1515654338">
    <w:abstractNumId w:val="1"/>
  </w:num>
  <w:num w:numId="18" w16cid:durableId="754325031">
    <w:abstractNumId w:val="1"/>
  </w:num>
  <w:num w:numId="19" w16cid:durableId="754715540">
    <w:abstractNumId w:val="0"/>
  </w:num>
  <w:num w:numId="20" w16cid:durableId="1209415593">
    <w:abstractNumId w:val="0"/>
  </w:num>
  <w:num w:numId="21" w16cid:durableId="656111288">
    <w:abstractNumId w:val="9"/>
  </w:num>
  <w:num w:numId="22" w16cid:durableId="1485271182">
    <w:abstractNumId w:val="7"/>
  </w:num>
  <w:num w:numId="23" w16cid:durableId="620771354">
    <w:abstractNumId w:val="6"/>
  </w:num>
  <w:num w:numId="24" w16cid:durableId="2090350133">
    <w:abstractNumId w:val="5"/>
  </w:num>
  <w:num w:numId="25" w16cid:durableId="777140641">
    <w:abstractNumId w:val="4"/>
  </w:num>
  <w:num w:numId="26" w16cid:durableId="767580606">
    <w:abstractNumId w:val="8"/>
  </w:num>
  <w:num w:numId="27" w16cid:durableId="2133789337">
    <w:abstractNumId w:val="3"/>
  </w:num>
  <w:num w:numId="28" w16cid:durableId="542328400">
    <w:abstractNumId w:val="2"/>
  </w:num>
  <w:num w:numId="29" w16cid:durableId="1804228788">
    <w:abstractNumId w:val="1"/>
  </w:num>
  <w:num w:numId="30" w16cid:durableId="1053238444">
    <w:abstractNumId w:val="0"/>
  </w:num>
  <w:num w:numId="31" w16cid:durableId="1207836166">
    <w:abstractNumId w:val="9"/>
  </w:num>
  <w:num w:numId="32" w16cid:durableId="723986919">
    <w:abstractNumId w:val="7"/>
  </w:num>
  <w:num w:numId="33" w16cid:durableId="1692997818">
    <w:abstractNumId w:val="6"/>
  </w:num>
  <w:num w:numId="34" w16cid:durableId="301816039">
    <w:abstractNumId w:val="5"/>
  </w:num>
  <w:num w:numId="35" w16cid:durableId="1194031119">
    <w:abstractNumId w:val="4"/>
  </w:num>
  <w:num w:numId="36" w16cid:durableId="1998532501">
    <w:abstractNumId w:val="8"/>
  </w:num>
  <w:num w:numId="37" w16cid:durableId="886071272">
    <w:abstractNumId w:val="3"/>
  </w:num>
  <w:num w:numId="38" w16cid:durableId="273484220">
    <w:abstractNumId w:val="2"/>
  </w:num>
  <w:num w:numId="39" w16cid:durableId="80034171">
    <w:abstractNumId w:val="1"/>
  </w:num>
  <w:num w:numId="40" w16cid:durableId="478115890">
    <w:abstractNumId w:val="0"/>
  </w:num>
  <w:num w:numId="41" w16cid:durableId="1112824396">
    <w:abstractNumId w:val="10"/>
  </w:num>
  <w:num w:numId="42" w16cid:durableId="1902328343">
    <w:abstractNumId w:val="10"/>
  </w:num>
  <w:num w:numId="43" w16cid:durableId="1236745351">
    <w:abstractNumId w:val="10"/>
  </w:num>
  <w:num w:numId="44" w16cid:durableId="2089619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mirrorMargins/>
  <w:bordersDoNotSurroundHeader/>
  <w:bordersDoNotSurroundFooter/>
  <w:proofState w:spelling="clean" w:grammar="clean"/>
  <w:stylePaneFormatFilter w:val="3F28" w:allStyles="0" w:alternateStyleNames="0" w:clearFormatting="1" w:customStyles="0" w:directFormattingOnNumbering="1" w:directFormattingOnParagraphs="1" w:directFormattingOnRuns="1" w:directFormattingOnTables="1" w:headingStyles="1" w:latentStyles="0" w:numberingStyles="0" w:stylesInUse="1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E8F"/>
    <w:rsid w:val="00002272"/>
    <w:rsid w:val="00007A63"/>
    <w:rsid w:val="00064002"/>
    <w:rsid w:val="000677B9"/>
    <w:rsid w:val="000831BA"/>
    <w:rsid w:val="000A1468"/>
    <w:rsid w:val="000A42CC"/>
    <w:rsid w:val="000A4CD0"/>
    <w:rsid w:val="000E7DD9"/>
    <w:rsid w:val="0010095E"/>
    <w:rsid w:val="00125B37"/>
    <w:rsid w:val="00172CC6"/>
    <w:rsid w:val="00187494"/>
    <w:rsid w:val="001C780E"/>
    <w:rsid w:val="001F32AE"/>
    <w:rsid w:val="002767FF"/>
    <w:rsid w:val="002B18FE"/>
    <w:rsid w:val="002B5493"/>
    <w:rsid w:val="002F34F6"/>
    <w:rsid w:val="00343214"/>
    <w:rsid w:val="00361C00"/>
    <w:rsid w:val="00395FA1"/>
    <w:rsid w:val="003E15D4"/>
    <w:rsid w:val="003E23B5"/>
    <w:rsid w:val="00411CCE"/>
    <w:rsid w:val="0041666E"/>
    <w:rsid w:val="00421060"/>
    <w:rsid w:val="00471C19"/>
    <w:rsid w:val="004867E3"/>
    <w:rsid w:val="00494A28"/>
    <w:rsid w:val="004C0004"/>
    <w:rsid w:val="004C5D52"/>
    <w:rsid w:val="0050498F"/>
    <w:rsid w:val="0050519A"/>
    <w:rsid w:val="005072A1"/>
    <w:rsid w:val="00514517"/>
    <w:rsid w:val="00545827"/>
    <w:rsid w:val="00545BE0"/>
    <w:rsid w:val="00560270"/>
    <w:rsid w:val="005C2568"/>
    <w:rsid w:val="005F1B17"/>
    <w:rsid w:val="006037C0"/>
    <w:rsid w:val="006631B6"/>
    <w:rsid w:val="00680577"/>
    <w:rsid w:val="006F74FA"/>
    <w:rsid w:val="00713F85"/>
    <w:rsid w:val="00731ADD"/>
    <w:rsid w:val="00734777"/>
    <w:rsid w:val="00747932"/>
    <w:rsid w:val="00751A4A"/>
    <w:rsid w:val="00756632"/>
    <w:rsid w:val="00762C74"/>
    <w:rsid w:val="00786EC0"/>
    <w:rsid w:val="00786F05"/>
    <w:rsid w:val="007D1690"/>
    <w:rsid w:val="007E11EB"/>
    <w:rsid w:val="007E22AD"/>
    <w:rsid w:val="008046BC"/>
    <w:rsid w:val="00817416"/>
    <w:rsid w:val="00842779"/>
    <w:rsid w:val="00865F67"/>
    <w:rsid w:val="00881A7B"/>
    <w:rsid w:val="008840E5"/>
    <w:rsid w:val="00887B3E"/>
    <w:rsid w:val="008C2AC6"/>
    <w:rsid w:val="008E56BC"/>
    <w:rsid w:val="008E6762"/>
    <w:rsid w:val="0091278F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4B99"/>
    <w:rsid w:val="00BD7BD8"/>
    <w:rsid w:val="00BE6ADC"/>
    <w:rsid w:val="00C05BFE"/>
    <w:rsid w:val="00C23CD4"/>
    <w:rsid w:val="00C61C0C"/>
    <w:rsid w:val="00C66124"/>
    <w:rsid w:val="00C941CB"/>
    <w:rsid w:val="00CA4338"/>
    <w:rsid w:val="00CC2357"/>
    <w:rsid w:val="00CF071A"/>
    <w:rsid w:val="00D0347C"/>
    <w:rsid w:val="00D058B8"/>
    <w:rsid w:val="00D56C11"/>
    <w:rsid w:val="00D834A0"/>
    <w:rsid w:val="00D872DF"/>
    <w:rsid w:val="00D91E21"/>
    <w:rsid w:val="00DA7FCD"/>
    <w:rsid w:val="00DF097F"/>
    <w:rsid w:val="00DF6481"/>
    <w:rsid w:val="00E365E1"/>
    <w:rsid w:val="00E81E8F"/>
    <w:rsid w:val="00E820A4"/>
    <w:rsid w:val="00EB006A"/>
    <w:rsid w:val="00EB4772"/>
    <w:rsid w:val="00ED169E"/>
    <w:rsid w:val="00ED4235"/>
    <w:rsid w:val="00F04346"/>
    <w:rsid w:val="00F05585"/>
    <w:rsid w:val="00F075DC"/>
    <w:rsid w:val="00F12A28"/>
    <w:rsid w:val="00F149E9"/>
    <w:rsid w:val="00F5134D"/>
    <w:rsid w:val="00F74202"/>
    <w:rsid w:val="00F87713"/>
    <w:rsid w:val="00FB4360"/>
    <w:rsid w:val="00FD0C70"/>
    <w:rsid w:val="00FD6E56"/>
  </w:rsids>
  <w:docVars>
    <w:docVar w:name="dvdocse" w:val="A10-0251/2025"/>
    <w:docVar w:name="dvlangue" w:val="FI"/>
    <w:docVar w:name="dvnumam" w:val="0"/>
    <w:docVar w:name="dvpe" w:val="774.423"/>
    <w:docVar w:name="dvrapporteur" w:val="Esittelijä: "/>
    <w:docVar w:name="dvstar" w:val="***I"/>
    <w:docVar w:name="dvtitre" w:val="Euroopan parlamentin lainsäädäntöpäätöslauselma xx. huhtikuuta 2026 ehdotuksesta Euroopan parlamentin ja neuvoston asetukseksi asetuksen (EU) 2021/691 muuttamisesta siltä osin kuin on kyse sellaisten työntekijöiden tukemisesta, joita uhkaa välitön työpaikan menettäminen rakenneuudistusten kohteena olevissa yrityksissä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D07FF93"/>
  <w15:chartTrackingRefBased/>
  <w15:docId w15:val="{68B89604-F2D6-4E68-914D-56C4E7DE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5585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713F85"/>
    <w:pPr>
      <w:spacing w:after="120"/>
    </w:pPr>
  </w:style>
  <w:style w:type="paragraph" w:customStyle="1" w:styleId="NormalBold">
    <w:name w:val="NormalBold"/>
    <w:basedOn w:val="Normal"/>
    <w:link w:val="NormalBoldChar"/>
    <w:rsid w:val="00713F85"/>
    <w:rPr>
      <w:b/>
    </w:rPr>
  </w:style>
  <w:style w:type="paragraph" w:customStyle="1" w:styleId="NormalHanging12a">
    <w:name w:val="NormalHanging12a"/>
    <w:basedOn w:val="Normal"/>
    <w:rsid w:val="00713F85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713F85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F05585"/>
    <w:pPr>
      <w:keepNext/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713F85"/>
    <w:pPr>
      <w:spacing w:before="240"/>
    </w:pPr>
    <w:rPr>
      <w:b/>
    </w:rPr>
  </w:style>
  <w:style w:type="paragraph" w:customStyle="1" w:styleId="EPComma">
    <w:name w:val="EPComma"/>
    <w:basedOn w:val="Normal"/>
    <w:rsid w:val="00713F85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713F85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713F85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713F85"/>
    <w:rPr>
      <w:b/>
      <w:sz w:val="24"/>
      <w:lang w:val="fi-FI"/>
    </w:rPr>
  </w:style>
  <w:style w:type="paragraph" w:customStyle="1" w:styleId="ColumnHeading">
    <w:name w:val="ColumnHeading"/>
    <w:basedOn w:val="Normal"/>
    <w:rsid w:val="00713F85"/>
    <w:pPr>
      <w:spacing w:after="240"/>
      <w:jc w:val="center"/>
    </w:pPr>
    <w:rPr>
      <w:i/>
    </w:rPr>
  </w:style>
  <w:style w:type="character" w:styleId="Hyperlink">
    <w:name w:val="Hyperlink"/>
    <w:basedOn w:val="DefaultParagraphFont"/>
    <w:uiPriority w:val="99"/>
    <w:rsid w:val="00713F85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713F85"/>
    <w:rPr>
      <w:b/>
      <w:sz w:val="24"/>
      <w:lang w:val="fi-FI"/>
    </w:rPr>
  </w:style>
  <w:style w:type="paragraph" w:styleId="Header">
    <w:name w:val="header"/>
    <w:basedOn w:val="Normal"/>
    <w:link w:val="HeaderChar"/>
    <w:rsid w:val="009127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1278F"/>
    <w:rPr>
      <w:sz w:val="24"/>
      <w:lang w:val="fi-FI"/>
    </w:rPr>
  </w:style>
  <w:style w:type="paragraph" w:styleId="Revision">
    <w:name w:val="Revision"/>
    <w:hidden/>
    <w:uiPriority w:val="99"/>
    <w:semiHidden/>
    <w:rsid w:val="008E56BC"/>
    <w:rPr>
      <w:sz w:val="24"/>
      <w:lang w:val="fi-FI"/>
    </w:rPr>
  </w:style>
  <w:style w:type="character" w:customStyle="1" w:styleId="Hyperlink2">
    <w:name w:val="Hyperlink2"/>
    <w:basedOn w:val="DefaultParagraphFont"/>
    <w:uiPriority w:val="99"/>
    <w:unhideWhenUsed/>
    <w:rsid w:val="00BD4B99"/>
    <w:rPr>
      <w:color w:val="0000FF"/>
      <w:u w:val="single"/>
    </w:rPr>
  </w:style>
  <w:style w:type="character" w:styleId="CommentReference">
    <w:name w:val="annotation reference"/>
    <w:basedOn w:val="DefaultParagraphFont"/>
    <w:rsid w:val="00BD4B99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4B9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D4B99"/>
    <w:rPr>
      <w:lang w:val="fi-FI"/>
    </w:rPr>
  </w:style>
  <w:style w:type="paragraph" w:styleId="CommentSubject">
    <w:name w:val="annotation subject"/>
    <w:basedOn w:val="CommentText"/>
    <w:next w:val="CommentText"/>
    <w:link w:val="CommentSubjectChar"/>
    <w:rsid w:val="00BD4B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D4B99"/>
    <w:rPr>
      <w:b/>
      <w:bCs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273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2026-09-03T08:08:00Z</dcterms:created>
  <dcterms:modified xsi:type="dcterms:W3CDTF">2026-09-03T08:08:00Z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