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48577131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86D8D" w:rsidP="0010095E" w14:paraId="2896C09D" w14:textId="77777777">
            <w:pPr>
              <w:pStyle w:val="EPName"/>
            </w:pPr>
            <w:r w:rsidRPr="00986D8D">
              <w:t>Parlement européen</w:t>
            </w:r>
          </w:p>
          <w:p w:rsidR="00751A4A" w:rsidRPr="00986D8D" w:rsidP="005F1B17" w14:paraId="3A680946" w14:textId="32C23851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1197B">
              <w:t>2024</w:t>
            </w:r>
            <w:r w:rsidRPr="00986D8D" w:rsidR="00817416">
              <w:t>-</w:t>
            </w:r>
            <w:r w:rsidRPr="0021197B">
              <w:t>2029</w:t>
            </w:r>
          </w:p>
        </w:tc>
        <w:tc>
          <w:tcPr>
            <w:tcW w:w="2268" w:type="dxa"/>
            <w:shd w:val="clear" w:color="auto" w:fill="auto"/>
          </w:tcPr>
          <w:p w:rsidR="00751A4A" w:rsidRPr="00986D8D" w:rsidP="0010095E" w14:paraId="44388BC9" w14:textId="77777777">
            <w:pPr>
              <w:pStyle w:val="EPLogo"/>
            </w:pPr>
            <w:r w:rsidRPr="00986D8D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86D8D" w:rsidP="004C5D52" w14:paraId="5D9E301A" w14:textId="77777777">
      <w:pPr>
        <w:pStyle w:val="LineTop"/>
      </w:pPr>
    </w:p>
    <w:p w:rsidR="00680577" w:rsidRPr="00986D8D" w:rsidP="00680577" w14:paraId="18A84458" w14:textId="77777777">
      <w:pPr>
        <w:pStyle w:val="EPBodyTA1"/>
      </w:pPr>
      <w:r w:rsidRPr="00986D8D">
        <w:t>TEXTES ADOPTÉS</w:t>
      </w:r>
    </w:p>
    <w:p w:rsidR="00D058B8" w:rsidRPr="00986D8D" w:rsidP="00D058B8" w14:paraId="0A5290DB" w14:textId="77777777">
      <w:pPr>
        <w:pStyle w:val="LineBottom"/>
      </w:pPr>
    </w:p>
    <w:p w:rsidR="004453DB" w:rsidRPr="00FA4417" w:rsidP="004453DB" w14:paraId="1C8BCD78" w14:textId="269F7E77">
      <w:pPr>
        <w:pStyle w:val="ATHeading1"/>
      </w:pPr>
      <w:bookmarkStart w:id="0" w:name="TANumber"/>
      <w:r w:rsidRPr="00FA4417">
        <w:t>P</w:t>
      </w:r>
      <w:r w:rsidRPr="0021197B" w:rsidR="0021197B">
        <w:t>10</w:t>
      </w:r>
      <w:r w:rsidRPr="00FA4417">
        <w:t>_TA(</w:t>
      </w:r>
      <w:r w:rsidRPr="0021197B" w:rsidR="0021197B">
        <w:t>2026</w:t>
      </w:r>
      <w:r w:rsidRPr="00FA4417">
        <w:t>)</w:t>
      </w:r>
      <w:bookmarkEnd w:id="0"/>
      <w:r w:rsidRPr="0021197B" w:rsidR="0021197B">
        <w:t>0116</w:t>
      </w:r>
    </w:p>
    <w:p w:rsidR="004453DB" w:rsidRPr="00FA4417" w:rsidP="004453DB" w14:paraId="3A563901" w14:textId="17F34191">
      <w:pPr>
        <w:pStyle w:val="ATHeading2"/>
      </w:pPr>
      <w:r w:rsidRPr="00FA4417">
        <w:t>Fonds européen d'ajustement à la mondialisation: travailleurs concernés par un licenciement imminent</w:t>
      </w:r>
    </w:p>
    <w:p w:rsidR="004453DB" w:rsidRPr="00FA4417" w:rsidP="004453DB" w14:paraId="18D5AEFC" w14:textId="5B0B7688">
      <w:pPr>
        <w:rPr>
          <w:i/>
          <w:vanish/>
          <w:lang w:val="fr-BE"/>
        </w:rPr>
      </w:pPr>
      <w:r>
        <w:rPr>
          <w:i/>
        </w:rPr>
        <w:fldChar w:fldCharType="begin"/>
      </w:r>
      <w:r w:rsidRPr="00FA4417">
        <w:rPr>
          <w:i/>
          <w:lang w:val="fr-BE"/>
        </w:rPr>
        <w:instrText xml:space="preserve"> TC"(</w:instrText>
      </w:r>
      <w:bookmarkStart w:id="1" w:name="DocNumber"/>
      <w:r w:rsidRPr="00FA4417">
        <w:rPr>
          <w:i/>
          <w:lang w:val="fr-BE"/>
        </w:rPr>
        <w:instrText>A</w:instrText>
      </w:r>
      <w:r w:rsidRPr="0021197B" w:rsidR="0021197B">
        <w:rPr>
          <w:i/>
          <w:lang w:val="fr-BE"/>
        </w:rPr>
        <w:instrText>10</w:instrText>
      </w:r>
      <w:r w:rsidRPr="00FA4417">
        <w:rPr>
          <w:i/>
          <w:lang w:val="fr-BE"/>
        </w:rPr>
        <w:instrText>-</w:instrText>
      </w:r>
      <w:r w:rsidRPr="0021197B" w:rsidR="0021197B">
        <w:rPr>
          <w:i/>
          <w:lang w:val="fr-BE"/>
        </w:rPr>
        <w:instrText>0251</w:instrText>
      </w:r>
      <w:r w:rsidRPr="00FA4417">
        <w:rPr>
          <w:i/>
          <w:lang w:val="fr-BE"/>
        </w:rPr>
        <w:instrText>/</w:instrText>
      </w:r>
      <w:r w:rsidRPr="0021197B" w:rsidR="0021197B">
        <w:rPr>
          <w:i/>
          <w:lang w:val="fr-BE"/>
        </w:rPr>
        <w:instrText>20</w:instrText>
      </w:r>
      <w:bookmarkEnd w:id="1"/>
      <w:r w:rsidRPr="0021197B" w:rsidR="0021197B">
        <w:rPr>
          <w:i/>
          <w:lang w:val="fr-BE"/>
        </w:rPr>
        <w:instrText>25</w:instrText>
      </w:r>
      <w:r w:rsidRPr="00FA4417">
        <w:rPr>
          <w:i/>
          <w:lang w:val="fr-BE"/>
        </w:rPr>
        <w:instrText xml:space="preserve"> - </w:instrText>
      </w:r>
      <w:r w:rsidRPr="00FA4417">
        <w:rPr>
          <w:i/>
          <w:lang w:val="fr-BE"/>
        </w:rPr>
        <w:instrText>Rapporteure</w:instrText>
      </w:r>
      <w:r w:rsidRPr="00FA4417">
        <w:rPr>
          <w:i/>
          <w:lang w:val="fr-BE"/>
        </w:rPr>
        <w:instrText xml:space="preserve">: </w:instrText>
      </w:r>
      <w:r w:rsidRPr="00FA4417">
        <w:rPr>
          <w:i/>
          <w:lang w:val="fr-BE"/>
        </w:rPr>
        <w:instrText>Liesbet</w:instrText>
      </w:r>
      <w:r w:rsidRPr="00FA4417">
        <w:rPr>
          <w:i/>
          <w:lang w:val="fr-BE"/>
        </w:rPr>
        <w:instrText xml:space="preserve"> </w:instrText>
      </w:r>
      <w:r w:rsidRPr="00FA4417">
        <w:rPr>
          <w:i/>
          <w:lang w:val="fr-BE"/>
        </w:rPr>
        <w:instrText>Sommen</w:instrText>
      </w:r>
      <w:r w:rsidRPr="00FA4417">
        <w:rPr>
          <w:i/>
          <w:lang w:val="fr-BE"/>
        </w:rPr>
        <w:instrText>)"\l</w:instrText>
      </w:r>
      <w:r w:rsidRPr="0021197B" w:rsidR="0021197B">
        <w:rPr>
          <w:i/>
          <w:lang w:val="fr-BE"/>
        </w:rPr>
        <w:instrText>3</w:instrText>
      </w:r>
      <w:r w:rsidRPr="00FA4417">
        <w:rPr>
          <w:i/>
          <w:lang w:val="fr-BE"/>
        </w:rPr>
        <w:instrText xml:space="preserve"> \n&gt; \* MERGEFORMAT </w:instrText>
      </w:r>
      <w:r>
        <w:rPr>
          <w:i/>
        </w:rPr>
        <w:fldChar w:fldCharType="end"/>
      </w:r>
    </w:p>
    <w:p w:rsidR="004453DB" w:rsidRPr="00FA4417" w:rsidP="004453DB" w14:paraId="58A6C84C" w14:textId="77777777">
      <w:pPr>
        <w:rPr>
          <w:vanish/>
          <w:lang w:val="fr-BE"/>
        </w:rPr>
      </w:pPr>
      <w:bookmarkStart w:id="2" w:name="Commission"/>
      <w:r w:rsidRPr="00FA4417">
        <w:rPr>
          <w:vanish/>
          <w:lang w:val="fr-BE"/>
        </w:rPr>
        <w:t>Commission de l’emploi et des affaires sociales</w:t>
      </w:r>
      <w:bookmarkEnd w:id="2"/>
    </w:p>
    <w:p w:rsidR="004453DB" w:rsidRPr="00FA4417" w:rsidP="004453DB" w14:paraId="115EE1C8" w14:textId="7C2ADD8A">
      <w:pPr>
        <w:rPr>
          <w:vanish/>
        </w:rPr>
      </w:pPr>
      <w:bookmarkStart w:id="3" w:name="PE"/>
      <w:r w:rsidRPr="00FA4417">
        <w:rPr>
          <w:vanish/>
        </w:rPr>
        <w:t>PE</w:t>
      </w:r>
      <w:r w:rsidRPr="0021197B" w:rsidR="0021197B">
        <w:rPr>
          <w:vanish/>
        </w:rPr>
        <w:t>774</w:t>
      </w:r>
      <w:r w:rsidRPr="00FA4417">
        <w:rPr>
          <w:vanish/>
        </w:rPr>
        <w:t>.</w:t>
      </w:r>
      <w:r w:rsidRPr="0021197B" w:rsidR="0021197B">
        <w:rPr>
          <w:vanish/>
        </w:rPr>
        <w:t>4</w:t>
      </w:r>
      <w:bookmarkEnd w:id="3"/>
      <w:r w:rsidRPr="0021197B" w:rsidR="0021197B">
        <w:rPr>
          <w:vanish/>
        </w:rPr>
        <w:t>23</w:t>
      </w:r>
    </w:p>
    <w:p w:rsidR="004453DB" w:rsidRPr="00FA4417" w:rsidP="004453DB" w14:paraId="000864CA" w14:textId="5E3D5E38">
      <w:pPr>
        <w:pStyle w:val="ATHeading3"/>
      </w:pPr>
      <w:bookmarkStart w:id="4" w:name="Sujet"/>
      <w:r w:rsidRPr="00FA4417">
        <w:t xml:space="preserve">Résolution législative du Parlement européen du </w:t>
      </w:r>
      <w:r w:rsidRPr="0021197B" w:rsidR="0021197B">
        <w:t>28</w:t>
      </w:r>
      <w:r w:rsidRPr="00FA4417" w:rsidR="00C20920">
        <w:t xml:space="preserve"> avril</w:t>
      </w:r>
      <w:r w:rsidRPr="00FA4417">
        <w:t xml:space="preserve"> </w:t>
      </w:r>
      <w:r w:rsidRPr="0021197B" w:rsidR="0021197B">
        <w:t>2026</w:t>
      </w:r>
      <w:r w:rsidRPr="00FA4417">
        <w:t xml:space="preserve"> sur la proposition de règlement du Parlement européen et du Conseil modifiant le règlement (UE) </w:t>
      </w:r>
      <w:r w:rsidRPr="0021197B" w:rsidR="0021197B">
        <w:t>2021</w:t>
      </w:r>
      <w:r w:rsidRPr="00FA4417">
        <w:t>/</w:t>
      </w:r>
      <w:r w:rsidRPr="0021197B" w:rsidR="0021197B">
        <w:t>691</w:t>
      </w:r>
      <w:r w:rsidRPr="00FA4417">
        <w:t xml:space="preserve"> en ce qui concerne le soutien aux travailleurs concernés par un licenciement imminent dans des entreprises en cours de restructuration</w:t>
      </w:r>
      <w:bookmarkEnd w:id="4"/>
      <w:r w:rsidRPr="00FA4417">
        <w:t xml:space="preserve"> </w:t>
      </w:r>
      <w:bookmarkStart w:id="5" w:name="References"/>
      <w:r w:rsidRPr="00FA4417">
        <w:t>(COM(</w:t>
      </w:r>
      <w:r w:rsidRPr="0021197B" w:rsidR="0021197B">
        <w:t>2025</w:t>
      </w:r>
      <w:r w:rsidRPr="00FA4417">
        <w:t>)</w:t>
      </w:r>
      <w:r w:rsidRPr="0021197B" w:rsidR="0021197B">
        <w:t>0140</w:t>
      </w:r>
      <w:r w:rsidRPr="00FA4417">
        <w:t xml:space="preserve"> – C</w:t>
      </w:r>
      <w:r w:rsidRPr="0021197B" w:rsidR="0021197B">
        <w:t>10</w:t>
      </w:r>
      <w:r w:rsidRPr="00FA4417">
        <w:t>-</w:t>
      </w:r>
      <w:r w:rsidRPr="0021197B" w:rsidR="0021197B">
        <w:t>0060</w:t>
      </w:r>
      <w:r w:rsidRPr="00FA4417">
        <w:t>/</w:t>
      </w:r>
      <w:r w:rsidRPr="0021197B" w:rsidR="0021197B">
        <w:t>2025</w:t>
      </w:r>
      <w:r w:rsidRPr="00FA4417">
        <w:t xml:space="preserve"> – </w:t>
      </w:r>
      <w:r w:rsidRPr="0021197B" w:rsidR="0021197B">
        <w:t>2025</w:t>
      </w:r>
      <w:r w:rsidRPr="00FA4417">
        <w:t>/</w:t>
      </w:r>
      <w:r w:rsidRPr="0021197B" w:rsidR="0021197B">
        <w:t>0073</w:t>
      </w:r>
      <w:r w:rsidRPr="00FA4417">
        <w:t>(COD))</w:t>
      </w:r>
      <w:bookmarkEnd w:id="5"/>
    </w:p>
    <w:p w:rsidR="00C20920" w:rsidRPr="00FA4417" w:rsidP="00C20920" w14:paraId="3681531A" w14:textId="77777777">
      <w:pPr>
        <w:pStyle w:val="NormalBold"/>
      </w:pPr>
      <w:r w:rsidRPr="00FA4417">
        <w:t>(Procédure législative ordinaire: première lecture)</w:t>
      </w:r>
    </w:p>
    <w:p w:rsidR="00116BC0" w:rsidRPr="00FA4417" w:rsidP="00116BC0" w14:paraId="3C99AEAB" w14:textId="77777777">
      <w:pPr>
        <w:pStyle w:val="EPComma"/>
      </w:pPr>
      <w:r w:rsidRPr="00FA4417">
        <w:rPr>
          <w:i/>
        </w:rPr>
        <w:t>Le Parlement européen</w:t>
      </w:r>
      <w:r w:rsidRPr="00FA4417">
        <w:t>,</w:t>
      </w:r>
    </w:p>
    <w:p w:rsidR="00116BC0" w:rsidRPr="00FA4417" w:rsidP="00116BC0" w14:paraId="6ECEAE29" w14:textId="0F8E156E">
      <w:pPr>
        <w:pStyle w:val="NormalHanging12a"/>
      </w:pPr>
      <w:r w:rsidRPr="00FA4417">
        <w:t>–</w:t>
      </w:r>
      <w:r w:rsidRPr="00FA4417">
        <w:tab/>
        <w:t>vu la proposition de la Commission au Parlement européen et au Conseil (COM(</w:t>
      </w:r>
      <w:r w:rsidRPr="0021197B" w:rsidR="0021197B">
        <w:t>2025</w:t>
      </w:r>
      <w:r w:rsidRPr="00FA4417">
        <w:t>)</w:t>
      </w:r>
      <w:r w:rsidRPr="0021197B" w:rsidR="0021197B">
        <w:t>0140</w:t>
      </w:r>
      <w:r w:rsidRPr="00FA4417">
        <w:t>),</w:t>
      </w:r>
    </w:p>
    <w:p w:rsidR="00116BC0" w:rsidRPr="00FA4417" w:rsidP="00116BC0" w14:paraId="09FC4526" w14:textId="0DBE8DC9">
      <w:pPr>
        <w:pStyle w:val="NormalHanging12a"/>
      </w:pPr>
      <w:r w:rsidRPr="00FA4417">
        <w:t>–</w:t>
      </w:r>
      <w:r w:rsidRPr="00FA4417">
        <w:tab/>
        <w:t>vu l’article </w:t>
      </w:r>
      <w:r w:rsidRPr="0021197B" w:rsidR="0021197B">
        <w:t>294</w:t>
      </w:r>
      <w:r w:rsidRPr="00FA4417">
        <w:t>, paragraphe </w:t>
      </w:r>
      <w:r w:rsidRPr="0021197B" w:rsidR="0021197B">
        <w:t>2</w:t>
      </w:r>
      <w:r w:rsidRPr="00FA4417">
        <w:t>, et l’article </w:t>
      </w:r>
      <w:r w:rsidRPr="0021197B" w:rsidR="0021197B">
        <w:t>175</w:t>
      </w:r>
      <w:r w:rsidRPr="00FA4417">
        <w:t xml:space="preserve"> du traité sur le fonctionnement de l’Union européenne, conformément auxquels la proposition lui a été présentée par la Commission (C</w:t>
      </w:r>
      <w:r w:rsidRPr="0021197B" w:rsidR="0021197B">
        <w:t>10</w:t>
      </w:r>
      <w:r w:rsidRPr="00FA4417">
        <w:t>-</w:t>
      </w:r>
      <w:r w:rsidRPr="0021197B" w:rsidR="0021197B">
        <w:t>0060</w:t>
      </w:r>
      <w:r w:rsidRPr="00FA4417">
        <w:t>/</w:t>
      </w:r>
      <w:r w:rsidRPr="0021197B" w:rsidR="0021197B">
        <w:t>2025</w:t>
      </w:r>
      <w:r w:rsidRPr="00FA4417">
        <w:t>),</w:t>
      </w:r>
    </w:p>
    <w:p w:rsidR="00116BC0" w:rsidRPr="00FA4417" w:rsidP="00116BC0" w14:paraId="2DF565CC" w14:textId="12BE4E3D">
      <w:pPr>
        <w:pStyle w:val="NormalHanging12a"/>
      </w:pPr>
      <w:r w:rsidRPr="00FA4417">
        <w:t>–</w:t>
      </w:r>
      <w:r w:rsidRPr="00FA4417">
        <w:tab/>
        <w:t>vu l’article </w:t>
      </w:r>
      <w:r w:rsidRPr="0021197B" w:rsidR="0021197B">
        <w:t>294</w:t>
      </w:r>
      <w:r w:rsidRPr="00FA4417">
        <w:t>, paragraphe </w:t>
      </w:r>
      <w:r w:rsidRPr="0021197B" w:rsidR="0021197B">
        <w:t>3</w:t>
      </w:r>
      <w:r w:rsidRPr="00FA4417">
        <w:t>, du traité sur le fonctionnement de l’Union européenne,</w:t>
      </w:r>
    </w:p>
    <w:p w:rsidR="00116BC0" w:rsidRPr="00FA4417" w:rsidP="00116BC0" w14:paraId="3A4F1648" w14:textId="77777777">
      <w:pPr>
        <w:pStyle w:val="NormalHanging12a"/>
      </w:pPr>
      <w:r w:rsidRPr="00FA4417">
        <w:t>–</w:t>
      </w:r>
      <w:r w:rsidRPr="00FA4417">
        <w:tab/>
        <w:t>vu l’évaluation budgétaire par la commission des budgets,</w:t>
      </w:r>
    </w:p>
    <w:p w:rsidR="00B84266" w:rsidRPr="00FA4417" w:rsidP="00B84266" w14:paraId="329FF989" w14:textId="47048BE3">
      <w:pPr>
        <w:pStyle w:val="NormalHanging12a"/>
      </w:pPr>
      <w:r w:rsidRPr="00FA4417">
        <w:t>–</w:t>
      </w:r>
      <w:r w:rsidRPr="00FA4417">
        <w:tab/>
        <w:t>vu l’avis du Comité économique et social européen du </w:t>
      </w:r>
      <w:r w:rsidRPr="0021197B" w:rsidR="0021197B">
        <w:t>19</w:t>
      </w:r>
      <w:r w:rsidRPr="00FA4417">
        <w:t> juin </w:t>
      </w:r>
      <w:r w:rsidRPr="0021197B" w:rsidR="0021197B">
        <w:t>2025</w:t>
      </w:r>
      <w:r>
        <w:rPr>
          <w:rStyle w:val="FootnoteReference"/>
        </w:rPr>
        <w:footnoteReference w:id="2"/>
      </w:r>
      <w:r w:rsidRPr="00FA4417">
        <w:t>,</w:t>
      </w:r>
    </w:p>
    <w:p w:rsidR="00B84266" w:rsidRPr="00FA4417" w:rsidP="00B84266" w14:paraId="57D70A35" w14:textId="7CDE133F">
      <w:pPr>
        <w:pStyle w:val="NormalHanging12a"/>
      </w:pPr>
      <w:r w:rsidRPr="00FA4417">
        <w:t>–</w:t>
      </w:r>
      <w:r w:rsidRPr="00FA4417">
        <w:tab/>
        <w:t xml:space="preserve">vu l’avis du Comité des régions du </w:t>
      </w:r>
      <w:r w:rsidRPr="0021197B" w:rsidR="0021197B">
        <w:t>3</w:t>
      </w:r>
      <w:r w:rsidRPr="00FA4417">
        <w:t> juillet </w:t>
      </w:r>
      <w:r w:rsidRPr="0021197B" w:rsidR="0021197B">
        <w:t>2025</w:t>
      </w:r>
      <w:r>
        <w:rPr>
          <w:rStyle w:val="FootnoteReference"/>
        </w:rPr>
        <w:footnoteReference w:id="3"/>
      </w:r>
      <w:r w:rsidRPr="00FA4417">
        <w:t>,</w:t>
      </w:r>
    </w:p>
    <w:p w:rsidR="00F42D88" w:rsidRPr="00FA4417" w:rsidP="00116BC0" w14:paraId="0B468FC3" w14:textId="632847B8">
      <w:pPr>
        <w:pStyle w:val="NormalHanging12a"/>
      </w:pPr>
      <w:r w:rsidRPr="00FA4417">
        <w:t>–</w:t>
      </w:r>
      <w:r w:rsidRPr="00FA4417">
        <w:tab/>
        <w:t xml:space="preserve">vu l’accord provisoire approuvé en vertu de l’article </w:t>
      </w:r>
      <w:r w:rsidRPr="0021197B" w:rsidR="0021197B">
        <w:t>75</w:t>
      </w:r>
      <w:r w:rsidRPr="00FA4417">
        <w:t xml:space="preserve">, paragraphe </w:t>
      </w:r>
      <w:r w:rsidRPr="0021197B" w:rsidR="0021197B">
        <w:t>4</w:t>
      </w:r>
      <w:r w:rsidRPr="00FA4417">
        <w:t xml:space="preserve">, de son règlement intérieur par la commission compétente et l’engagement pris par le représentant du Conseil, par lettre du </w:t>
      </w:r>
      <w:r w:rsidRPr="0021197B" w:rsidR="0021197B">
        <w:t>11</w:t>
      </w:r>
      <w:r w:rsidRPr="00FA4417">
        <w:t xml:space="preserve"> mars </w:t>
      </w:r>
      <w:r w:rsidRPr="0021197B" w:rsidR="0021197B">
        <w:t>2026</w:t>
      </w:r>
      <w:r w:rsidRPr="00FA4417">
        <w:t xml:space="preserve">, d’approuver la position du Parlement européen, conformément à l’article </w:t>
      </w:r>
      <w:r w:rsidRPr="0021197B" w:rsidR="0021197B">
        <w:t>294</w:t>
      </w:r>
      <w:r w:rsidRPr="00FA4417">
        <w:t xml:space="preserve">, paragraphe </w:t>
      </w:r>
      <w:r w:rsidRPr="0021197B" w:rsidR="0021197B">
        <w:t>4</w:t>
      </w:r>
      <w:r w:rsidRPr="00FA4417">
        <w:t>, du traité sur le fonctionnement de l’Union européenne,</w:t>
      </w:r>
    </w:p>
    <w:p w:rsidR="00116BC0" w:rsidRPr="00FA4417" w:rsidP="00116BC0" w14:paraId="0823DE67" w14:textId="77D8751A">
      <w:pPr>
        <w:pStyle w:val="NormalHanging12a"/>
      </w:pPr>
      <w:r w:rsidRPr="00FA4417">
        <w:t>–</w:t>
      </w:r>
      <w:r w:rsidRPr="00FA4417">
        <w:tab/>
        <w:t>vu les articles </w:t>
      </w:r>
      <w:r w:rsidRPr="0021197B" w:rsidR="0021197B">
        <w:t>60</w:t>
      </w:r>
      <w:r w:rsidRPr="00FA4417">
        <w:t xml:space="preserve"> et </w:t>
      </w:r>
      <w:r w:rsidRPr="0021197B" w:rsidR="0021197B">
        <w:t>58</w:t>
      </w:r>
      <w:r w:rsidRPr="00FA4417">
        <w:t xml:space="preserve"> de son règlement intérieur,</w:t>
      </w:r>
    </w:p>
    <w:p w:rsidR="00116BC0" w:rsidRPr="00FA4417" w:rsidP="00116BC0" w14:paraId="2678F34C" w14:textId="20E1EA05">
      <w:pPr>
        <w:pStyle w:val="NormalHanging12a"/>
      </w:pPr>
      <w:r w:rsidRPr="00FA4417">
        <w:t>–</w:t>
      </w:r>
      <w:r w:rsidRPr="00FA4417">
        <w:tab/>
        <w:t>vu le rapport de la commission de l’emploi et des affaires sociales (A</w:t>
      </w:r>
      <w:r w:rsidRPr="0021197B" w:rsidR="0021197B">
        <w:t>10</w:t>
      </w:r>
      <w:r w:rsidRPr="00FA4417">
        <w:t>-</w:t>
      </w:r>
      <w:r w:rsidRPr="0021197B" w:rsidR="0021197B">
        <w:t>0251</w:t>
      </w:r>
      <w:r w:rsidRPr="00FA4417">
        <w:t>/</w:t>
      </w:r>
      <w:r w:rsidRPr="0021197B" w:rsidR="0021197B">
        <w:t>2025</w:t>
      </w:r>
      <w:r w:rsidRPr="00FA4417">
        <w:t>),</w:t>
      </w:r>
    </w:p>
    <w:p w:rsidR="00116BC0" w:rsidRPr="00FA4417" w:rsidP="00116BC0" w14:paraId="091A7E3C" w14:textId="63A724A0">
      <w:pPr>
        <w:pStyle w:val="NormalHanging12a"/>
      </w:pPr>
      <w:r w:rsidRPr="0021197B">
        <w:t>1</w:t>
      </w:r>
      <w:r w:rsidRPr="00FA4417">
        <w:t>.</w:t>
      </w:r>
      <w:r w:rsidRPr="00FA4417">
        <w:tab/>
        <w:t>arrête la position en première lecture figurant ci-après;</w:t>
      </w:r>
    </w:p>
    <w:p w:rsidR="00116BC0" w:rsidRPr="00FA4417" w:rsidP="00116BC0" w14:paraId="58696C2F" w14:textId="0FF202E0">
      <w:pPr>
        <w:pStyle w:val="NormalHanging12a"/>
      </w:pPr>
      <w:r w:rsidRPr="0021197B">
        <w:t>2</w:t>
      </w:r>
      <w:r w:rsidRPr="00FA4417">
        <w:t>.</w:t>
      </w:r>
      <w:r w:rsidRPr="00FA4417">
        <w:tab/>
        <w:t>demande à la Commission de le saisir à nouveau, si elle remplace, modifie de manière substantielle ou entend modifier de manière substantielle sa proposition;</w:t>
      </w:r>
    </w:p>
    <w:p w:rsidR="00116BC0" w:rsidRPr="00FA4417" w:rsidP="00116BC0" w14:paraId="5F681D3D" w14:textId="6E8B09F7">
      <w:pPr>
        <w:pStyle w:val="NormalHanging12a"/>
      </w:pPr>
      <w:r w:rsidRPr="0021197B">
        <w:t>3</w:t>
      </w:r>
      <w:r w:rsidRPr="00FA4417">
        <w:t>.</w:t>
      </w:r>
      <w:r w:rsidRPr="00FA4417">
        <w:tab/>
        <w:t>charge sa Présidente de transmettre la position du Parlement au Conseil et à la Commission ainsi qu’aux parlements nationaux.</w:t>
      </w:r>
    </w:p>
    <w:p w:rsidR="0021197B" w:rsidP="008917C0" w14:paraId="4EB742C8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Sect="00986D8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8917C0" w:rsidRPr="00FA4417" w:rsidP="008917C0" w14:paraId="3A146EF3" w14:textId="4E0DC70B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A4417">
        <w:rPr>
          <w:rFonts w:eastAsia="Calibri"/>
          <w:b/>
          <w:bCs/>
          <w:color w:val="000000"/>
          <w:szCs w:val="24"/>
        </w:rPr>
        <w:t>P</w:t>
      </w:r>
      <w:r w:rsidRPr="0021197B" w:rsidR="0021197B">
        <w:rPr>
          <w:rFonts w:eastAsia="Calibri"/>
          <w:b/>
          <w:bCs/>
          <w:color w:val="000000"/>
          <w:szCs w:val="24"/>
        </w:rPr>
        <w:t>10</w:t>
      </w:r>
      <w:r w:rsidRPr="00FA4417">
        <w:rPr>
          <w:rFonts w:eastAsia="Calibri"/>
          <w:b/>
          <w:bCs/>
          <w:color w:val="000000"/>
          <w:szCs w:val="24"/>
        </w:rPr>
        <w:t>_TC</w:t>
      </w:r>
      <w:r w:rsidRPr="0021197B" w:rsidR="0021197B">
        <w:rPr>
          <w:rFonts w:eastAsia="Calibri"/>
          <w:b/>
          <w:bCs/>
          <w:color w:val="000000"/>
          <w:szCs w:val="24"/>
        </w:rPr>
        <w:t>1</w:t>
      </w:r>
      <w:r w:rsidRPr="00FA4417">
        <w:rPr>
          <w:rFonts w:eastAsia="Calibri"/>
          <w:b/>
          <w:bCs/>
          <w:color w:val="000000"/>
          <w:szCs w:val="24"/>
        </w:rPr>
        <w:t>-COD(</w:t>
      </w:r>
      <w:r w:rsidRPr="0021197B" w:rsidR="0021197B">
        <w:rPr>
          <w:rFonts w:eastAsia="Calibri"/>
          <w:b/>
          <w:bCs/>
          <w:color w:val="000000"/>
          <w:szCs w:val="24"/>
        </w:rPr>
        <w:t>2025</w:t>
      </w:r>
      <w:r w:rsidRPr="00FA4417">
        <w:rPr>
          <w:rFonts w:eastAsia="Calibri"/>
          <w:b/>
          <w:bCs/>
          <w:color w:val="000000"/>
          <w:szCs w:val="24"/>
        </w:rPr>
        <w:t>)</w:t>
      </w:r>
      <w:r w:rsidRPr="0021197B" w:rsidR="0021197B">
        <w:rPr>
          <w:rFonts w:eastAsia="Calibri"/>
          <w:b/>
          <w:bCs/>
          <w:color w:val="000000"/>
          <w:szCs w:val="24"/>
        </w:rPr>
        <w:t>0073</w:t>
      </w:r>
    </w:p>
    <w:p w:rsidR="008917C0" w:rsidP="008917C0" w14:paraId="37A0B611" w14:textId="21DF17CD">
      <w:pPr>
        <w:spacing w:after="240"/>
        <w:rPr>
          <w:b/>
        </w:rPr>
      </w:pPr>
      <w:bookmarkStart w:id="6" w:name="_Hlk223945093"/>
      <w:r w:rsidRPr="00FA4417">
        <w:rPr>
          <w:b/>
        </w:rPr>
        <w:t xml:space="preserve">Position du Parlement européen arrêtée en première lecture le </w:t>
      </w:r>
      <w:r w:rsidRPr="0021197B" w:rsidR="0021197B">
        <w:rPr>
          <w:b/>
        </w:rPr>
        <w:t>28</w:t>
      </w:r>
      <w:r w:rsidRPr="00FA4417">
        <w:rPr>
          <w:b/>
        </w:rPr>
        <w:t xml:space="preserve"> avril </w:t>
      </w:r>
      <w:r w:rsidRPr="0021197B" w:rsidR="0021197B">
        <w:rPr>
          <w:b/>
        </w:rPr>
        <w:t>2026</w:t>
      </w:r>
      <w:r w:rsidRPr="00FA4417">
        <w:rPr>
          <w:b/>
        </w:rPr>
        <w:t xml:space="preserve"> en vue de l’adoption du règlement (UE)</w:t>
      </w:r>
      <w:r w:rsidRPr="00FA4417" w:rsidR="00DA3D3B">
        <w:rPr>
          <w:b/>
        </w:rPr>
        <w:t xml:space="preserve"> </w:t>
      </w:r>
      <w:r w:rsidRPr="0021197B" w:rsidR="0021197B">
        <w:rPr>
          <w:b/>
        </w:rPr>
        <w:t>2026</w:t>
      </w:r>
      <w:r w:rsidRPr="00FA4417">
        <w:rPr>
          <w:b/>
        </w:rPr>
        <w:t xml:space="preserve">/... du Parlement européen et du Conseil modifiant le règlement (UE) </w:t>
      </w:r>
      <w:r w:rsidRPr="0021197B" w:rsidR="0021197B">
        <w:rPr>
          <w:b/>
        </w:rPr>
        <w:t>2021</w:t>
      </w:r>
      <w:r w:rsidRPr="00FA4417">
        <w:rPr>
          <w:b/>
        </w:rPr>
        <w:t>/</w:t>
      </w:r>
      <w:r w:rsidRPr="0021197B" w:rsidR="0021197B">
        <w:rPr>
          <w:b/>
        </w:rPr>
        <w:t>691</w:t>
      </w:r>
      <w:r w:rsidRPr="00FA4417">
        <w:rPr>
          <w:b/>
        </w:rPr>
        <w:t xml:space="preserve"> en ce qui concerne le soutien aux travailleurs concernés par un licenciement imminent dans des entreprises en cours de restructuration</w:t>
      </w:r>
    </w:p>
    <w:p w:rsidR="002303DC" w:rsidRPr="0070765D" w:rsidP="002303DC" w14:paraId="657590DD" w14:textId="54908DBA">
      <w:pPr>
        <w:pStyle w:val="Datedadoption"/>
        <w:spacing w:after="240" w:line="240" w:lineRule="auto"/>
        <w:jc w:val="left"/>
        <w:rPr>
          <w:b w:val="0"/>
          <w:i/>
          <w:szCs w:val="24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le règlement (UE) 202</w:t>
      </w:r>
      <w:r>
        <w:rPr>
          <w:b w:val="0"/>
          <w:i/>
          <w:szCs w:val="24"/>
        </w:rPr>
        <w:t>6</w:t>
      </w:r>
      <w:r w:rsidRPr="0070765D">
        <w:rPr>
          <w:b w:val="0"/>
          <w:i/>
          <w:szCs w:val="24"/>
        </w:rPr>
        <w:t>/</w:t>
      </w:r>
      <w:r>
        <w:rPr>
          <w:b w:val="0"/>
          <w:i/>
          <w:szCs w:val="24"/>
        </w:rPr>
        <w:t>1139</w:t>
      </w:r>
      <w:r w:rsidRPr="0070765D">
        <w:rPr>
          <w:b w:val="0"/>
          <w:i/>
          <w:szCs w:val="24"/>
        </w:rPr>
        <w:t>.)</w:t>
      </w:r>
    </w:p>
    <w:p w:rsidR="002303DC" w:rsidRPr="002303DC" w:rsidP="008917C0" w14:paraId="04B63C58" w14:textId="77777777">
      <w:pPr>
        <w:spacing w:after="240"/>
        <w:rPr>
          <w:b/>
        </w:rPr>
      </w:pPr>
    </w:p>
    <w:bookmarkEnd w:id="6"/>
    <w:sectPr w:rsidSect="00986D8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453DB" w:rsidRPr="00986D8D" w14:paraId="0282EBBC" w14:textId="77777777">
      <w:r w:rsidRPr="00986D8D">
        <w:separator/>
      </w:r>
    </w:p>
  </w:footnote>
  <w:footnote w:type="continuationSeparator" w:id="1">
    <w:p w:rsidR="004453DB" w:rsidRPr="00986D8D" w14:paraId="7FFF5CBF" w14:textId="77777777">
      <w:r w:rsidRPr="00986D8D">
        <w:continuationSeparator/>
      </w:r>
    </w:p>
  </w:footnote>
  <w:footnote w:id="2">
    <w:p w:rsidR="00B84266" w:rsidRPr="001A65B1" w:rsidP="00B84266" w14:paraId="6B75F712" w14:textId="40F960F2">
      <w:pPr>
        <w:pStyle w:val="FootnoteText"/>
        <w:ind w:left="567" w:hanging="567"/>
        <w:rPr>
          <w:sz w:val="24"/>
          <w:lang w:val="fi-FI"/>
        </w:rPr>
      </w:pPr>
      <w:r w:rsidRPr="00986D8D">
        <w:rPr>
          <w:rStyle w:val="FootnoteReference"/>
          <w:sz w:val="24"/>
        </w:rPr>
        <w:footnoteRef/>
      </w:r>
      <w:r w:rsidRPr="001A65B1">
        <w:rPr>
          <w:sz w:val="24"/>
          <w:lang w:val="fi-FI"/>
        </w:rPr>
        <w:t xml:space="preserve"> </w:t>
      </w:r>
      <w:r w:rsidRPr="001A65B1">
        <w:rPr>
          <w:sz w:val="24"/>
          <w:lang w:val="fi-FI"/>
        </w:rPr>
        <w:tab/>
        <w:t>JO </w:t>
      </w:r>
      <w:r w:rsidR="00DA3D3B">
        <w:rPr>
          <w:sz w:val="24"/>
          <w:lang w:val="fi-FI"/>
        </w:rPr>
        <w:t xml:space="preserve">C, </w:t>
      </w:r>
      <w:r w:rsidRPr="001A65B1">
        <w:rPr>
          <w:sz w:val="24"/>
          <w:lang w:val="fi-FI"/>
        </w:rPr>
        <w:t>C/</w:t>
      </w:r>
      <w:r w:rsidRPr="0021197B" w:rsidR="0021197B">
        <w:rPr>
          <w:sz w:val="24"/>
          <w:lang w:val="fi-FI"/>
        </w:rPr>
        <w:t>2025</w:t>
      </w:r>
      <w:r w:rsidRPr="001A65B1">
        <w:rPr>
          <w:sz w:val="24"/>
          <w:lang w:val="fi-FI"/>
        </w:rPr>
        <w:t>/</w:t>
      </w:r>
      <w:r w:rsidRPr="0021197B" w:rsidR="0021197B">
        <w:rPr>
          <w:sz w:val="24"/>
          <w:lang w:val="fi-FI"/>
        </w:rPr>
        <w:t>4217</w:t>
      </w:r>
      <w:r w:rsidRPr="001A65B1">
        <w:rPr>
          <w:sz w:val="24"/>
          <w:lang w:val="fi-FI"/>
        </w:rPr>
        <w:t xml:space="preserve">, </w:t>
      </w:r>
      <w:r w:rsidRPr="0021197B" w:rsidR="0021197B">
        <w:rPr>
          <w:sz w:val="24"/>
          <w:lang w:val="fi-FI"/>
        </w:rPr>
        <w:t>20</w:t>
      </w:r>
      <w:r w:rsidRPr="001A65B1">
        <w:rPr>
          <w:sz w:val="24"/>
          <w:lang w:val="fi-FI"/>
        </w:rPr>
        <w:t>.</w:t>
      </w:r>
      <w:r w:rsidRPr="0021197B" w:rsidR="0021197B">
        <w:rPr>
          <w:sz w:val="24"/>
          <w:lang w:val="fi-FI"/>
        </w:rPr>
        <w:t>8</w:t>
      </w:r>
      <w:r w:rsidRPr="001A65B1">
        <w:rPr>
          <w:sz w:val="24"/>
          <w:lang w:val="fi-FI"/>
        </w:rPr>
        <w:t>.</w:t>
      </w:r>
      <w:r w:rsidRPr="0021197B" w:rsidR="0021197B">
        <w:rPr>
          <w:sz w:val="24"/>
          <w:lang w:val="fi-FI"/>
        </w:rPr>
        <w:t>2025</w:t>
      </w:r>
      <w:r w:rsidRPr="001A65B1">
        <w:rPr>
          <w:sz w:val="24"/>
          <w:lang w:val="fi-FI"/>
        </w:rPr>
        <w:t>, ELI: </w:t>
      </w:r>
      <w:hyperlink r:id="rId1" w:history="1">
        <w:r w:rsidR="008917C0">
          <w:rPr>
            <w:rStyle w:val="Hyperlink"/>
            <w:sz w:val="24"/>
            <w:lang w:val="fi-FI"/>
          </w:rPr>
          <w:t>http://data.europa.eu/eli/C/</w:t>
        </w:r>
        <w:r w:rsidRPr="0021197B" w:rsidR="0021197B">
          <w:rPr>
            <w:rStyle w:val="Hyperlink"/>
            <w:sz w:val="24"/>
            <w:lang w:val="fi-FI"/>
          </w:rPr>
          <w:t>2025</w:t>
        </w:r>
        <w:r w:rsidR="008917C0">
          <w:rPr>
            <w:rStyle w:val="Hyperlink"/>
            <w:sz w:val="24"/>
            <w:lang w:val="fi-FI"/>
          </w:rPr>
          <w:t>/</w:t>
        </w:r>
        <w:r w:rsidRPr="0021197B" w:rsidR="0021197B">
          <w:rPr>
            <w:rStyle w:val="Hyperlink"/>
            <w:sz w:val="24"/>
            <w:lang w:val="fi-FI"/>
          </w:rPr>
          <w:t>4217</w:t>
        </w:r>
        <w:r w:rsidR="008917C0">
          <w:rPr>
            <w:rStyle w:val="Hyperlink"/>
            <w:sz w:val="24"/>
            <w:lang w:val="fi-FI"/>
          </w:rPr>
          <w:t>/oj</w:t>
        </w:r>
      </w:hyperlink>
      <w:r w:rsidRPr="001A65B1">
        <w:rPr>
          <w:sz w:val="24"/>
          <w:lang w:val="fi-FI"/>
        </w:rPr>
        <w:t xml:space="preserve">. </w:t>
      </w:r>
    </w:p>
  </w:footnote>
  <w:footnote w:id="3">
    <w:p w:rsidR="00B84266" w:rsidRPr="001A65B1" w:rsidP="00B84266" w14:paraId="5F612E9D" w14:textId="103EC64A">
      <w:pPr>
        <w:pStyle w:val="FootnoteText"/>
        <w:ind w:left="567" w:hanging="567"/>
        <w:rPr>
          <w:sz w:val="24"/>
          <w:lang w:val="fi-FI"/>
        </w:rPr>
      </w:pPr>
      <w:r w:rsidRPr="00986D8D">
        <w:rPr>
          <w:rStyle w:val="FootnoteReference"/>
          <w:sz w:val="24"/>
        </w:rPr>
        <w:footnoteRef/>
      </w:r>
      <w:r w:rsidRPr="001A65B1">
        <w:rPr>
          <w:sz w:val="24"/>
          <w:lang w:val="fi-FI"/>
        </w:rPr>
        <w:t xml:space="preserve"> </w:t>
      </w:r>
      <w:r w:rsidRPr="001A65B1">
        <w:rPr>
          <w:sz w:val="24"/>
          <w:lang w:val="fi-FI"/>
        </w:rPr>
        <w:tab/>
        <w:t>JO </w:t>
      </w:r>
      <w:r w:rsidR="00DA3D3B">
        <w:rPr>
          <w:sz w:val="24"/>
          <w:lang w:val="fi-FI"/>
        </w:rPr>
        <w:t xml:space="preserve">C, </w:t>
      </w:r>
      <w:r w:rsidRPr="001A65B1">
        <w:rPr>
          <w:sz w:val="24"/>
          <w:lang w:val="fi-FI"/>
        </w:rPr>
        <w:t>C/</w:t>
      </w:r>
      <w:r w:rsidRPr="0021197B" w:rsidR="0021197B">
        <w:rPr>
          <w:sz w:val="24"/>
          <w:lang w:val="fi-FI"/>
        </w:rPr>
        <w:t>2025</w:t>
      </w:r>
      <w:r w:rsidRPr="001A65B1">
        <w:rPr>
          <w:sz w:val="24"/>
          <w:lang w:val="fi-FI"/>
        </w:rPr>
        <w:t>/</w:t>
      </w:r>
      <w:r w:rsidRPr="0021197B" w:rsidR="0021197B">
        <w:rPr>
          <w:sz w:val="24"/>
          <w:lang w:val="fi-FI"/>
        </w:rPr>
        <w:t>4419</w:t>
      </w:r>
      <w:r w:rsidRPr="001A65B1">
        <w:rPr>
          <w:sz w:val="24"/>
          <w:lang w:val="fi-FI"/>
        </w:rPr>
        <w:t xml:space="preserve">, </w:t>
      </w:r>
      <w:r w:rsidRPr="0021197B" w:rsidR="0021197B">
        <w:rPr>
          <w:sz w:val="24"/>
          <w:lang w:val="fi-FI"/>
        </w:rPr>
        <w:t>29</w:t>
      </w:r>
      <w:r w:rsidRPr="001A65B1">
        <w:rPr>
          <w:sz w:val="24"/>
          <w:lang w:val="fi-FI"/>
        </w:rPr>
        <w:t>.</w:t>
      </w:r>
      <w:r w:rsidRPr="0021197B" w:rsidR="0021197B">
        <w:rPr>
          <w:sz w:val="24"/>
          <w:lang w:val="fi-FI"/>
        </w:rPr>
        <w:t>8</w:t>
      </w:r>
      <w:r w:rsidRPr="001A65B1">
        <w:rPr>
          <w:sz w:val="24"/>
          <w:lang w:val="fi-FI"/>
        </w:rPr>
        <w:t>.</w:t>
      </w:r>
      <w:r w:rsidRPr="0021197B" w:rsidR="0021197B">
        <w:rPr>
          <w:sz w:val="24"/>
          <w:lang w:val="fi-FI"/>
        </w:rPr>
        <w:t>2025</w:t>
      </w:r>
      <w:r w:rsidRPr="001A65B1">
        <w:rPr>
          <w:sz w:val="24"/>
          <w:lang w:val="fi-FI"/>
        </w:rPr>
        <w:t>, ELI: </w:t>
      </w:r>
      <w:hyperlink r:id="rId2" w:history="1">
        <w:r w:rsidR="008917C0">
          <w:rPr>
            <w:rStyle w:val="Hyperlink"/>
            <w:sz w:val="24"/>
            <w:lang w:val="fi-FI"/>
          </w:rPr>
          <w:t>http://data.europa.eu/eli/C/</w:t>
        </w:r>
        <w:r w:rsidRPr="0021197B" w:rsidR="0021197B">
          <w:rPr>
            <w:rStyle w:val="Hyperlink"/>
            <w:sz w:val="24"/>
            <w:lang w:val="fi-FI"/>
          </w:rPr>
          <w:t>2025</w:t>
        </w:r>
        <w:r w:rsidR="008917C0">
          <w:rPr>
            <w:rStyle w:val="Hyperlink"/>
            <w:sz w:val="24"/>
            <w:lang w:val="fi-FI"/>
          </w:rPr>
          <w:t>/</w:t>
        </w:r>
        <w:r w:rsidRPr="0021197B" w:rsidR="0021197B">
          <w:rPr>
            <w:rStyle w:val="Hyperlink"/>
            <w:sz w:val="24"/>
            <w:lang w:val="fi-FI"/>
          </w:rPr>
          <w:t>4419</w:t>
        </w:r>
        <w:r w:rsidR="008917C0">
          <w:rPr>
            <w:rStyle w:val="Hyperlink"/>
            <w:sz w:val="24"/>
            <w:lang w:val="fi-FI"/>
          </w:rPr>
          <w:t>/oj</w:t>
        </w:r>
      </w:hyperlink>
      <w:r w:rsidRPr="001A65B1">
        <w:rPr>
          <w:sz w:val="24"/>
          <w:lang w:val="fi-FI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>
    <w:nsid w:val="64642CB1"/>
    <w:multiLevelType w:val="hybridMultilevel"/>
    <w:tmpl w:val="F2D471F2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6998325">
    <w:abstractNumId w:val="9"/>
  </w:num>
  <w:num w:numId="2" w16cid:durableId="1286547425">
    <w:abstractNumId w:val="9"/>
  </w:num>
  <w:num w:numId="3" w16cid:durableId="903953201">
    <w:abstractNumId w:val="7"/>
  </w:num>
  <w:num w:numId="4" w16cid:durableId="1552765908">
    <w:abstractNumId w:val="7"/>
  </w:num>
  <w:num w:numId="5" w16cid:durableId="1578783647">
    <w:abstractNumId w:val="6"/>
  </w:num>
  <w:num w:numId="6" w16cid:durableId="1757246601">
    <w:abstractNumId w:val="6"/>
  </w:num>
  <w:num w:numId="7" w16cid:durableId="2023819628">
    <w:abstractNumId w:val="5"/>
  </w:num>
  <w:num w:numId="8" w16cid:durableId="2139951117">
    <w:abstractNumId w:val="5"/>
  </w:num>
  <w:num w:numId="9" w16cid:durableId="1336029365">
    <w:abstractNumId w:val="4"/>
  </w:num>
  <w:num w:numId="10" w16cid:durableId="647633381">
    <w:abstractNumId w:val="4"/>
  </w:num>
  <w:num w:numId="11" w16cid:durableId="951863064">
    <w:abstractNumId w:val="8"/>
  </w:num>
  <w:num w:numId="12" w16cid:durableId="281115568">
    <w:abstractNumId w:val="8"/>
  </w:num>
  <w:num w:numId="13" w16cid:durableId="880703670">
    <w:abstractNumId w:val="3"/>
  </w:num>
  <w:num w:numId="14" w16cid:durableId="782577034">
    <w:abstractNumId w:val="3"/>
  </w:num>
  <w:num w:numId="15" w16cid:durableId="1958877425">
    <w:abstractNumId w:val="2"/>
  </w:num>
  <w:num w:numId="16" w16cid:durableId="661395238">
    <w:abstractNumId w:val="2"/>
  </w:num>
  <w:num w:numId="17" w16cid:durableId="27688043">
    <w:abstractNumId w:val="1"/>
  </w:num>
  <w:num w:numId="18" w16cid:durableId="698702118">
    <w:abstractNumId w:val="1"/>
  </w:num>
  <w:num w:numId="19" w16cid:durableId="371732440">
    <w:abstractNumId w:val="0"/>
  </w:num>
  <w:num w:numId="20" w16cid:durableId="2123961737">
    <w:abstractNumId w:val="0"/>
  </w:num>
  <w:num w:numId="21" w16cid:durableId="1178272982">
    <w:abstractNumId w:val="9"/>
  </w:num>
  <w:num w:numId="22" w16cid:durableId="1371147329">
    <w:abstractNumId w:val="7"/>
  </w:num>
  <w:num w:numId="23" w16cid:durableId="10884493">
    <w:abstractNumId w:val="6"/>
  </w:num>
  <w:num w:numId="24" w16cid:durableId="729884746">
    <w:abstractNumId w:val="5"/>
  </w:num>
  <w:num w:numId="25" w16cid:durableId="406609333">
    <w:abstractNumId w:val="4"/>
  </w:num>
  <w:num w:numId="26" w16cid:durableId="1053962438">
    <w:abstractNumId w:val="8"/>
  </w:num>
  <w:num w:numId="27" w16cid:durableId="776289928">
    <w:abstractNumId w:val="3"/>
  </w:num>
  <w:num w:numId="28" w16cid:durableId="1435201885">
    <w:abstractNumId w:val="2"/>
  </w:num>
  <w:num w:numId="29" w16cid:durableId="789015586">
    <w:abstractNumId w:val="1"/>
  </w:num>
  <w:num w:numId="30" w16cid:durableId="1048533893">
    <w:abstractNumId w:val="0"/>
  </w:num>
  <w:num w:numId="31" w16cid:durableId="1070811035">
    <w:abstractNumId w:val="9"/>
  </w:num>
  <w:num w:numId="32" w16cid:durableId="663238095">
    <w:abstractNumId w:val="7"/>
  </w:num>
  <w:num w:numId="33" w16cid:durableId="422070015">
    <w:abstractNumId w:val="6"/>
  </w:num>
  <w:num w:numId="34" w16cid:durableId="357004349">
    <w:abstractNumId w:val="5"/>
  </w:num>
  <w:num w:numId="35" w16cid:durableId="1912035447">
    <w:abstractNumId w:val="4"/>
  </w:num>
  <w:num w:numId="36" w16cid:durableId="850988803">
    <w:abstractNumId w:val="8"/>
  </w:num>
  <w:num w:numId="37" w16cid:durableId="1233928427">
    <w:abstractNumId w:val="3"/>
  </w:num>
  <w:num w:numId="38" w16cid:durableId="579097829">
    <w:abstractNumId w:val="2"/>
  </w:num>
  <w:num w:numId="39" w16cid:durableId="1196652110">
    <w:abstractNumId w:val="1"/>
  </w:num>
  <w:num w:numId="40" w16cid:durableId="1847282118">
    <w:abstractNumId w:val="0"/>
  </w:num>
  <w:num w:numId="41" w16cid:durableId="1020358431">
    <w:abstractNumId w:val="10"/>
  </w:num>
  <w:num w:numId="42" w16cid:durableId="457261491">
    <w:abstractNumId w:val="10"/>
  </w:num>
  <w:num w:numId="43" w16cid:durableId="1223297094">
    <w:abstractNumId w:val="10"/>
  </w:num>
  <w:num w:numId="44" w16cid:durableId="93288405">
    <w:abstractNumId w:val="11"/>
  </w:num>
  <w:num w:numId="45" w16cid:durableId="1663041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DB"/>
    <w:rsid w:val="00002272"/>
    <w:rsid w:val="00064002"/>
    <w:rsid w:val="000677B9"/>
    <w:rsid w:val="000831BA"/>
    <w:rsid w:val="000A42CC"/>
    <w:rsid w:val="000E03E8"/>
    <w:rsid w:val="000E1A48"/>
    <w:rsid w:val="000E7DD9"/>
    <w:rsid w:val="0010095E"/>
    <w:rsid w:val="00116BC0"/>
    <w:rsid w:val="00125B37"/>
    <w:rsid w:val="00187494"/>
    <w:rsid w:val="001A65B1"/>
    <w:rsid w:val="001F32AE"/>
    <w:rsid w:val="0021197B"/>
    <w:rsid w:val="002303DC"/>
    <w:rsid w:val="002767FF"/>
    <w:rsid w:val="002A02B7"/>
    <w:rsid w:val="002A24FB"/>
    <w:rsid w:val="002B18FE"/>
    <w:rsid w:val="002B5493"/>
    <w:rsid w:val="00343214"/>
    <w:rsid w:val="00361C00"/>
    <w:rsid w:val="00395FA1"/>
    <w:rsid w:val="003C27F0"/>
    <w:rsid w:val="003E15D4"/>
    <w:rsid w:val="00411CCE"/>
    <w:rsid w:val="0041326D"/>
    <w:rsid w:val="0041666E"/>
    <w:rsid w:val="00421060"/>
    <w:rsid w:val="004453D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4B35"/>
    <w:rsid w:val="00560270"/>
    <w:rsid w:val="005C2568"/>
    <w:rsid w:val="005F1B17"/>
    <w:rsid w:val="006037C0"/>
    <w:rsid w:val="006631B6"/>
    <w:rsid w:val="00680577"/>
    <w:rsid w:val="006F74FA"/>
    <w:rsid w:val="0070765D"/>
    <w:rsid w:val="00731ADD"/>
    <w:rsid w:val="00734777"/>
    <w:rsid w:val="00746F88"/>
    <w:rsid w:val="00747932"/>
    <w:rsid w:val="00751A4A"/>
    <w:rsid w:val="00756632"/>
    <w:rsid w:val="00762C74"/>
    <w:rsid w:val="00786EC0"/>
    <w:rsid w:val="007B5C62"/>
    <w:rsid w:val="007D1690"/>
    <w:rsid w:val="007E22AD"/>
    <w:rsid w:val="00817416"/>
    <w:rsid w:val="00842779"/>
    <w:rsid w:val="00865F67"/>
    <w:rsid w:val="00881A7B"/>
    <w:rsid w:val="008840E5"/>
    <w:rsid w:val="00887B3E"/>
    <w:rsid w:val="008917C0"/>
    <w:rsid w:val="008C2AC6"/>
    <w:rsid w:val="008D4F61"/>
    <w:rsid w:val="00930C23"/>
    <w:rsid w:val="0093193B"/>
    <w:rsid w:val="009509D8"/>
    <w:rsid w:val="00950B64"/>
    <w:rsid w:val="00981893"/>
    <w:rsid w:val="00986D8D"/>
    <w:rsid w:val="009E5799"/>
    <w:rsid w:val="00A1687D"/>
    <w:rsid w:val="00A43E52"/>
    <w:rsid w:val="00A4678D"/>
    <w:rsid w:val="00A778C7"/>
    <w:rsid w:val="00AB441E"/>
    <w:rsid w:val="00AB6293"/>
    <w:rsid w:val="00AC4B15"/>
    <w:rsid w:val="00AE0928"/>
    <w:rsid w:val="00AF3B82"/>
    <w:rsid w:val="00B12E95"/>
    <w:rsid w:val="00B22876"/>
    <w:rsid w:val="00B558F0"/>
    <w:rsid w:val="00B84266"/>
    <w:rsid w:val="00BD48FE"/>
    <w:rsid w:val="00BD7BD8"/>
    <w:rsid w:val="00BE6ADC"/>
    <w:rsid w:val="00C05BFE"/>
    <w:rsid w:val="00C20920"/>
    <w:rsid w:val="00C23CD4"/>
    <w:rsid w:val="00C61C0C"/>
    <w:rsid w:val="00C810D3"/>
    <w:rsid w:val="00C941CB"/>
    <w:rsid w:val="00CC2357"/>
    <w:rsid w:val="00CF071A"/>
    <w:rsid w:val="00D058B8"/>
    <w:rsid w:val="00D56C11"/>
    <w:rsid w:val="00D834A0"/>
    <w:rsid w:val="00D872DF"/>
    <w:rsid w:val="00D91E21"/>
    <w:rsid w:val="00DA3D3B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40A8E"/>
    <w:rsid w:val="00F42D88"/>
    <w:rsid w:val="00F5134D"/>
    <w:rsid w:val="00F74202"/>
    <w:rsid w:val="00F87713"/>
    <w:rsid w:val="00FA4417"/>
    <w:rsid w:val="00FB03CC"/>
    <w:rsid w:val="00FB4360"/>
    <w:rsid w:val="00FD0C70"/>
  </w:rsids>
  <w:docVars>
    <w:docVar w:name="dvdocse" w:val="A10-0251/2025"/>
    <w:docVar w:name="dvlangue" w:val="FR"/>
    <w:docVar w:name="dvnumam" w:val="49"/>
    <w:docVar w:name="dvpe" w:val="774.423"/>
    <w:docVar w:name="dvrapporteur" w:val="Rapporteure: "/>
    <w:docVar w:name="dvstar" w:val="***I"/>
    <w:docVar w:name="dvtitre" w:val="Résolution législative du Parlement européen du ... 2026 sur la proposition de règlement du Parlement européen et du Conseil modifiant le règlement (UE) 2021/691 en ce qui concerne le soutien aux travailleurs concernés par un licenciement imminent dans des entreprises en cours de restructuration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05C0064"/>
  <w15:chartTrackingRefBased/>
  <w15:docId w15:val="{111D4179-1FDE-4A11-8EC1-A6BE3FF9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116BC0"/>
    <w:pPr>
      <w:spacing w:after="120"/>
    </w:pPr>
  </w:style>
  <w:style w:type="paragraph" w:customStyle="1" w:styleId="NormalBold">
    <w:name w:val="NormalBold"/>
    <w:basedOn w:val="Normal"/>
    <w:link w:val="NormalBoldChar"/>
    <w:rsid w:val="00116BC0"/>
    <w:rPr>
      <w:b/>
    </w:rPr>
  </w:style>
  <w:style w:type="paragraph" w:customStyle="1" w:styleId="NormalHanging12a">
    <w:name w:val="NormalHanging12a"/>
    <w:basedOn w:val="Normal"/>
    <w:rsid w:val="00116BC0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116BC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16BC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16BC0"/>
    <w:pPr>
      <w:spacing w:before="240"/>
    </w:pPr>
    <w:rPr>
      <w:b/>
    </w:rPr>
  </w:style>
  <w:style w:type="paragraph" w:customStyle="1" w:styleId="EPComma">
    <w:name w:val="EPComma"/>
    <w:basedOn w:val="Normal"/>
    <w:rsid w:val="00116BC0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116BC0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116BC0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116BC0"/>
    <w:rPr>
      <w:b/>
      <w:sz w:val="24"/>
      <w:lang w:val="fr-FR"/>
    </w:rPr>
  </w:style>
  <w:style w:type="paragraph" w:customStyle="1" w:styleId="ColumnHeading">
    <w:name w:val="ColumnHeading"/>
    <w:basedOn w:val="Normal"/>
    <w:rsid w:val="00116BC0"/>
    <w:pPr>
      <w:spacing w:after="240"/>
      <w:jc w:val="center"/>
    </w:pPr>
    <w:rPr>
      <w:i/>
    </w:rPr>
  </w:style>
  <w:style w:type="paragraph" w:customStyle="1" w:styleId="Olang">
    <w:name w:val="Olang"/>
    <w:rsid w:val="00116BC0"/>
    <w:pPr>
      <w:jc w:val="right"/>
    </w:pPr>
    <w:rPr>
      <w:lang w:val="fr-FR"/>
    </w:rPr>
  </w:style>
  <w:style w:type="character" w:styleId="Hyperlink">
    <w:name w:val="Hyperlink"/>
    <w:basedOn w:val="DefaultParagraphFont"/>
    <w:rsid w:val="00116BC0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116BC0"/>
    <w:rPr>
      <w:b/>
      <w:sz w:val="24"/>
      <w:lang w:val="fr-FR"/>
    </w:rPr>
  </w:style>
  <w:style w:type="paragraph" w:styleId="Revision">
    <w:name w:val="Revision"/>
    <w:hidden/>
    <w:uiPriority w:val="99"/>
    <w:semiHidden/>
    <w:rsid w:val="00F42D88"/>
    <w:rPr>
      <w:sz w:val="24"/>
      <w:lang w:val="fr-FR"/>
    </w:rPr>
  </w:style>
  <w:style w:type="character" w:styleId="CommentReference">
    <w:name w:val="annotation reference"/>
    <w:basedOn w:val="DefaultParagraphFont"/>
    <w:rsid w:val="008917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17C0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8917C0"/>
  </w:style>
  <w:style w:type="character" w:customStyle="1" w:styleId="Hyperlink1">
    <w:name w:val="Hyperlink1"/>
    <w:basedOn w:val="DefaultParagraphFont"/>
    <w:uiPriority w:val="99"/>
    <w:unhideWhenUsed/>
    <w:rsid w:val="008917C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7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917C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rsid w:val="002119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1197B"/>
    <w:rPr>
      <w:sz w:val="24"/>
      <w:lang w:val="fr-FR"/>
    </w:rPr>
  </w:style>
  <w:style w:type="paragraph" w:customStyle="1" w:styleId="Datedadoption">
    <w:name w:val="Date d'adoption"/>
    <w:basedOn w:val="Normal"/>
    <w:next w:val="Normal"/>
    <w:rsid w:val="002303DC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2026-08-25T13:16:00Z</dcterms:created>
  <dcterms:modified xsi:type="dcterms:W3CDTF">2026-08-25T13:16:00Z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