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1D3D6A97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B475E" w:rsidP="0010095E" w14:paraId="66E81FDD" w14:textId="77777777">
            <w:pPr>
              <w:pStyle w:val="EPName"/>
            </w:pPr>
            <w:r w:rsidRPr="00FB475E">
              <w:t>Európai Parlament</w:t>
            </w:r>
          </w:p>
          <w:p w:rsidR="00751A4A" w:rsidRPr="00FB475E" w:rsidP="005F1B17" w14:paraId="721B3F9E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B475E">
              <w:t>2024</w:t>
            </w:r>
            <w:r w:rsidRPr="00FB475E" w:rsidR="00817416">
              <w:t>-202</w:t>
            </w:r>
            <w:r w:rsidRPr="00FB475E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B475E" w:rsidP="0010095E" w14:paraId="1A64848A" w14:textId="77777777">
            <w:pPr>
              <w:pStyle w:val="EPLogo"/>
            </w:pPr>
            <w:r w:rsidRPr="00FB475E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B475E" w:rsidP="004C5D52" w14:paraId="582EEF22" w14:textId="77777777">
      <w:pPr>
        <w:pStyle w:val="LineTop"/>
      </w:pPr>
    </w:p>
    <w:p w:rsidR="00680577" w:rsidRPr="00FB475E" w:rsidP="00680577" w14:paraId="1B98C1BF" w14:textId="77777777">
      <w:pPr>
        <w:pStyle w:val="EPBodyTA1"/>
      </w:pPr>
      <w:r w:rsidRPr="00FB475E">
        <w:t>ELFOGADOTT SZÖVEGEK</w:t>
      </w:r>
    </w:p>
    <w:p w:rsidR="00D058B8" w:rsidRPr="00FB475E" w:rsidP="00D058B8" w14:paraId="4E4D806C" w14:textId="77777777">
      <w:pPr>
        <w:pStyle w:val="LineBottom"/>
      </w:pPr>
    </w:p>
    <w:p w:rsidR="00571095" w:rsidRPr="00FB475E" w:rsidP="00571095" w14:paraId="0E448661" w14:textId="0C25B826">
      <w:pPr>
        <w:pStyle w:val="ATHeading1"/>
      </w:pPr>
      <w:bookmarkStart w:id="0" w:name="TANumber"/>
      <w:r w:rsidRPr="00FB475E">
        <w:t>P10_</w:t>
      </w:r>
      <w:r w:rsidRPr="00FB475E">
        <w:t>TA(</w:t>
      </w:r>
      <w:r w:rsidRPr="00FB475E">
        <w:t>202</w:t>
      </w:r>
      <w:r w:rsidRPr="00FB475E" w:rsidR="007F2855">
        <w:t>6</w:t>
      </w:r>
      <w:r w:rsidRPr="00FB475E">
        <w:t>)0</w:t>
      </w:r>
      <w:r w:rsidRPr="00FB475E" w:rsidR="00FB475E">
        <w:t>116</w:t>
      </w:r>
      <w:bookmarkEnd w:id="0"/>
    </w:p>
    <w:p w:rsidR="00571095" w:rsidRPr="00FB475E" w:rsidP="00571095" w14:paraId="75E3F43A" w14:textId="0E8D79F5">
      <w:pPr>
        <w:pStyle w:val="ATHeading2"/>
      </w:pPr>
      <w:bookmarkStart w:id="1" w:name="_Hlk227738402"/>
      <w:bookmarkStart w:id="2" w:name="title"/>
      <w:r w:rsidRPr="00FB475E">
        <w:t>Az Európai Globalizációs Alkalmazkodási Alap: küszöbön álló elbocsátások által érintett munkavállalók</w:t>
      </w:r>
      <w:bookmarkEnd w:id="1"/>
      <w:bookmarkEnd w:id="2"/>
    </w:p>
    <w:p w:rsidR="00571095" w:rsidRPr="00FB475E" w:rsidP="00571095" w14:paraId="451D4FBA" w14:textId="77777777">
      <w:pPr>
        <w:rPr>
          <w:i/>
          <w:vanish/>
        </w:rPr>
      </w:pPr>
      <w:r>
        <w:rPr>
          <w:i/>
        </w:rPr>
        <w:fldChar w:fldCharType="begin"/>
      </w:r>
      <w:r w:rsidRPr="00FB475E">
        <w:rPr>
          <w:i/>
        </w:rPr>
        <w:instrText xml:space="preserve"> TC"(</w:instrText>
      </w:r>
      <w:bookmarkStart w:id="3" w:name="DocNumber"/>
      <w:r w:rsidRPr="00FB475E">
        <w:rPr>
          <w:i/>
        </w:rPr>
        <w:instrText>A10-0251/2025</w:instrText>
      </w:r>
      <w:bookmarkEnd w:id="3"/>
      <w:r w:rsidRPr="00FB475E">
        <w:rPr>
          <w:i/>
        </w:rPr>
        <w:instrText xml:space="preserve"> - Előadó: </w:instrText>
      </w:r>
      <w:r w:rsidRPr="00FB475E">
        <w:rPr>
          <w:i/>
        </w:rPr>
        <w:instrText>Liesbet</w:instrText>
      </w:r>
      <w:r w:rsidRPr="00FB475E">
        <w:rPr>
          <w:i/>
        </w:rPr>
        <w:instrText xml:space="preserve"> </w:instrText>
      </w:r>
      <w:r w:rsidRPr="00FB475E">
        <w:rPr>
          <w:i/>
        </w:rPr>
        <w:instrText>Sommen</w:instrText>
      </w:r>
      <w:r w:rsidRPr="00FB475E"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571095" w:rsidRPr="00FB475E" w:rsidP="00571095" w14:paraId="108879C0" w14:textId="77777777">
      <w:pPr>
        <w:rPr>
          <w:vanish/>
        </w:rPr>
      </w:pPr>
      <w:bookmarkStart w:id="4" w:name="Commission"/>
      <w:r w:rsidRPr="00FB475E">
        <w:rPr>
          <w:vanish/>
        </w:rPr>
        <w:t>Foglalkoztatási és Szociális Bizottság</w:t>
      </w:r>
      <w:bookmarkEnd w:id="4"/>
    </w:p>
    <w:p w:rsidR="00571095" w:rsidRPr="00FB475E" w:rsidP="00571095" w14:paraId="5EB372CB" w14:textId="77777777">
      <w:pPr>
        <w:rPr>
          <w:vanish/>
        </w:rPr>
      </w:pPr>
      <w:bookmarkStart w:id="5" w:name="PE"/>
      <w:r w:rsidRPr="00FB475E">
        <w:rPr>
          <w:vanish/>
        </w:rPr>
        <w:t>PE774.423</w:t>
      </w:r>
      <w:bookmarkEnd w:id="5"/>
    </w:p>
    <w:p w:rsidR="00571095" w:rsidRPr="00FB475E" w:rsidP="00571095" w14:paraId="2547D0DB" w14:textId="0E7FB8CC">
      <w:pPr>
        <w:pStyle w:val="ATHeading3"/>
      </w:pPr>
      <w:bookmarkStart w:id="6" w:name="Sujet"/>
      <w:r w:rsidRPr="00FB475E">
        <w:t>Az Európai Parlament 202</w:t>
      </w:r>
      <w:r w:rsidRPr="00FB475E" w:rsidR="007F2855">
        <w:t>6</w:t>
      </w:r>
      <w:r w:rsidRPr="00FB475E">
        <w:t xml:space="preserve">. </w:t>
      </w:r>
      <w:r w:rsidRPr="00FB475E" w:rsidR="004448D7">
        <w:t>április</w:t>
      </w:r>
      <w:r w:rsidRPr="00FB475E">
        <w:t xml:space="preserve"> </w:t>
      </w:r>
      <w:r w:rsidRPr="00FB475E" w:rsidR="009A48A4">
        <w:t>28-</w:t>
      </w:r>
      <w:r w:rsidRPr="00FB475E">
        <w:t>i jogalkotási állásfoglalása az (EU) 2021/691 rendeletnek a szerkezetátalakítás alatt álló vállalkozásokban a küszöbön álló elbocsátások által érintett munkavállalók támogatása tekintetében történő módosításáról szóló európai parlamenti és tanácsi rendeletre irányuló javaslatról</w:t>
      </w:r>
      <w:bookmarkEnd w:id="6"/>
      <w:r w:rsidRPr="00FB475E">
        <w:t xml:space="preserve"> </w:t>
      </w:r>
      <w:bookmarkStart w:id="7" w:name="References"/>
      <w:r w:rsidRPr="00FB475E">
        <w:t>(</w:t>
      </w:r>
      <w:r w:rsidRPr="00FB475E">
        <w:t>COM(</w:t>
      </w:r>
      <w:r w:rsidRPr="00FB475E">
        <w:t>2025)0140 – C10-0060/2025 – 2025/0073(COD))</w:t>
      </w:r>
      <w:bookmarkEnd w:id="7"/>
    </w:p>
    <w:p w:rsidR="00853678" w:rsidRPr="00FB475E" w:rsidP="00853678" w14:paraId="46B89D3A" w14:textId="77777777">
      <w:pPr>
        <w:pStyle w:val="NormalBold"/>
      </w:pPr>
      <w:r w:rsidRPr="00FB475E">
        <w:t>(Rendes jogalkotási eljárás: első olvasat)</w:t>
      </w:r>
    </w:p>
    <w:p w:rsidR="00853678" w:rsidRPr="00FB475E" w:rsidP="00853678" w14:paraId="33749F86" w14:textId="77777777">
      <w:pPr>
        <w:pStyle w:val="EPComma"/>
      </w:pPr>
      <w:r w:rsidRPr="00FB475E">
        <w:rPr>
          <w:i/>
          <w:iCs/>
        </w:rPr>
        <w:t>Az Európai Parlament,</w:t>
      </w:r>
    </w:p>
    <w:p w:rsidR="00853678" w:rsidRPr="00FB475E" w:rsidP="007F2855" w14:paraId="1C18AF46" w14:textId="77777777">
      <w:pPr>
        <w:pStyle w:val="NormalHanging12a"/>
        <w:widowControl/>
      </w:pPr>
      <w:r w:rsidRPr="00FB475E">
        <w:t>–</w:t>
      </w:r>
      <w:r w:rsidRPr="00FB475E">
        <w:tab/>
        <w:t>tekintettel a Bizottság Parlamenthez és Tanácshoz intézett javaslatára (</w:t>
      </w:r>
      <w:r w:rsidRPr="00FB475E">
        <w:t>COM(</w:t>
      </w:r>
      <w:r w:rsidRPr="00FB475E">
        <w:t>2025)0140),</w:t>
      </w:r>
    </w:p>
    <w:p w:rsidR="00853678" w:rsidRPr="00FB475E" w:rsidP="007F2855" w14:paraId="7A08D0DD" w14:textId="77777777">
      <w:pPr>
        <w:pStyle w:val="NormalHanging12a"/>
        <w:widowControl/>
      </w:pPr>
      <w:r w:rsidRPr="00FB475E">
        <w:t>–</w:t>
      </w:r>
      <w:r w:rsidRPr="00FB475E">
        <w:tab/>
        <w:t>tekintettel az Európai Unió működéséről szóló szerződés 294. cikkének (2) bekezdésére és 175. cikkére, amelyek alapján a Bizottság javaslatát benyújtotta a Parlamenthez (C10-0060/2025),</w:t>
      </w:r>
    </w:p>
    <w:p w:rsidR="00853678" w:rsidRPr="00FB475E" w:rsidP="007F2855" w14:paraId="3F41B695" w14:textId="77777777">
      <w:pPr>
        <w:pStyle w:val="NormalHanging12a"/>
        <w:widowControl/>
      </w:pPr>
      <w:r w:rsidRPr="00FB475E">
        <w:t>–</w:t>
      </w:r>
      <w:r w:rsidRPr="00FB475E">
        <w:tab/>
        <w:t>tekintettel az Európai Unió működéséről szóló szerződés 294. cikkének (3) bekezdésére,</w:t>
      </w:r>
    </w:p>
    <w:p w:rsidR="00853678" w:rsidRPr="00FB475E" w:rsidP="007F2855" w14:paraId="57063530" w14:textId="77777777">
      <w:pPr>
        <w:pStyle w:val="NormalHanging12a"/>
        <w:widowControl/>
      </w:pPr>
      <w:r w:rsidRPr="00FB475E">
        <w:t>–</w:t>
      </w:r>
      <w:r w:rsidRPr="00FB475E">
        <w:tab/>
        <w:t>tekintettel a Költségvetési Bizottság költségvetési értékelésére,</w:t>
      </w:r>
    </w:p>
    <w:p w:rsidR="00720429" w:rsidRPr="00FB475E" w:rsidP="00720429" w14:paraId="18B1AC7F" w14:textId="20BFD3DB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FB475E">
        <w:rPr>
          <w:rFonts w:eastAsia="Calibri"/>
          <w:szCs w:val="22"/>
          <w:lang w:eastAsia="en-US"/>
        </w:rPr>
        <w:t>–</w:t>
      </w:r>
      <w:r w:rsidRPr="00FB475E">
        <w:rPr>
          <w:rFonts w:eastAsia="Calibri"/>
          <w:szCs w:val="22"/>
          <w:lang w:eastAsia="en-US"/>
        </w:rPr>
        <w:tab/>
        <w:t xml:space="preserve">tekintettel az Európai Gazdasági és Szociális Bizottság </w:t>
      </w:r>
      <w:r w:rsidRPr="00FB475E">
        <w:t xml:space="preserve">2025. június 19-i </w:t>
      </w:r>
      <w:r w:rsidRPr="00FB475E">
        <w:rPr>
          <w:rFonts w:eastAsia="Calibri"/>
          <w:szCs w:val="22"/>
          <w:lang w:eastAsia="en-US"/>
        </w:rPr>
        <w:t>véleményére</w:t>
      </w:r>
      <w:r>
        <w:rPr>
          <w:rFonts w:eastAsia="Calibri"/>
          <w:b/>
          <w:szCs w:val="22"/>
          <w:vertAlign w:val="superscript"/>
          <w:lang w:eastAsia="en-US"/>
        </w:rPr>
        <w:footnoteReference w:id="2"/>
      </w:r>
      <w:r w:rsidRPr="00FB475E">
        <w:rPr>
          <w:rFonts w:eastAsia="Calibri"/>
          <w:szCs w:val="22"/>
          <w:lang w:eastAsia="en-US"/>
        </w:rPr>
        <w:t>,</w:t>
      </w:r>
    </w:p>
    <w:p w:rsidR="00720429" w:rsidRPr="00FB475E" w:rsidP="00720429" w14:paraId="733332D1" w14:textId="3F4321CA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FB475E">
        <w:rPr>
          <w:rFonts w:eastAsia="Calibri"/>
          <w:szCs w:val="22"/>
          <w:lang w:eastAsia="en-US"/>
        </w:rPr>
        <w:t>–</w:t>
      </w:r>
      <w:r w:rsidRPr="00FB475E">
        <w:rPr>
          <w:rFonts w:eastAsia="Calibri"/>
          <w:szCs w:val="22"/>
          <w:lang w:eastAsia="en-US"/>
        </w:rPr>
        <w:tab/>
        <w:t xml:space="preserve">tekintettel a Régiók Bizottságának </w:t>
      </w:r>
      <w:r w:rsidRPr="00FB475E">
        <w:t xml:space="preserve">2025. július 3-i </w:t>
      </w:r>
      <w:r w:rsidRPr="00FB475E">
        <w:rPr>
          <w:rFonts w:eastAsia="Calibri"/>
          <w:szCs w:val="22"/>
          <w:lang w:eastAsia="en-US"/>
        </w:rPr>
        <w:t>véleményére</w:t>
      </w:r>
      <w:r>
        <w:rPr>
          <w:rFonts w:eastAsia="Calibri"/>
          <w:b/>
          <w:szCs w:val="22"/>
          <w:vertAlign w:val="superscript"/>
          <w:lang w:eastAsia="en-US"/>
        </w:rPr>
        <w:footnoteReference w:id="3"/>
      </w:r>
      <w:r w:rsidRPr="00FB475E">
        <w:rPr>
          <w:rFonts w:eastAsia="Calibri"/>
          <w:szCs w:val="22"/>
          <w:lang w:eastAsia="en-US"/>
        </w:rPr>
        <w:t>,</w:t>
      </w:r>
    </w:p>
    <w:p w:rsidR="009A48A4" w:rsidRPr="00FB475E" w:rsidP="009A48A4" w14:paraId="600A9197" w14:textId="11478598">
      <w:pPr>
        <w:pStyle w:val="NormalHanging12a"/>
      </w:pPr>
      <w:r w:rsidRPr="00FB475E">
        <w:t>–</w:t>
      </w:r>
      <w:r w:rsidRPr="00FB475E">
        <w:tab/>
        <w:t>tekintettel az illetékes bizottság által az eljárási szabályzat 75. cikkének (4) bekezdése alapján jóváhagyott ideiglenes megállapodásra és a Tanács képviselőjének 2026. március 11-i írásbeli kötelezettségvállalására, amely szerint egyetért a Parlament álláspontjával, az Európai Unió működéséről szóló szerződés 294. cikkének (4) bekezdésével összhangban,</w:t>
      </w:r>
    </w:p>
    <w:p w:rsidR="00853678" w:rsidRPr="00FB475E" w:rsidP="007F2855" w14:paraId="62468BD4" w14:textId="77777777">
      <w:pPr>
        <w:pStyle w:val="NormalHanging12a"/>
        <w:widowControl/>
      </w:pPr>
      <w:r w:rsidRPr="00FB475E">
        <w:t>–</w:t>
      </w:r>
      <w:r w:rsidRPr="00FB475E">
        <w:tab/>
        <w:t>tekintettel eljárási szabályzata 60. és 58. cikkére,</w:t>
      </w:r>
    </w:p>
    <w:p w:rsidR="00853678" w:rsidRPr="00FB475E" w:rsidP="007F2855" w14:paraId="2F1AF60B" w14:textId="77777777">
      <w:pPr>
        <w:pStyle w:val="NormalHanging12a"/>
        <w:widowControl/>
      </w:pPr>
      <w:r w:rsidRPr="00FB475E">
        <w:t>–</w:t>
      </w:r>
      <w:r w:rsidRPr="00FB475E">
        <w:tab/>
        <w:t>tekintettel a Foglalkoztatási és Szociális Bizottság jelentésére (A10-0251/2025),</w:t>
      </w:r>
    </w:p>
    <w:p w:rsidR="00853678" w:rsidRPr="00FB475E" w:rsidP="007F2855" w14:paraId="385DC483" w14:textId="77777777">
      <w:pPr>
        <w:pStyle w:val="NormalHanging12a"/>
        <w:widowControl/>
      </w:pPr>
      <w:r w:rsidRPr="00FB475E">
        <w:t>1.</w:t>
      </w:r>
      <w:r w:rsidRPr="00FB475E">
        <w:tab/>
        <w:t>elfogadja első olvasatban az alábbi álláspontot;</w:t>
      </w:r>
    </w:p>
    <w:p w:rsidR="00853678" w:rsidRPr="00FB475E" w:rsidP="007F2855" w14:paraId="00489821" w14:textId="77777777">
      <w:pPr>
        <w:pStyle w:val="NormalHanging12a"/>
        <w:widowControl/>
      </w:pPr>
      <w:r w:rsidRPr="00FB475E">
        <w:t>2.</w:t>
      </w:r>
      <w:r w:rsidRPr="00FB475E">
        <w:tab/>
        <w:t>felkéri a Bizottságot, hogy utalja az ügyet újból a Parlamenthez, ha javaslatát másik szöveggel váltja fel, lényegesen módosítja vagy lényegesen módosítani kívánja;</w:t>
      </w:r>
    </w:p>
    <w:p w:rsidR="00853678" w:rsidRPr="00FB475E" w:rsidP="007F2855" w14:paraId="7C00E8DA" w14:textId="77777777">
      <w:pPr>
        <w:pStyle w:val="NormalHanging12a"/>
        <w:widowControl/>
      </w:pPr>
      <w:r w:rsidRPr="00FB475E">
        <w:t>3.</w:t>
      </w:r>
      <w:r w:rsidRPr="00FB475E">
        <w:tab/>
        <w:t>utasítja elnökét, hogy továbbítsa a Parlament álláspontját a Tanácsnak és a Bizottságnak, valamint a nemzeti parlamenteknek.</w:t>
      </w:r>
    </w:p>
    <w:p w:rsidR="009A48A4" w:rsidRPr="00FB475E" w:rsidP="00853678" w14:paraId="7AC5BBD1" w14:textId="77777777">
      <w:pPr>
        <w:widowControl/>
        <w:sectPr w:rsidSect="009D721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A75E7" w:rsidRPr="00FB475E" w:rsidP="00AA75E7" w14:paraId="15BE747C" w14:textId="7C612DAE">
      <w:pPr>
        <w:widowControl/>
        <w:spacing w:after="240"/>
        <w:rPr>
          <w:b/>
          <w:bCs/>
        </w:rPr>
      </w:pPr>
      <w:r w:rsidRPr="00FB475E">
        <w:rPr>
          <w:b/>
          <w:bCs/>
        </w:rPr>
        <w:t>P10_TC1-</w:t>
      </w:r>
      <w:r w:rsidRPr="00FB475E">
        <w:rPr>
          <w:b/>
          <w:bCs/>
        </w:rPr>
        <w:t>COD(</w:t>
      </w:r>
      <w:r w:rsidRPr="00FB475E">
        <w:rPr>
          <w:b/>
          <w:bCs/>
        </w:rPr>
        <w:t>2025)0073</w:t>
      </w:r>
    </w:p>
    <w:p w:rsidR="00AA75E7" w:rsidRPr="00FB475E" w:rsidP="00AA75E7" w14:paraId="570D0350" w14:textId="771BBC56">
      <w:pPr>
        <w:pStyle w:val="NormalHanging12a"/>
        <w:widowControl/>
        <w:ind w:left="0" w:firstLine="0"/>
        <w:rPr>
          <w:b/>
        </w:rPr>
      </w:pPr>
      <w:r w:rsidRPr="00FB475E">
        <w:rPr>
          <w:b/>
        </w:rPr>
        <w:t xml:space="preserve">Az Európai Parlament álláspontja, amely első olvasatban 2026. április 28-án került elfogadásra </w:t>
      </w:r>
      <w:r w:rsidRPr="00FB475E" w:rsidR="00764B23">
        <w:rPr>
          <w:rFonts w:eastAsia="Calibri"/>
          <w:b/>
          <w:szCs w:val="22"/>
          <w:lang w:eastAsia="en-US"/>
        </w:rPr>
        <w:t xml:space="preserve">az (EU) 2021/691 rendeletnek a szerkezetátalakítás alatt álló vállalkozásokban foglalkoztatott, küszöbön álló elbocsátás által érintett munkavállalók támogatása tekintetében történő módosításáról </w:t>
      </w:r>
      <w:r w:rsidRPr="00FB475E">
        <w:rPr>
          <w:b/>
        </w:rPr>
        <w:t>szóló (EU) 2026/... európai parlamenti és tanácsi rendelet elfogadására tekintettel</w:t>
      </w:r>
    </w:p>
    <w:p w:rsidR="00D601C0" w:rsidRPr="003C6E60" w:rsidP="00D601C0" w14:paraId="1E69D222" w14:textId="2AEDFE2A">
      <w:pPr>
        <w:keepNext/>
        <w:widowControl/>
        <w:spacing w:before="600" w:after="120"/>
        <w:contextualSpacing/>
        <w:rPr>
          <w:rFonts w:eastAsia="Aptos"/>
          <w:i/>
          <w:iCs/>
          <w:kern w:val="2"/>
          <w:szCs w:val="24"/>
          <w:lang w:eastAsia="en-US"/>
          <w14:ligatures w14:val="standardContextual"/>
        </w:rPr>
      </w:pPr>
      <w:bookmarkStart w:id="8" w:name="DQC_RangeToBeChecked"/>
      <w:r w:rsidRPr="003C6E60">
        <w:rPr>
          <w:rFonts w:eastAsia="Aptos"/>
          <w:i/>
          <w:iCs/>
          <w:kern w:val="2"/>
          <w:szCs w:val="24"/>
          <w:lang w:eastAsia="en-US"/>
          <w14:ligatures w14:val="standardContextual"/>
        </w:rPr>
        <w:t xml:space="preserve">(A Parlament és a Tanács megállapodása következtében a Parlament álláspontja megegyezik a végleges jogalkotási aktussal, az (EU) </w:t>
      </w:r>
      <w:r>
        <w:rPr>
          <w:rFonts w:eastAsia="Aptos"/>
          <w:i/>
          <w:iCs/>
          <w:kern w:val="2"/>
          <w:szCs w:val="24"/>
          <w:lang w:eastAsia="en-US"/>
          <w14:ligatures w14:val="standardContextual"/>
        </w:rPr>
        <w:t>2026</w:t>
      </w:r>
      <w:r w:rsidRPr="003C6E60">
        <w:rPr>
          <w:rFonts w:eastAsia="Aptos"/>
          <w:i/>
          <w:iCs/>
          <w:kern w:val="2"/>
          <w:szCs w:val="24"/>
          <w:lang w:eastAsia="en-US"/>
          <w14:ligatures w14:val="standardContextual"/>
        </w:rPr>
        <w:t>/</w:t>
      </w:r>
      <w:r>
        <w:rPr>
          <w:rFonts w:eastAsia="Aptos"/>
          <w:i/>
          <w:iCs/>
          <w:kern w:val="2"/>
          <w:szCs w:val="24"/>
          <w:lang w:eastAsia="en-US"/>
          <w14:ligatures w14:val="standardContextual"/>
        </w:rPr>
        <w:t>1139</w:t>
      </w:r>
      <w:r w:rsidRPr="003C6E60">
        <w:rPr>
          <w:rFonts w:eastAsia="Aptos"/>
          <w:i/>
          <w:iCs/>
          <w:kern w:val="2"/>
          <w:szCs w:val="24"/>
          <w:lang w:eastAsia="en-US"/>
          <w14:ligatures w14:val="standardContextual"/>
        </w:rPr>
        <w:t xml:space="preserve"> rendelettel.)</w:t>
      </w:r>
    </w:p>
    <w:bookmarkEnd w:id="8"/>
    <w:sectPr w:rsidSect="009D721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D7214" w14:paraId="1381D51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D7214" w14:paraId="5AA54FC1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D7214" w14:paraId="7C53FFB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71095" w:rsidRPr="009D7214" w14:paraId="11BA0D82" w14:textId="77777777">
      <w:r w:rsidRPr="009D7214">
        <w:separator/>
      </w:r>
    </w:p>
  </w:footnote>
  <w:footnote w:type="continuationSeparator" w:id="1">
    <w:p w:rsidR="00571095" w:rsidRPr="009D7214" w14:paraId="397E91DA" w14:textId="77777777">
      <w:r w:rsidRPr="009D7214">
        <w:continuationSeparator/>
      </w:r>
    </w:p>
  </w:footnote>
  <w:footnote w:id="2">
    <w:p w:rsidR="00720429" w:rsidRPr="00764B23" w:rsidP="00FB475E" w14:paraId="0E31677D" w14:textId="77777777">
      <w:pPr>
        <w:pStyle w:val="FootnoteText"/>
        <w:ind w:left="567" w:hanging="567"/>
        <w:rPr>
          <w:sz w:val="24"/>
          <w:szCs w:val="24"/>
          <w:lang w:val="fi-FI"/>
        </w:rPr>
      </w:pPr>
      <w:r w:rsidRPr="00DD1CE5">
        <w:rPr>
          <w:rStyle w:val="FootnoteReference"/>
          <w:sz w:val="24"/>
          <w:szCs w:val="24"/>
        </w:rPr>
        <w:footnoteRef/>
      </w:r>
      <w:r w:rsidRPr="00764B23">
        <w:rPr>
          <w:sz w:val="24"/>
          <w:szCs w:val="24"/>
          <w:lang w:val="fi-FI"/>
        </w:rPr>
        <w:tab/>
        <w:t xml:space="preserve">HL </w:t>
      </w:r>
      <w:r>
        <w:rPr>
          <w:sz w:val="24"/>
          <w:szCs w:val="24"/>
          <w:lang w:val="fi-FI"/>
        </w:rPr>
        <w:t xml:space="preserve">C, </w:t>
      </w:r>
      <w:r w:rsidRPr="00764B23">
        <w:rPr>
          <w:sz w:val="24"/>
          <w:szCs w:val="24"/>
          <w:lang w:val="fi-FI"/>
        </w:rPr>
        <w:t xml:space="preserve">C/2025/4217, 2025.8.20., ELI: </w:t>
      </w:r>
      <w:hyperlink r:id="rId1" w:history="1">
        <w:r w:rsidRPr="00764B23">
          <w:rPr>
            <w:rStyle w:val="Hyperlink"/>
            <w:sz w:val="24"/>
            <w:szCs w:val="24"/>
            <w:lang w:val="fi-FI"/>
          </w:rPr>
          <w:t>http://data.europa.eu/eli/C/2025/4217/oj</w:t>
        </w:r>
      </w:hyperlink>
      <w:r w:rsidRPr="00764B23">
        <w:rPr>
          <w:sz w:val="24"/>
          <w:szCs w:val="24"/>
          <w:lang w:val="fi-FI"/>
        </w:rPr>
        <w:t>.</w:t>
      </w:r>
    </w:p>
  </w:footnote>
  <w:footnote w:id="3">
    <w:p w:rsidR="00720429" w:rsidRPr="00764B23" w:rsidP="00FB475E" w14:paraId="185BE354" w14:textId="77777777">
      <w:pPr>
        <w:pStyle w:val="FootnoteText"/>
        <w:ind w:left="567" w:hanging="567"/>
        <w:rPr>
          <w:sz w:val="24"/>
          <w:szCs w:val="24"/>
          <w:lang w:val="fi-FI"/>
        </w:rPr>
      </w:pPr>
      <w:r w:rsidRPr="00DD1CE5">
        <w:rPr>
          <w:rStyle w:val="FootnoteReference"/>
          <w:sz w:val="24"/>
          <w:szCs w:val="24"/>
        </w:rPr>
        <w:footnoteRef/>
      </w:r>
      <w:r w:rsidRPr="00764B23">
        <w:rPr>
          <w:sz w:val="24"/>
          <w:szCs w:val="24"/>
          <w:lang w:val="fi-FI"/>
        </w:rPr>
        <w:tab/>
        <w:t xml:space="preserve">HL </w:t>
      </w:r>
      <w:r>
        <w:rPr>
          <w:sz w:val="24"/>
          <w:szCs w:val="24"/>
          <w:lang w:val="fi-FI"/>
        </w:rPr>
        <w:t xml:space="preserve">C, </w:t>
      </w:r>
      <w:r w:rsidRPr="00764B23">
        <w:rPr>
          <w:sz w:val="24"/>
          <w:szCs w:val="24"/>
          <w:lang w:val="fi-FI"/>
        </w:rPr>
        <w:t xml:space="preserve">C/2025/4419, 2025.8.29., ELI: </w:t>
      </w:r>
      <w:hyperlink r:id="rId2" w:history="1">
        <w:r w:rsidRPr="00764B23">
          <w:rPr>
            <w:rStyle w:val="Hyperlink"/>
            <w:sz w:val="24"/>
            <w:szCs w:val="24"/>
            <w:lang w:val="fi-FI"/>
          </w:rPr>
          <w:t>http://data.europa.eu/eli/C/2025/4419/oj</w:t>
        </w:r>
      </w:hyperlink>
      <w:r w:rsidRPr="00764B23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D7214" w14:paraId="7144C4CF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D7214" w14:paraId="6E9623AF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D7214" w14:paraId="56E7A13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>
    <w:nsid w:val="093C6E60"/>
    <w:multiLevelType w:val="multilevel"/>
    <w:tmpl w:val="A7A4B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>
    <w:nsid w:val="1B3C78B8"/>
    <w:multiLevelType w:val="multilevel"/>
    <w:tmpl w:val="08BC72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strike w:val="0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 w:val="0"/>
        <w:bCs w:val="0"/>
        <w:strike w:val="0"/>
        <w:u w:val="none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cs="Times New Roman"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cs="Times New Roman"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>
    <w:nsid w:val="3FC80B1B"/>
    <w:multiLevelType w:val="singleLevel"/>
    <w:tmpl w:val="C11CD6E2"/>
    <w:lvl w:ilvl="0">
      <w:start w:val="1"/>
      <w:numFmt w:val="decimal"/>
      <w:pStyle w:val="Par-number1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15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6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7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8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1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2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4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6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1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2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3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7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8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9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1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652836349">
    <w:abstractNumId w:val="2"/>
  </w:num>
  <w:num w:numId="2" w16cid:durableId="1072432507">
    <w:abstractNumId w:val="13"/>
  </w:num>
  <w:num w:numId="3" w16cid:durableId="1196313884">
    <w:abstractNumId w:val="21"/>
  </w:num>
  <w:num w:numId="4" w16cid:durableId="625889934">
    <w:abstractNumId w:val="26"/>
  </w:num>
  <w:num w:numId="5" w16cid:durableId="249697315">
    <w:abstractNumId w:val="29"/>
  </w:num>
  <w:num w:numId="6" w16cid:durableId="1445267814">
    <w:abstractNumId w:val="11"/>
  </w:num>
  <w:num w:numId="7" w16cid:durableId="498420982">
    <w:abstractNumId w:val="18"/>
  </w:num>
  <w:num w:numId="8" w16cid:durableId="149714797">
    <w:abstractNumId w:val="8"/>
  </w:num>
  <w:num w:numId="9" w16cid:durableId="1056465546">
    <w:abstractNumId w:val="6"/>
  </w:num>
  <w:num w:numId="10" w16cid:durableId="873467661">
    <w:abstractNumId w:val="20"/>
  </w:num>
  <w:num w:numId="11" w16cid:durableId="166599984">
    <w:abstractNumId w:val="41"/>
  </w:num>
  <w:num w:numId="12" w16cid:durableId="108938969">
    <w:abstractNumId w:val="31"/>
  </w:num>
  <w:num w:numId="13" w16cid:durableId="480778093">
    <w:abstractNumId w:val="1"/>
  </w:num>
  <w:num w:numId="14" w16cid:durableId="893930486">
    <w:abstractNumId w:val="32"/>
  </w:num>
  <w:num w:numId="15" w16cid:durableId="452675422">
    <w:abstractNumId w:val="27"/>
  </w:num>
  <w:num w:numId="16" w16cid:durableId="332496024">
    <w:abstractNumId w:val="3"/>
  </w:num>
  <w:num w:numId="17" w16cid:durableId="270285231">
    <w:abstractNumId w:val="34"/>
  </w:num>
  <w:num w:numId="18" w16cid:durableId="1922595536">
    <w:abstractNumId w:val="40"/>
  </w:num>
  <w:num w:numId="19" w16cid:durableId="2030444891">
    <w:abstractNumId w:val="23"/>
  </w:num>
  <w:num w:numId="20" w16cid:durableId="383216074">
    <w:abstractNumId w:val="33"/>
  </w:num>
  <w:num w:numId="21" w16cid:durableId="1507401628">
    <w:abstractNumId w:val="28"/>
  </w:num>
  <w:num w:numId="22" w16cid:durableId="639580110">
    <w:abstractNumId w:val="19"/>
  </w:num>
  <w:num w:numId="23" w16cid:durableId="1408335817">
    <w:abstractNumId w:val="7"/>
  </w:num>
  <w:num w:numId="24" w16cid:durableId="1825463702">
    <w:abstractNumId w:val="5"/>
  </w:num>
  <w:num w:numId="25" w16cid:durableId="1849320516">
    <w:abstractNumId w:val="30"/>
  </w:num>
  <w:num w:numId="26" w16cid:durableId="1587031548">
    <w:abstractNumId w:val="35"/>
  </w:num>
  <w:num w:numId="27" w16cid:durableId="1677492169">
    <w:abstractNumId w:val="0"/>
  </w:num>
  <w:num w:numId="28" w16cid:durableId="1932465605">
    <w:abstractNumId w:val="9"/>
  </w:num>
  <w:num w:numId="29" w16cid:durableId="2124496057">
    <w:abstractNumId w:val="4"/>
  </w:num>
  <w:num w:numId="30" w16cid:durableId="620067232">
    <w:abstractNumId w:val="10"/>
  </w:num>
  <w:num w:numId="31" w16cid:durableId="548418794">
    <w:abstractNumId w:val="24"/>
  </w:num>
  <w:num w:numId="32" w16cid:durableId="1942714345">
    <w:abstractNumId w:val="14"/>
  </w:num>
  <w:num w:numId="33" w16cid:durableId="1501696219">
    <w:abstractNumId w:val="36"/>
  </w:num>
  <w:num w:numId="34" w16cid:durableId="702561102">
    <w:abstractNumId w:val="15"/>
  </w:num>
  <w:num w:numId="35" w16cid:durableId="504903869">
    <w:abstractNumId w:val="16"/>
  </w:num>
  <w:num w:numId="36" w16cid:durableId="368335854">
    <w:abstractNumId w:val="17"/>
  </w:num>
  <w:num w:numId="37" w16cid:durableId="1929994721">
    <w:abstractNumId w:val="22"/>
  </w:num>
  <w:num w:numId="38" w16cid:durableId="1152714072">
    <w:abstractNumId w:val="25"/>
  </w:num>
  <w:num w:numId="39" w16cid:durableId="833029414">
    <w:abstractNumId w:val="38"/>
  </w:num>
  <w:num w:numId="40" w16cid:durableId="1887444764">
    <w:abstractNumId w:val="37"/>
  </w:num>
  <w:num w:numId="41" w16cid:durableId="633367058">
    <w:abstractNumId w:val="39"/>
  </w:num>
  <w:num w:numId="42" w16cid:durableId="1215659334">
    <w:abstractNumId w:val="1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95"/>
    <w:rsid w:val="00002272"/>
    <w:rsid w:val="00064002"/>
    <w:rsid w:val="000677B9"/>
    <w:rsid w:val="000831BA"/>
    <w:rsid w:val="000A42CC"/>
    <w:rsid w:val="000E701E"/>
    <w:rsid w:val="000E7DD9"/>
    <w:rsid w:val="0010095E"/>
    <w:rsid w:val="00125B37"/>
    <w:rsid w:val="00187494"/>
    <w:rsid w:val="001F32AE"/>
    <w:rsid w:val="002767FF"/>
    <w:rsid w:val="002B18FE"/>
    <w:rsid w:val="002B5493"/>
    <w:rsid w:val="002D3643"/>
    <w:rsid w:val="00327E9C"/>
    <w:rsid w:val="003365EF"/>
    <w:rsid w:val="00343214"/>
    <w:rsid w:val="00361C00"/>
    <w:rsid w:val="003700DA"/>
    <w:rsid w:val="00395FA1"/>
    <w:rsid w:val="003C6E60"/>
    <w:rsid w:val="003E15D4"/>
    <w:rsid w:val="00411CCE"/>
    <w:rsid w:val="0041666E"/>
    <w:rsid w:val="00421060"/>
    <w:rsid w:val="004448D7"/>
    <w:rsid w:val="00471C19"/>
    <w:rsid w:val="004867E3"/>
    <w:rsid w:val="00494A28"/>
    <w:rsid w:val="004C0004"/>
    <w:rsid w:val="004C5D52"/>
    <w:rsid w:val="00504408"/>
    <w:rsid w:val="0050519A"/>
    <w:rsid w:val="005072A1"/>
    <w:rsid w:val="00514517"/>
    <w:rsid w:val="00545827"/>
    <w:rsid w:val="00560270"/>
    <w:rsid w:val="00571095"/>
    <w:rsid w:val="005B5CA8"/>
    <w:rsid w:val="005C2568"/>
    <w:rsid w:val="005F1B17"/>
    <w:rsid w:val="006037C0"/>
    <w:rsid w:val="006631B6"/>
    <w:rsid w:val="00680577"/>
    <w:rsid w:val="006C7EEF"/>
    <w:rsid w:val="006D39EE"/>
    <w:rsid w:val="006F74FA"/>
    <w:rsid w:val="00720429"/>
    <w:rsid w:val="00731ADD"/>
    <w:rsid w:val="00734777"/>
    <w:rsid w:val="00747932"/>
    <w:rsid w:val="00751A4A"/>
    <w:rsid w:val="00756632"/>
    <w:rsid w:val="00762C74"/>
    <w:rsid w:val="00764B23"/>
    <w:rsid w:val="00786EC0"/>
    <w:rsid w:val="007A0DAB"/>
    <w:rsid w:val="007D1690"/>
    <w:rsid w:val="007E22AD"/>
    <w:rsid w:val="007F2855"/>
    <w:rsid w:val="00817416"/>
    <w:rsid w:val="00842779"/>
    <w:rsid w:val="00853678"/>
    <w:rsid w:val="00865F67"/>
    <w:rsid w:val="00881A7B"/>
    <w:rsid w:val="008840E5"/>
    <w:rsid w:val="00887B3E"/>
    <w:rsid w:val="008C2AC6"/>
    <w:rsid w:val="009135E7"/>
    <w:rsid w:val="00930C23"/>
    <w:rsid w:val="0093193B"/>
    <w:rsid w:val="009509D8"/>
    <w:rsid w:val="00950B64"/>
    <w:rsid w:val="00981893"/>
    <w:rsid w:val="009A48A4"/>
    <w:rsid w:val="009D7214"/>
    <w:rsid w:val="00A1687D"/>
    <w:rsid w:val="00A35CE0"/>
    <w:rsid w:val="00A43E52"/>
    <w:rsid w:val="00A4678D"/>
    <w:rsid w:val="00A778C7"/>
    <w:rsid w:val="00AA75E7"/>
    <w:rsid w:val="00AB441E"/>
    <w:rsid w:val="00AB6293"/>
    <w:rsid w:val="00AC17B2"/>
    <w:rsid w:val="00AE0928"/>
    <w:rsid w:val="00AF3B82"/>
    <w:rsid w:val="00B12E95"/>
    <w:rsid w:val="00B22876"/>
    <w:rsid w:val="00B558F0"/>
    <w:rsid w:val="00B66838"/>
    <w:rsid w:val="00BA607B"/>
    <w:rsid w:val="00BD48FE"/>
    <w:rsid w:val="00BD7BD8"/>
    <w:rsid w:val="00BE6ADC"/>
    <w:rsid w:val="00C05BFE"/>
    <w:rsid w:val="00C23CD4"/>
    <w:rsid w:val="00C36D17"/>
    <w:rsid w:val="00C61C0C"/>
    <w:rsid w:val="00C8704A"/>
    <w:rsid w:val="00C941CB"/>
    <w:rsid w:val="00CC2357"/>
    <w:rsid w:val="00CE0282"/>
    <w:rsid w:val="00CE3BDE"/>
    <w:rsid w:val="00CF071A"/>
    <w:rsid w:val="00D058B8"/>
    <w:rsid w:val="00D56C11"/>
    <w:rsid w:val="00D601C0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2041"/>
    <w:rsid w:val="00F5134D"/>
    <w:rsid w:val="00F74202"/>
    <w:rsid w:val="00F87713"/>
    <w:rsid w:val="00FB4360"/>
    <w:rsid w:val="00FB475E"/>
    <w:rsid w:val="00FC0879"/>
    <w:rsid w:val="00FD0C70"/>
  </w:rsids>
  <w:docVars>
    <w:docVar w:name="dvdocse" w:val="A10-0251/2025"/>
    <w:docVar w:name="dvlangue" w:val="HU"/>
    <w:docVar w:name="dvnumam" w:val="49"/>
    <w:docVar w:name="dvpe" w:val="774.423"/>
    <w:docVar w:name="dvrapporteur" w:val="Előadó: "/>
    <w:docVar w:name="dvtitre" w:val="Az Európai Parlament 2025.  ...-i jogalkotási állásfoglalása az (EU) 2021/691 rendeletnek a szerkezetátalakítás alatt álló vállalkozásokban a küszöbön álló elbocsátások által érintett munkavállalók támogatása tekintetében történő módosításáról szóló európai parlamenti és tanácsi rendeletre irányuló javaslatról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87C2ADC"/>
  <w15:chartTrackingRefBased/>
  <w15:docId w15:val="{035BBF2F-59C6-447E-8164-C7A6036A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table of figures" w:uiPriority="99"/>
    <w:lsdException w:name="annotation reference" w:uiPriority="99" w:qFormat="1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SUPERS,BVI fnr,Footnote symbol,(Footnote Reference),Footnote,Voetnootverwijzing,Times 10 Point,Exposant 3 Point,Footnote reference number,note TESI, BVI fnr,Footnote symboFußnotenzeichen,Footnote sign,Footnote Reference/,4_G,Nota"/>
    <w:link w:val="CharCharChar1"/>
    <w:rsid w:val="00395FA1"/>
    <w:rPr>
      <w:b w:val="0"/>
      <w:vertAlign w:val="superscript"/>
    </w:rPr>
  </w:style>
  <w:style w:type="paragraph" w:styleId="FootnoteText">
    <w:name w:val="footnote text"/>
    <w:aliases w:val="Fußnotentextf,fn,Schriftart: 9 pt,Schriftart: 10 pt,Schriftart: 8 pt,WB-Fußnotentext,o,Podrozdział,Schriftart: 8 p,Char,Tekst przypisu,WB-Fuﬂnotentext,Voetnoottekst Char,Voetnoottekst Char1,Footnotes,ft,-E Fußnotentext,Fußno,Char1,fr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n Char,Schriftart: 9 pt Char,Schriftart: 10 pt Char,Schriftart: 8 pt Char,WB-Fußnotentext Char,o Char,Podrozdział Char,Schriftart: 8 p Char,Char Char,Tekst przypisu Char,WB-Fuﬂnotentext Char,Voetnoottekst Char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5367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5367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67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67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85367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853678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rsid w:val="00853678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uiPriority w:val="99"/>
    <w:rsid w:val="00853678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uiPriority w:val="99"/>
    <w:rsid w:val="00853678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85367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5367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5367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53678"/>
    <w:pPr>
      <w:spacing w:after="120"/>
    </w:pPr>
  </w:style>
  <w:style w:type="paragraph" w:customStyle="1" w:styleId="PageHeading">
    <w:name w:val="PageHeading"/>
    <w:basedOn w:val="Normal"/>
    <w:rsid w:val="0085367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53678"/>
    <w:rPr>
      <w:b/>
    </w:rPr>
  </w:style>
  <w:style w:type="paragraph" w:customStyle="1" w:styleId="NormalBold12a">
    <w:name w:val="NormalBold12a"/>
    <w:basedOn w:val="Normal"/>
    <w:rsid w:val="00853678"/>
    <w:pPr>
      <w:spacing w:after="240"/>
    </w:pPr>
    <w:rPr>
      <w:b/>
    </w:rPr>
  </w:style>
  <w:style w:type="paragraph" w:customStyle="1" w:styleId="AmJustText">
    <w:name w:val="AmJustText"/>
    <w:basedOn w:val="Normal"/>
    <w:rsid w:val="0085367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5367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53678"/>
    <w:pPr>
      <w:spacing w:after="480"/>
      <w:ind w:left="1417"/>
    </w:pPr>
  </w:style>
  <w:style w:type="paragraph" w:customStyle="1" w:styleId="CoverNormal">
    <w:name w:val="CoverNormal"/>
    <w:basedOn w:val="Normal"/>
    <w:rsid w:val="00853678"/>
    <w:pPr>
      <w:ind w:left="1418"/>
    </w:pPr>
  </w:style>
  <w:style w:type="paragraph" w:customStyle="1" w:styleId="AmCrossRef">
    <w:name w:val="AmCrossRef"/>
    <w:basedOn w:val="Normal"/>
    <w:rsid w:val="0085367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5367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5367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5367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5367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5367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536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678"/>
    <w:rPr>
      <w:sz w:val="24"/>
      <w:lang w:val="hu-HU"/>
    </w:rPr>
  </w:style>
  <w:style w:type="paragraph" w:customStyle="1" w:styleId="AmOrLang">
    <w:name w:val="AmOrLang"/>
    <w:basedOn w:val="Normal"/>
    <w:rsid w:val="0085367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5367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5367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853678"/>
    <w:pPr>
      <w:spacing w:before="240"/>
    </w:pPr>
    <w:rPr>
      <w:b/>
    </w:rPr>
  </w:style>
  <w:style w:type="paragraph" w:customStyle="1" w:styleId="EPBody">
    <w:name w:val="EPBody"/>
    <w:basedOn w:val="Normal"/>
    <w:rsid w:val="0085367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5367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53678"/>
    <w:pPr>
      <w:spacing w:before="480" w:after="240"/>
    </w:pPr>
  </w:style>
  <w:style w:type="paragraph" w:customStyle="1" w:styleId="Lgendesigne">
    <w:name w:val="Légende signe"/>
    <w:basedOn w:val="Normal"/>
    <w:rsid w:val="0085367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5367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53678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853678"/>
    <w:rPr>
      <w:sz w:val="24"/>
      <w:lang w:val="hu-HU"/>
    </w:rPr>
  </w:style>
  <w:style w:type="paragraph" w:customStyle="1" w:styleId="Normal6">
    <w:name w:val="Normal6"/>
    <w:basedOn w:val="Normal"/>
    <w:link w:val="Normal6Char"/>
    <w:rsid w:val="0085367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853678"/>
    <w:rPr>
      <w:b/>
      <w:sz w:val="24"/>
      <w:lang w:val="hu-HU"/>
    </w:rPr>
  </w:style>
  <w:style w:type="paragraph" w:customStyle="1" w:styleId="ColumnHeading">
    <w:name w:val="ColumnHeading"/>
    <w:basedOn w:val="Normal"/>
    <w:rsid w:val="0085367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5367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853678"/>
    <w:pPr>
      <w:jc w:val="right"/>
    </w:pPr>
    <w:rPr>
      <w:lang w:val="hu-HU"/>
    </w:rPr>
  </w:style>
  <w:style w:type="paragraph" w:customStyle="1" w:styleId="Normal24a">
    <w:name w:val="Normal24a"/>
    <w:basedOn w:val="Normal"/>
    <w:rsid w:val="00853678"/>
    <w:pPr>
      <w:spacing w:after="480"/>
    </w:pPr>
  </w:style>
  <w:style w:type="paragraph" w:customStyle="1" w:styleId="NormalBoldCenter">
    <w:name w:val="NormalBoldCenter"/>
    <w:basedOn w:val="Normal"/>
    <w:rsid w:val="00853678"/>
    <w:pPr>
      <w:jc w:val="center"/>
    </w:pPr>
    <w:rPr>
      <w:b/>
    </w:rPr>
  </w:style>
  <w:style w:type="paragraph" w:customStyle="1" w:styleId="Footprint12b">
    <w:name w:val="Footprint12b"/>
    <w:basedOn w:val="Normal"/>
    <w:rsid w:val="00853678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853678"/>
    <w:rPr>
      <w:szCs w:val="24"/>
    </w:rPr>
  </w:style>
  <w:style w:type="character" w:styleId="Hyperlink">
    <w:name w:val="Hyperlink"/>
    <w:basedOn w:val="DefaultParagraphFont"/>
    <w:uiPriority w:val="99"/>
    <w:rsid w:val="00853678"/>
    <w:rPr>
      <w:color w:val="0563C1" w:themeColor="hyperlink"/>
      <w:u w:val="single"/>
    </w:rPr>
  </w:style>
  <w:style w:type="character" w:customStyle="1" w:styleId="erplproduct-name">
    <w:name w:val="erpl_product-name"/>
    <w:basedOn w:val="DefaultParagraphFont"/>
    <w:rsid w:val="00853678"/>
  </w:style>
  <w:style w:type="paragraph" w:styleId="BalloonText">
    <w:name w:val="Balloon Text"/>
    <w:basedOn w:val="Normal"/>
    <w:link w:val="BalloonTextChar"/>
    <w:uiPriority w:val="99"/>
    <w:unhideWhenUsed/>
    <w:rsid w:val="008536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53678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uiPriority w:val="99"/>
    <w:qFormat/>
    <w:rsid w:val="00853678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rsid w:val="00853678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rsid w:val="00853678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53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53678"/>
    <w:rPr>
      <w:b/>
      <w:bCs/>
      <w:lang w:val="hu-HU"/>
    </w:rPr>
  </w:style>
  <w:style w:type="paragraph" w:styleId="Revision">
    <w:name w:val="Revision"/>
    <w:hidden/>
    <w:uiPriority w:val="99"/>
    <w:semiHidden/>
    <w:rsid w:val="00853678"/>
    <w:rPr>
      <w:sz w:val="24"/>
      <w:lang w:val="hu-HU"/>
    </w:rPr>
  </w:style>
  <w:style w:type="character" w:styleId="UnresolvedMention">
    <w:name w:val="Unresolved Mention"/>
    <w:basedOn w:val="DefaultParagraphFont"/>
    <w:uiPriority w:val="99"/>
    <w:semiHidden/>
    <w:unhideWhenUsed/>
    <w:rsid w:val="00853678"/>
    <w:rPr>
      <w:color w:val="605E5C"/>
      <w:shd w:val="clear" w:color="auto" w:fill="E1DFDD"/>
    </w:rPr>
  </w:style>
  <w:style w:type="character" w:customStyle="1" w:styleId="NormalBold12bChar">
    <w:name w:val="NormalBold12b Char"/>
    <w:basedOn w:val="DefaultParagraphFont"/>
    <w:link w:val="NormalBold12b"/>
    <w:rsid w:val="00853678"/>
    <w:rPr>
      <w:b/>
      <w:sz w:val="24"/>
      <w:lang w:val="hu-HU"/>
    </w:rPr>
  </w:style>
  <w:style w:type="paragraph" w:customStyle="1" w:styleId="Normal12a">
    <w:name w:val="Normal12a"/>
    <w:basedOn w:val="Normal"/>
    <w:rsid w:val="00853678"/>
    <w:pPr>
      <w:spacing w:after="240"/>
    </w:pPr>
  </w:style>
  <w:style w:type="paragraph" w:customStyle="1" w:styleId="RollCallVotes">
    <w:name w:val="RollCallVotes"/>
    <w:basedOn w:val="Normal"/>
    <w:rsid w:val="0085367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5367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5367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53678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853678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rsid w:val="00853678"/>
    <w:rPr>
      <w:szCs w:val="24"/>
    </w:rPr>
  </w:style>
  <w:style w:type="paragraph" w:styleId="Footer">
    <w:name w:val="footer"/>
    <w:basedOn w:val="Normal"/>
    <w:link w:val="FooterChar"/>
    <w:uiPriority w:val="99"/>
    <w:rsid w:val="008536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678"/>
    <w:rPr>
      <w:sz w:val="24"/>
      <w:lang w:val="hu-HU"/>
    </w:rPr>
  </w:style>
  <w:style w:type="paragraph" w:customStyle="1" w:styleId="AmDocTypeTab">
    <w:name w:val="AmDocTypeTab"/>
    <w:basedOn w:val="Normal"/>
    <w:rsid w:val="00764B2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64B23"/>
    <w:pPr>
      <w:spacing w:after="240"/>
      <w:jc w:val="center"/>
    </w:pPr>
  </w:style>
  <w:style w:type="paragraph" w:customStyle="1" w:styleId="AmDateTab">
    <w:name w:val="AmDateTab"/>
    <w:basedOn w:val="Normal"/>
    <w:rsid w:val="00764B2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64B23"/>
    <w:pPr>
      <w:spacing w:before="720" w:after="240"/>
      <w:jc w:val="center"/>
    </w:pPr>
  </w:style>
  <w:style w:type="paragraph" w:customStyle="1" w:styleId="FootnoteTextForceStyle">
    <w:name w:val="Footnote Text ForceStyle"/>
    <w:rsid w:val="00764B23"/>
    <w:pPr>
      <w:keepLines/>
      <w:widowControl w:val="0"/>
      <w:spacing w:line="240" w:lineRule="exact"/>
      <w:ind w:left="850" w:hanging="850"/>
    </w:pPr>
    <w:rPr>
      <w:sz w:val="24"/>
      <w:lang w:val="hu-HU" w:eastAsia="en-US"/>
    </w:rPr>
  </w:style>
  <w:style w:type="numbering" w:customStyle="1" w:styleId="NoList1">
    <w:name w:val="No List1"/>
    <w:next w:val="NoList"/>
    <w:uiPriority w:val="99"/>
    <w:semiHidden/>
    <w:unhideWhenUsed/>
    <w:rsid w:val="00764B23"/>
  </w:style>
  <w:style w:type="paragraph" w:customStyle="1" w:styleId="Title1">
    <w:name w:val="Title1"/>
    <w:basedOn w:val="Normal"/>
    <w:next w:val="Normal"/>
    <w:uiPriority w:val="10"/>
    <w:qFormat/>
    <w:rsid w:val="00764B23"/>
    <w:pPr>
      <w:widowControl/>
      <w:spacing w:before="120" w:after="80"/>
      <w:contextualSpacing/>
    </w:pPr>
    <w:rPr>
      <w:rFonts w:ascii="Cambria" w:eastAsia="MS Gothic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64B23"/>
    <w:rPr>
      <w:rFonts w:ascii="Cambria" w:eastAsia="MS Gothic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764B23"/>
    <w:pPr>
      <w:widowControl/>
      <w:numPr>
        <w:ilvl w:val="1"/>
      </w:numPr>
      <w:spacing w:before="120" w:after="160" w:line="360" w:lineRule="auto"/>
    </w:pPr>
    <w:rPr>
      <w:rFonts w:ascii="Calibri" w:eastAsia="MS Gothic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64B23"/>
    <w:rPr>
      <w:rFonts w:eastAsia="MS Gothic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764B23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64B23"/>
    <w:rPr>
      <w:i/>
      <w:iCs/>
      <w:color w:val="404040"/>
      <w:sz w:val="24"/>
    </w:rPr>
  </w:style>
  <w:style w:type="paragraph" w:styleId="ListParagraph">
    <w:name w:val="List Paragraph"/>
    <w:basedOn w:val="Normal"/>
    <w:uiPriority w:val="34"/>
    <w:qFormat/>
    <w:rsid w:val="00764B23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764B23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764B23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B23"/>
    <w:rPr>
      <w:i/>
      <w:iCs/>
      <w:color w:val="365F91"/>
      <w:sz w:val="24"/>
    </w:rPr>
  </w:style>
  <w:style w:type="character" w:customStyle="1" w:styleId="IntenseReference1">
    <w:name w:val="Intense Reference1"/>
    <w:basedOn w:val="DefaultParagraphFont"/>
    <w:uiPriority w:val="32"/>
    <w:qFormat/>
    <w:rsid w:val="00764B23"/>
    <w:rPr>
      <w:b/>
      <w:bCs/>
      <w:smallCaps/>
      <w:color w:val="365F91"/>
      <w:spacing w:val="5"/>
    </w:rPr>
  </w:style>
  <w:style w:type="paragraph" w:customStyle="1" w:styleId="Text1">
    <w:name w:val="Text 1"/>
    <w:basedOn w:val="Normal"/>
    <w:rsid w:val="00764B2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764B2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64B2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764B2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764B2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64B2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64B2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64B2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764B23"/>
    <w:pPr>
      <w:widowControl/>
      <w:numPr>
        <w:numId w:val="3"/>
      </w:numPr>
      <w:tabs>
        <w:tab w:val="num" w:pos="360"/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64B2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64B23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64B23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64B23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64B23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764B2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64B23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64B23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764B23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764B2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Normal"/>
    <w:rsid w:val="00764B2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764B23"/>
    <w:pPr>
      <w:widowControl/>
      <w:spacing w:before="360" w:after="24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764B2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character" w:customStyle="1" w:styleId="Mention1">
    <w:name w:val="Mention1"/>
    <w:basedOn w:val="DefaultParagraphFont"/>
    <w:uiPriority w:val="99"/>
    <w:unhideWhenUsed/>
    <w:rsid w:val="00764B23"/>
    <w:rPr>
      <w:color w:val="2B579A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4B23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764B23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64B23"/>
    <w:pPr>
      <w:contextualSpacing/>
    </w:pPr>
    <w:rPr>
      <w:rFonts w:ascii="Cambria" w:eastAsia="MS Gothic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764B23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B23"/>
    <w:pPr>
      <w:numPr>
        <w:ilvl w:val="1"/>
      </w:numPr>
      <w:spacing w:after="160"/>
    </w:pPr>
    <w:rPr>
      <w:rFonts w:eastAsia="MS Gothic"/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764B2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764B23"/>
    <w:pPr>
      <w:spacing w:before="200" w:after="160"/>
      <w:ind w:left="864" w:right="864"/>
      <w:jc w:val="center"/>
    </w:pPr>
    <w:rPr>
      <w:i/>
      <w:iCs/>
      <w:color w:val="404040"/>
      <w:lang w:val="en-GB"/>
    </w:rPr>
  </w:style>
  <w:style w:type="character" w:customStyle="1" w:styleId="QuoteChar1">
    <w:name w:val="Quote Char1"/>
    <w:basedOn w:val="DefaultParagraphFont"/>
    <w:uiPriority w:val="29"/>
    <w:rsid w:val="00764B23"/>
    <w:rPr>
      <w:i/>
      <w:iCs/>
      <w:color w:val="404040" w:themeColor="text1" w:themeTint="BF"/>
      <w:sz w:val="24"/>
      <w:lang w:val="hu-HU"/>
    </w:rPr>
  </w:style>
  <w:style w:type="character" w:styleId="IntenseEmphasis">
    <w:name w:val="Intense Emphasis"/>
    <w:basedOn w:val="DefaultParagraphFont"/>
    <w:uiPriority w:val="21"/>
    <w:qFormat/>
    <w:rsid w:val="00764B23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B2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  <w:lang w:val="en-GB"/>
    </w:rPr>
  </w:style>
  <w:style w:type="character" w:customStyle="1" w:styleId="IntenseQuoteChar1">
    <w:name w:val="Intense Quote Char1"/>
    <w:basedOn w:val="DefaultParagraphFont"/>
    <w:uiPriority w:val="30"/>
    <w:rsid w:val="00764B23"/>
    <w:rPr>
      <w:i/>
      <w:iCs/>
      <w:color w:val="5B9BD5" w:themeColor="accent1"/>
      <w:sz w:val="24"/>
      <w:lang w:val="hu-HU"/>
    </w:rPr>
  </w:style>
  <w:style w:type="character" w:styleId="IntenseReference">
    <w:name w:val="Intense Reference"/>
    <w:basedOn w:val="DefaultParagraphFont"/>
    <w:uiPriority w:val="32"/>
    <w:qFormat/>
    <w:rsid w:val="00764B23"/>
    <w:rPr>
      <w:b/>
      <w:bCs/>
      <w:smallCaps/>
      <w:color w:val="5B9BD5" w:themeColor="accent1"/>
      <w:spacing w:val="5"/>
    </w:rPr>
  </w:style>
  <w:style w:type="character" w:styleId="FollowedHyperlink">
    <w:name w:val="FollowedHyperlink"/>
    <w:basedOn w:val="DefaultParagraphFont"/>
    <w:uiPriority w:val="99"/>
    <w:rsid w:val="00764B23"/>
    <w:rPr>
      <w:color w:val="954F72" w:themeColor="followed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64B23"/>
  </w:style>
  <w:style w:type="paragraph" w:styleId="ListBullet">
    <w:name w:val="List Bullet"/>
    <w:basedOn w:val="Normal"/>
    <w:uiPriority w:val="99"/>
    <w:unhideWhenUsed/>
    <w:rsid w:val="00764B23"/>
    <w:pPr>
      <w:widowControl/>
      <w:tabs>
        <w:tab w:val="num" w:pos="360"/>
      </w:tabs>
      <w:spacing w:before="120" w:after="120" w:line="360" w:lineRule="auto"/>
      <w:ind w:left="360" w:hanging="360"/>
      <w:contextualSpacing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764B23"/>
    <w:pPr>
      <w:widowControl/>
      <w:tabs>
        <w:tab w:val="num" w:pos="360"/>
        <w:tab w:val="num" w:pos="567"/>
      </w:tabs>
      <w:spacing w:before="120" w:after="120" w:line="360" w:lineRule="auto"/>
      <w:ind w:left="567" w:hanging="567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764B23"/>
    <w:pPr>
      <w:widowControl/>
      <w:tabs>
        <w:tab w:val="num" w:pos="720"/>
      </w:tabs>
      <w:spacing w:before="120" w:after="120" w:line="360" w:lineRule="auto"/>
      <w:ind w:left="720" w:hanging="360"/>
      <w:contextualSpacing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764B23"/>
    <w:pPr>
      <w:widowControl/>
      <w:tabs>
        <w:tab w:val="num" w:pos="720"/>
      </w:tabs>
      <w:spacing w:before="120" w:after="120" w:line="360" w:lineRule="auto"/>
      <w:ind w:left="720" w:hanging="360"/>
      <w:contextualSpacing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rsid w:val="00764B23"/>
    <w:pPr>
      <w:widowControl/>
      <w:tabs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764B23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764B23"/>
    <w:pPr>
      <w:widowControl/>
      <w:spacing w:before="120" w:line="360" w:lineRule="auto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764B23"/>
    <w:pPr>
      <w:widowControl/>
      <w:tabs>
        <w:tab w:val="num" w:pos="1080"/>
      </w:tabs>
      <w:spacing w:before="120" w:after="120" w:line="360" w:lineRule="auto"/>
      <w:ind w:left="1080" w:hanging="360"/>
      <w:contextualSpacing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764B23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764B23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764B23"/>
    <w:rPr>
      <w:i/>
      <w:iCs/>
    </w:rPr>
  </w:style>
  <w:style w:type="paragraph" w:styleId="TOC4">
    <w:name w:val="toc 4"/>
    <w:basedOn w:val="Normal"/>
    <w:next w:val="Normal"/>
    <w:uiPriority w:val="39"/>
    <w:unhideWhenUsed/>
    <w:rsid w:val="00764B2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64B23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64B23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64B23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64B2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64B2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764B2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764B23"/>
    <w:pPr>
      <w:widowControl/>
      <w:spacing w:after="120" w:line="360" w:lineRule="auto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764B2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764B2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64B2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764B23"/>
    <w:pPr>
      <w:numPr>
        <w:numId w:val="4"/>
      </w:numPr>
      <w:tabs>
        <w:tab w:val="clear" w:pos="850"/>
        <w:tab w:val="num" w:pos="1800"/>
      </w:tabs>
      <w:ind w:left="0" w:firstLine="0"/>
    </w:pPr>
  </w:style>
  <w:style w:type="paragraph" w:customStyle="1" w:styleId="Tiret2">
    <w:name w:val="Tiret 2"/>
    <w:basedOn w:val="Point2"/>
    <w:rsid w:val="00764B23"/>
    <w:pPr>
      <w:numPr>
        <w:numId w:val="5"/>
      </w:numPr>
      <w:tabs>
        <w:tab w:val="num" w:pos="360"/>
        <w:tab w:val="clear" w:pos="1984"/>
      </w:tabs>
      <w:ind w:left="0" w:firstLine="0"/>
    </w:pPr>
  </w:style>
  <w:style w:type="paragraph" w:customStyle="1" w:styleId="Tiret3">
    <w:name w:val="Tiret 3"/>
    <w:basedOn w:val="Point3"/>
    <w:rsid w:val="00764B23"/>
    <w:pPr>
      <w:numPr>
        <w:numId w:val="6"/>
      </w:numPr>
      <w:tabs>
        <w:tab w:val="num" w:pos="360"/>
        <w:tab w:val="clear" w:pos="2551"/>
      </w:tabs>
      <w:ind w:left="0" w:firstLine="0"/>
    </w:pPr>
  </w:style>
  <w:style w:type="paragraph" w:customStyle="1" w:styleId="Tiret4">
    <w:name w:val="Tiret 4"/>
    <w:basedOn w:val="Point4"/>
    <w:rsid w:val="00764B23"/>
    <w:pPr>
      <w:numPr>
        <w:numId w:val="7"/>
      </w:numPr>
      <w:tabs>
        <w:tab w:val="num" w:pos="720"/>
        <w:tab w:val="clear" w:pos="3118"/>
      </w:tabs>
      <w:ind w:left="0" w:firstLine="0"/>
    </w:pPr>
  </w:style>
  <w:style w:type="paragraph" w:customStyle="1" w:styleId="PointDouble0">
    <w:name w:val="PointDouble 0"/>
    <w:basedOn w:val="Normal"/>
    <w:rsid w:val="00764B23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64B23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64B23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64B23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64B23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64B2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64B2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64B2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64B2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64B2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764B23"/>
    <w:pPr>
      <w:widowControl/>
      <w:numPr>
        <w:numId w:val="8"/>
      </w:numPr>
      <w:tabs>
        <w:tab w:val="num" w:pos="720"/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764B23"/>
    <w:pPr>
      <w:widowControl/>
      <w:numPr>
        <w:ilvl w:val="1"/>
        <w:numId w:val="8"/>
      </w:numPr>
      <w:tabs>
        <w:tab w:val="num" w:pos="720"/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764B23"/>
    <w:pPr>
      <w:widowControl/>
      <w:numPr>
        <w:ilvl w:val="2"/>
        <w:numId w:val="8"/>
      </w:numPr>
      <w:tabs>
        <w:tab w:val="num" w:pos="720"/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764B23"/>
    <w:pPr>
      <w:widowControl/>
      <w:numPr>
        <w:ilvl w:val="3"/>
        <w:numId w:val="8"/>
      </w:numPr>
      <w:tabs>
        <w:tab w:val="num" w:pos="720"/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64B2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64B2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64B2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64B2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64B23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64B2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64B2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64B2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64B23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64B23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64B23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64B23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764B23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764B23"/>
    <w:pPr>
      <w:widowControl/>
      <w:numPr>
        <w:numId w:val="9"/>
      </w:numPr>
      <w:tabs>
        <w:tab w:val="clear" w:pos="850"/>
        <w:tab w:val="num" w:pos="108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64B23"/>
    <w:pPr>
      <w:widowControl/>
      <w:numPr>
        <w:ilvl w:val="2"/>
        <w:numId w:val="9"/>
      </w:numPr>
      <w:tabs>
        <w:tab w:val="num" w:pos="1080"/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64B23"/>
    <w:pPr>
      <w:widowControl/>
      <w:numPr>
        <w:ilvl w:val="4"/>
        <w:numId w:val="9"/>
      </w:numPr>
      <w:tabs>
        <w:tab w:val="num" w:pos="1080"/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64B23"/>
    <w:pPr>
      <w:widowControl/>
      <w:numPr>
        <w:ilvl w:val="6"/>
        <w:numId w:val="9"/>
      </w:numPr>
      <w:tabs>
        <w:tab w:val="num" w:pos="1080"/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64B23"/>
    <w:pPr>
      <w:widowControl/>
      <w:numPr>
        <w:ilvl w:val="1"/>
        <w:numId w:val="9"/>
      </w:numPr>
      <w:tabs>
        <w:tab w:val="clear" w:pos="850"/>
        <w:tab w:val="num" w:pos="108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64B23"/>
    <w:pPr>
      <w:widowControl/>
      <w:numPr>
        <w:ilvl w:val="3"/>
        <w:numId w:val="9"/>
      </w:numPr>
      <w:tabs>
        <w:tab w:val="num" w:pos="1080"/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64B23"/>
    <w:pPr>
      <w:widowControl/>
      <w:numPr>
        <w:ilvl w:val="5"/>
        <w:numId w:val="9"/>
      </w:numPr>
      <w:tabs>
        <w:tab w:val="num" w:pos="1080"/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64B23"/>
    <w:pPr>
      <w:widowControl/>
      <w:numPr>
        <w:ilvl w:val="7"/>
        <w:numId w:val="9"/>
      </w:numPr>
      <w:tabs>
        <w:tab w:val="num" w:pos="1080"/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64B23"/>
    <w:pPr>
      <w:widowControl/>
      <w:numPr>
        <w:ilvl w:val="8"/>
        <w:numId w:val="9"/>
      </w:numPr>
      <w:tabs>
        <w:tab w:val="num" w:pos="1080"/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764B23"/>
    <w:pPr>
      <w:widowControl/>
      <w:numPr>
        <w:numId w:val="10"/>
      </w:numPr>
      <w:tabs>
        <w:tab w:val="clear" w:pos="850"/>
        <w:tab w:val="num" w:pos="144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764B23"/>
    <w:pPr>
      <w:widowControl/>
      <w:spacing w:line="360" w:lineRule="auto"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764B2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764B23"/>
    <w:pPr>
      <w:widowControl/>
      <w:spacing w:after="240" w:line="360" w:lineRule="auto"/>
      <w:ind w:left="5103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764B23"/>
    <w:pPr>
      <w:widowControl/>
      <w:spacing w:line="360" w:lineRule="auto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764B23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764B23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764B23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764B23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764B23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764B23"/>
    <w:pPr>
      <w:keepNext/>
      <w:widowControl/>
      <w:spacing w:before="480" w:after="120" w:line="360" w:lineRule="auto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764B23"/>
    <w:pPr>
      <w:widowControl/>
      <w:spacing w:before="36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Normal"/>
    <w:rsid w:val="00764B23"/>
    <w:pPr>
      <w:widowControl/>
      <w:spacing w:before="240" w:after="240" w:line="360" w:lineRule="auto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764B23"/>
    <w:pPr>
      <w:widowControl/>
      <w:numPr>
        <w:numId w:val="11"/>
      </w:numPr>
      <w:tabs>
        <w:tab w:val="clear" w:pos="709"/>
        <w:tab w:val="num" w:pos="144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64B2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764B2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764B2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764B23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764B23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764B23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764B23"/>
    <w:pPr>
      <w:widowControl/>
      <w:spacing w:before="120" w:after="120" w:line="360" w:lineRule="auto"/>
    </w:pPr>
    <w:rPr>
      <w:rFonts w:eastAsia="Calibri"/>
      <w:i/>
      <w:caps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764B23"/>
    <w:rPr>
      <w:rFonts w:ascii="Times New Roman" w:hAnsi="Times New Roman" w:cs="Times New Roman"/>
      <w:sz w:val="24"/>
      <w:lang w:val="hu-HU"/>
    </w:rPr>
  </w:style>
  <w:style w:type="paragraph" w:customStyle="1" w:styleId="Lignefinal">
    <w:name w:val="Ligne final"/>
    <w:basedOn w:val="Normal"/>
    <w:next w:val="Normal"/>
    <w:rsid w:val="00764B2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764B2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link w:val="pjChar"/>
    <w:rsid w:val="00764B23"/>
    <w:pPr>
      <w:widowControl/>
      <w:spacing w:before="1200" w:after="120" w:line="360" w:lineRule="auto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764B23"/>
    <w:rPr>
      <w:rFonts w:ascii="Times New Roman" w:eastAsia="Calibri" w:hAnsi="Times New Roman" w:cs="Times New Roman"/>
      <w:sz w:val="24"/>
      <w:szCs w:val="22"/>
      <w:lang w:val="hu-HU" w:eastAsia="en-US"/>
    </w:rPr>
  </w:style>
  <w:style w:type="paragraph" w:customStyle="1" w:styleId="nbbordered">
    <w:name w:val="nb bordered"/>
    <w:basedOn w:val="Normal"/>
    <w:link w:val="nbborderedChar"/>
    <w:rsid w:val="00764B2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 w:line="360" w:lineRule="auto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764B23"/>
    <w:rPr>
      <w:rFonts w:ascii="Times New Roman" w:eastAsia="Calibri" w:hAnsi="Times New Roman" w:cs="Times New Roman"/>
      <w:b/>
      <w:sz w:val="24"/>
      <w:szCs w:val="22"/>
      <w:lang w:val="hu-HU" w:eastAsia="en-US"/>
    </w:rPr>
  </w:style>
  <w:style w:type="character" w:customStyle="1" w:styleId="HeaderCouncilChar">
    <w:name w:val="Header Council Char"/>
    <w:basedOn w:val="DefaultParagraphFont"/>
    <w:rsid w:val="00764B23"/>
    <w:rPr>
      <w:rFonts w:ascii="Times New Roman" w:hAnsi="Times New Roman" w:cs="Times New Roman"/>
      <w:sz w:val="2"/>
      <w:lang w:val="hu-HU"/>
    </w:rPr>
  </w:style>
  <w:style w:type="paragraph" w:customStyle="1" w:styleId="HeaderCouncilLarge">
    <w:name w:val="Header Council Large"/>
    <w:basedOn w:val="Normal"/>
    <w:link w:val="HeaderCouncilLargeChar"/>
    <w:rsid w:val="00764B23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764B23"/>
    <w:rPr>
      <w:rFonts w:eastAsia="Calibri"/>
      <w:sz w:val="2"/>
      <w:szCs w:val="22"/>
      <w:lang w:val="hu-HU" w:eastAsia="en-US"/>
    </w:rPr>
  </w:style>
  <w:style w:type="character" w:customStyle="1" w:styleId="FooterCouncilChar">
    <w:name w:val="Footer Council Char"/>
    <w:basedOn w:val="DefaultParagraphFont"/>
    <w:rsid w:val="00764B23"/>
    <w:rPr>
      <w:rFonts w:ascii="Times New Roman" w:hAnsi="Times New Roman" w:cs="Times New Roman"/>
      <w:sz w:val="2"/>
      <w:lang w:val="hu-HU"/>
    </w:rPr>
  </w:style>
  <w:style w:type="paragraph" w:customStyle="1" w:styleId="FooterText">
    <w:name w:val="Footer Text"/>
    <w:basedOn w:val="Normal"/>
    <w:rsid w:val="00764B23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64B23"/>
    <w:rPr>
      <w:color w:val="808080"/>
    </w:rPr>
  </w:style>
  <w:style w:type="paragraph" w:customStyle="1" w:styleId="NormalCentered">
    <w:name w:val="Normal Centered"/>
    <w:basedOn w:val="Normal"/>
    <w:rsid w:val="00764B23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64B23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764B23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64B23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64B23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764B23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64B2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764B23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764B2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764B2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4">
    <w:name w:val="Text 4"/>
    <w:basedOn w:val="Normal"/>
    <w:rsid w:val="00764B23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64B23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64B23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764B23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764B23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764B23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764B23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764B23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764B2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764B2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764B2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764B2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764B2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764B23"/>
    <w:pPr>
      <w:widowControl/>
      <w:numPr>
        <w:ilvl w:val="1"/>
        <w:numId w:val="27"/>
      </w:numPr>
      <w:tabs>
        <w:tab w:val="num" w:pos="360"/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764B23"/>
    <w:pPr>
      <w:widowControl/>
      <w:numPr>
        <w:ilvl w:val="3"/>
        <w:numId w:val="27"/>
      </w:numPr>
      <w:tabs>
        <w:tab w:val="num" w:pos="360"/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764B23"/>
    <w:pPr>
      <w:widowControl/>
      <w:numPr>
        <w:ilvl w:val="5"/>
        <w:numId w:val="27"/>
      </w:numPr>
      <w:tabs>
        <w:tab w:val="num" w:pos="360"/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764B23"/>
    <w:pPr>
      <w:widowControl/>
      <w:numPr>
        <w:ilvl w:val="7"/>
        <w:numId w:val="27"/>
      </w:numPr>
      <w:tabs>
        <w:tab w:val="num" w:pos="360"/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764B23"/>
    <w:pPr>
      <w:widowControl/>
      <w:numPr>
        <w:ilvl w:val="8"/>
        <w:numId w:val="27"/>
      </w:numPr>
      <w:tabs>
        <w:tab w:val="num" w:pos="360"/>
        <w:tab w:val="clear" w:pos="283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764B23"/>
    <w:pPr>
      <w:widowControl/>
      <w:numPr>
        <w:numId w:val="27"/>
      </w:numPr>
      <w:tabs>
        <w:tab w:val="num" w:pos="360"/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764B23"/>
    <w:pPr>
      <w:widowControl/>
      <w:numPr>
        <w:ilvl w:val="2"/>
        <w:numId w:val="27"/>
      </w:numPr>
      <w:tabs>
        <w:tab w:val="num" w:pos="360"/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764B23"/>
    <w:pPr>
      <w:widowControl/>
      <w:numPr>
        <w:ilvl w:val="4"/>
        <w:numId w:val="27"/>
      </w:numPr>
      <w:tabs>
        <w:tab w:val="num" w:pos="360"/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764B23"/>
    <w:pPr>
      <w:widowControl/>
      <w:numPr>
        <w:ilvl w:val="6"/>
        <w:numId w:val="27"/>
      </w:numPr>
      <w:tabs>
        <w:tab w:val="num" w:pos="360"/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764B23"/>
    <w:pPr>
      <w:widowControl/>
      <w:numPr>
        <w:numId w:val="28"/>
      </w:numPr>
      <w:tabs>
        <w:tab w:val="num" w:pos="360"/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764B23"/>
    <w:pPr>
      <w:widowControl/>
      <w:numPr>
        <w:ilvl w:val="1"/>
        <w:numId w:val="28"/>
      </w:numPr>
      <w:tabs>
        <w:tab w:val="num" w:pos="360"/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764B23"/>
    <w:pPr>
      <w:widowControl/>
      <w:numPr>
        <w:ilvl w:val="2"/>
        <w:numId w:val="28"/>
      </w:numPr>
      <w:tabs>
        <w:tab w:val="num" w:pos="360"/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764B23"/>
    <w:pPr>
      <w:widowControl/>
      <w:numPr>
        <w:ilvl w:val="3"/>
        <w:numId w:val="28"/>
      </w:numPr>
      <w:tabs>
        <w:tab w:val="num" w:pos="360"/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764B23"/>
    <w:pPr>
      <w:widowControl/>
      <w:numPr>
        <w:ilvl w:val="4"/>
        <w:numId w:val="28"/>
      </w:numPr>
      <w:tabs>
        <w:tab w:val="num" w:pos="360"/>
        <w:tab w:val="clear" w:pos="283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764B23"/>
    <w:pPr>
      <w:widowControl/>
      <w:numPr>
        <w:numId w:val="22"/>
      </w:numPr>
      <w:tabs>
        <w:tab w:val="num" w:pos="360"/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64B23"/>
    <w:pPr>
      <w:widowControl/>
      <w:numPr>
        <w:numId w:val="23"/>
      </w:numPr>
      <w:tabs>
        <w:tab w:val="num" w:pos="360"/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64B23"/>
    <w:pPr>
      <w:widowControl/>
      <w:numPr>
        <w:numId w:val="24"/>
      </w:numPr>
      <w:tabs>
        <w:tab w:val="num" w:pos="360"/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64B23"/>
    <w:pPr>
      <w:widowControl/>
      <w:numPr>
        <w:numId w:val="25"/>
      </w:numPr>
      <w:tabs>
        <w:tab w:val="num" w:pos="360"/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64B23"/>
    <w:pPr>
      <w:widowControl/>
      <w:numPr>
        <w:numId w:val="26"/>
      </w:numPr>
      <w:tabs>
        <w:tab w:val="num" w:pos="360"/>
        <w:tab w:val="clear" w:pos="283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764B23"/>
    <w:pPr>
      <w:widowControl/>
      <w:numPr>
        <w:numId w:val="12"/>
      </w:numPr>
      <w:tabs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764B23"/>
    <w:pPr>
      <w:widowControl/>
      <w:numPr>
        <w:numId w:val="13"/>
      </w:numPr>
      <w:tabs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764B23"/>
    <w:pPr>
      <w:widowControl/>
      <w:numPr>
        <w:numId w:val="14"/>
      </w:numPr>
      <w:tabs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764B23"/>
    <w:pPr>
      <w:widowControl/>
      <w:numPr>
        <w:numId w:val="15"/>
      </w:numPr>
      <w:tabs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764B23"/>
    <w:pPr>
      <w:widowControl/>
      <w:numPr>
        <w:numId w:val="16"/>
      </w:numPr>
      <w:tabs>
        <w:tab w:val="clear" w:pos="283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764B23"/>
    <w:pPr>
      <w:numPr>
        <w:numId w:val="17"/>
      </w:numPr>
      <w:tabs>
        <w:tab w:val="clear" w:pos="567"/>
      </w:tabs>
      <w:ind w:left="0" w:firstLine="0"/>
    </w:pPr>
  </w:style>
  <w:style w:type="paragraph" w:customStyle="1" w:styleId="DashEqual1">
    <w:name w:val="Dash Equal 1"/>
    <w:basedOn w:val="Dash1"/>
    <w:rsid w:val="00764B23"/>
    <w:pPr>
      <w:numPr>
        <w:numId w:val="18"/>
      </w:numPr>
      <w:tabs>
        <w:tab w:val="clear" w:pos="1134"/>
      </w:tabs>
      <w:ind w:left="0" w:firstLine="0"/>
    </w:pPr>
  </w:style>
  <w:style w:type="paragraph" w:customStyle="1" w:styleId="DashEqual2">
    <w:name w:val="Dash Equal 2"/>
    <w:basedOn w:val="Dash2"/>
    <w:rsid w:val="00764B23"/>
    <w:pPr>
      <w:numPr>
        <w:numId w:val="19"/>
      </w:numPr>
      <w:tabs>
        <w:tab w:val="num" w:pos="850"/>
        <w:tab w:val="clear" w:pos="1701"/>
      </w:tabs>
      <w:ind w:left="0" w:firstLine="0"/>
    </w:pPr>
  </w:style>
  <w:style w:type="paragraph" w:customStyle="1" w:styleId="DashEqual3">
    <w:name w:val="Dash Equal 3"/>
    <w:basedOn w:val="Dash3"/>
    <w:rsid w:val="00764B23"/>
    <w:pPr>
      <w:numPr>
        <w:numId w:val="20"/>
      </w:numPr>
      <w:tabs>
        <w:tab w:val="num" w:pos="1417"/>
        <w:tab w:val="clear" w:pos="2268"/>
      </w:tabs>
      <w:ind w:left="0" w:firstLine="0"/>
    </w:pPr>
  </w:style>
  <w:style w:type="paragraph" w:customStyle="1" w:styleId="DashEqual4">
    <w:name w:val="Dash Equal 4"/>
    <w:basedOn w:val="Dash4"/>
    <w:rsid w:val="00764B23"/>
    <w:pPr>
      <w:numPr>
        <w:numId w:val="21"/>
      </w:numPr>
      <w:tabs>
        <w:tab w:val="num" w:pos="360"/>
        <w:tab w:val="clear" w:pos="2835"/>
      </w:tabs>
      <w:ind w:left="0" w:firstLine="0"/>
    </w:pPr>
  </w:style>
  <w:style w:type="character" w:customStyle="1" w:styleId="Marker">
    <w:name w:val="Marker"/>
    <w:basedOn w:val="DefaultParagraphFont"/>
    <w:rsid w:val="00764B2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764B23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764B23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764B23"/>
    <w:pPr>
      <w:numPr>
        <w:numId w:val="31"/>
      </w:numPr>
      <w:tabs>
        <w:tab w:val="num" w:pos="360"/>
        <w:tab w:val="clear" w:pos="567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764B23"/>
    <w:pPr>
      <w:numPr>
        <w:numId w:val="30"/>
      </w:numPr>
      <w:tabs>
        <w:tab w:val="num" w:pos="360"/>
        <w:tab w:val="clear" w:pos="567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764B23"/>
    <w:pPr>
      <w:numPr>
        <w:numId w:val="29"/>
      </w:numPr>
      <w:tabs>
        <w:tab w:val="num" w:pos="360"/>
        <w:tab w:val="clear" w:pos="567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764B23"/>
    <w:pPr>
      <w:jc w:val="center"/>
    </w:pPr>
  </w:style>
  <w:style w:type="paragraph" w:customStyle="1" w:styleId="Jardin">
    <w:name w:val="Jardin"/>
    <w:basedOn w:val="Normal"/>
    <w:rsid w:val="00764B23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764B23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764B23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764B23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764B23"/>
    <w:rPr>
      <w:b/>
    </w:rPr>
  </w:style>
  <w:style w:type="paragraph" w:customStyle="1" w:styleId="Annex">
    <w:name w:val="Annex"/>
    <w:basedOn w:val="Normal"/>
    <w:next w:val="Normal"/>
    <w:rsid w:val="00764B23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764B23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764B23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764B23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764B23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64B23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64B23"/>
    <w:rPr>
      <w:rFonts w:eastAsia="Calibri"/>
      <w:lang w:val="hu-HU" w:eastAsia="en-US"/>
    </w:rPr>
  </w:style>
  <w:style w:type="character" w:styleId="EndnoteReference">
    <w:name w:val="endnote reference"/>
    <w:basedOn w:val="DefaultParagraphFont"/>
    <w:uiPriority w:val="99"/>
    <w:unhideWhenUsed/>
    <w:rsid w:val="00764B23"/>
    <w:rPr>
      <w:vertAlign w:val="superscript"/>
    </w:rPr>
  </w:style>
  <w:style w:type="character" w:customStyle="1" w:styleId="normaltextrun">
    <w:name w:val="normaltextrun"/>
    <w:basedOn w:val="DefaultParagraphFont"/>
    <w:rsid w:val="00764B23"/>
  </w:style>
  <w:style w:type="paragraph" w:customStyle="1" w:styleId="CharCharChar1">
    <w:name w:val="Char Char Char1"/>
    <w:basedOn w:val="Normal"/>
    <w:link w:val="FootnoteReference"/>
    <w:uiPriority w:val="99"/>
    <w:rsid w:val="00764B23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64B23"/>
    <w:pPr>
      <w:autoSpaceDE w:val="0"/>
      <w:autoSpaceDN w:val="0"/>
    </w:pPr>
    <w:rPr>
      <w:rFonts w:ascii="Cambria" w:eastAsia="Cambria" w:hAnsi="Cambria" w:cs="Cambria"/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64B23"/>
    <w:rPr>
      <w:rFonts w:ascii="Cambria" w:eastAsia="Cambria" w:hAnsi="Cambria" w:cs="Cambria"/>
      <w:sz w:val="19"/>
      <w:szCs w:val="19"/>
      <w:lang w:val="hu-HU" w:eastAsia="en-US"/>
    </w:rPr>
  </w:style>
  <w:style w:type="paragraph" w:customStyle="1" w:styleId="NumPar5">
    <w:name w:val="NumPar 5"/>
    <w:basedOn w:val="Normal"/>
    <w:next w:val="Text2"/>
    <w:rsid w:val="00764B23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764B23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764B23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Typeacteprincipal">
    <w:name w:val="Type acte principal"/>
    <w:basedOn w:val="Normal"/>
    <w:next w:val="Normal"/>
    <w:rsid w:val="00764B23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paragraph">
    <w:name w:val="paragraph"/>
    <w:basedOn w:val="Normal"/>
    <w:rsid w:val="00764B23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op">
    <w:name w:val="eop"/>
    <w:basedOn w:val="DefaultParagraphFont"/>
    <w:rsid w:val="00764B23"/>
  </w:style>
  <w:style w:type="character" w:customStyle="1" w:styleId="cf01">
    <w:name w:val="cf01"/>
    <w:basedOn w:val="DefaultParagraphFont"/>
    <w:rsid w:val="00764B23"/>
    <w:rPr>
      <w:rFonts w:ascii="Segoe UI" w:hAnsi="Segoe UI" w:cs="Segoe UI" w:hint="default"/>
      <w:b/>
      <w:bCs/>
      <w:sz w:val="18"/>
      <w:szCs w:val="18"/>
    </w:rPr>
  </w:style>
  <w:style w:type="paragraph" w:customStyle="1" w:styleId="TBEntInstit">
    <w:name w:val="TBEntInstit"/>
    <w:basedOn w:val="TechnicalBlockBase"/>
    <w:link w:val="EntInstitChar"/>
    <w:rsid w:val="00764B23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">
    <w:name w:val="TBEntRefer"/>
    <w:basedOn w:val="TechnicalBlockBase"/>
    <w:rsid w:val="00764B23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Par-number1">
    <w:name w:val="Par-number 1)"/>
    <w:basedOn w:val="Normal"/>
    <w:next w:val="Normal"/>
    <w:rsid w:val="00764B23"/>
    <w:pPr>
      <w:numPr>
        <w:numId w:val="32"/>
      </w:numPr>
      <w:tabs>
        <w:tab w:val="num" w:pos="360"/>
        <w:tab w:val="clear" w:pos="567"/>
      </w:tabs>
      <w:spacing w:line="216" w:lineRule="auto"/>
      <w:ind w:left="0" w:firstLine="0"/>
    </w:pPr>
    <w:rPr>
      <w:rFonts w:ascii="Arial" w:hAnsi="Arial" w:cs="Arial"/>
      <w:sz w:val="23"/>
      <w:lang w:eastAsia="fr-BE"/>
    </w:rPr>
  </w:style>
  <w:style w:type="paragraph" w:customStyle="1" w:styleId="Par-bullet">
    <w:name w:val="Par-bullet"/>
    <w:basedOn w:val="Normal"/>
    <w:next w:val="Normal"/>
    <w:rsid w:val="00764B23"/>
    <w:pPr>
      <w:numPr>
        <w:numId w:val="33"/>
      </w:numPr>
      <w:tabs>
        <w:tab w:val="num" w:pos="360"/>
        <w:tab w:val="clear" w:pos="567"/>
      </w:tabs>
      <w:spacing w:line="216" w:lineRule="auto"/>
      <w:ind w:left="0" w:firstLine="0"/>
    </w:pPr>
    <w:rPr>
      <w:rFonts w:ascii="Arial" w:hAnsi="Arial" w:cs="Arial"/>
      <w:sz w:val="23"/>
      <w:lang w:eastAsia="fr-BE"/>
    </w:rPr>
  </w:style>
  <w:style w:type="paragraph" w:customStyle="1" w:styleId="TBEntReferNew">
    <w:name w:val="TBEntReferNew"/>
    <w:basedOn w:val="TechnicalBlockBase"/>
    <w:rsid w:val="00764B23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764B23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764B23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764B23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paragraph" w:customStyle="1" w:styleId="TBSousEmbargo">
    <w:name w:val="TBSousEmbargo"/>
    <w:basedOn w:val="TechnicalBlockBase"/>
    <w:qFormat/>
    <w:rsid w:val="00764B23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character" w:customStyle="1" w:styleId="EntInstitChar">
    <w:name w:val="EntInstit Char"/>
    <w:basedOn w:val="DefaultParagraphFont"/>
    <w:link w:val="TBEntInstit"/>
    <w:rsid w:val="00764B23"/>
    <w:rPr>
      <w:rFonts w:ascii="Arial" w:hAnsi="Arial" w:cs="Arial"/>
      <w:b/>
      <w:sz w:val="23"/>
      <w:u w:color="606060"/>
      <w:lang w:val="hu-HU" w:eastAsia="fr-BE"/>
    </w:rPr>
  </w:style>
  <w:style w:type="paragraph" w:customStyle="1" w:styleId="TBSubjectTable">
    <w:name w:val="TBSubjectTable"/>
    <w:basedOn w:val="TechnicalBlockBase"/>
    <w:rsid w:val="00764B23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HeadingTable">
    <w:name w:val="TBHeadingTable"/>
    <w:basedOn w:val="TechnicalBlockBase"/>
    <w:rsid w:val="00764B23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764B23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echnicalBlockBase">
    <w:name w:val="TechnicalBlockBase"/>
    <w:link w:val="TechnicalBlockBaseChar"/>
    <w:rsid w:val="00764B23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hu-HU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764B23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hu-HU" w:eastAsia="fr-BE"/>
    </w:rPr>
  </w:style>
  <w:style w:type="paragraph" w:customStyle="1" w:styleId="Text7">
    <w:name w:val="Text 7"/>
    <w:basedOn w:val="Normal"/>
    <w:rsid w:val="00764B2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764B2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764B2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764B2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764B2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764B2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764B2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764B2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764B2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764B2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764B2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764B23"/>
    <w:pPr>
      <w:widowControl/>
      <w:numPr>
        <w:numId w:val="34"/>
      </w:numPr>
      <w:tabs>
        <w:tab w:val="num" w:pos="360"/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764B23"/>
    <w:pPr>
      <w:widowControl/>
      <w:numPr>
        <w:numId w:val="35"/>
      </w:numPr>
      <w:tabs>
        <w:tab w:val="num" w:pos="360"/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764B23"/>
    <w:pPr>
      <w:widowControl/>
      <w:numPr>
        <w:numId w:val="36"/>
      </w:numPr>
      <w:tabs>
        <w:tab w:val="num" w:pos="360"/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764B23"/>
    <w:pPr>
      <w:widowControl/>
      <w:numPr>
        <w:numId w:val="37"/>
      </w:numPr>
      <w:tabs>
        <w:tab w:val="num" w:pos="360"/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64B2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64B2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64B2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764B2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764B2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764B2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764B23"/>
    <w:pPr>
      <w:widowControl/>
      <w:numPr>
        <w:numId w:val="38"/>
      </w:numPr>
      <w:tabs>
        <w:tab w:val="num" w:pos="360"/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764B23"/>
    <w:pPr>
      <w:widowControl/>
      <w:numPr>
        <w:numId w:val="39"/>
      </w:numPr>
      <w:tabs>
        <w:tab w:val="num" w:pos="360"/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764B23"/>
    <w:pPr>
      <w:widowControl/>
      <w:numPr>
        <w:numId w:val="40"/>
      </w:numPr>
      <w:tabs>
        <w:tab w:val="num" w:pos="360"/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764B23"/>
    <w:pPr>
      <w:widowControl/>
      <w:numPr>
        <w:numId w:val="41"/>
      </w:numPr>
      <w:tabs>
        <w:tab w:val="num" w:pos="360"/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764B2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764B2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Sous-titreobjet">
    <w:name w:val="Sous-titre objet"/>
    <w:basedOn w:val="Normal"/>
    <w:rsid w:val="00764B23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764B2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764B23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764B23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764B23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764B23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764B23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764B2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764B23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764B2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764B23"/>
    <w:pPr>
      <w:spacing w:before="240"/>
    </w:pPr>
  </w:style>
  <w:style w:type="paragraph" w:customStyle="1" w:styleId="Accordtitre">
    <w:name w:val="Accord titre"/>
    <w:basedOn w:val="Normal"/>
    <w:rsid w:val="00764B23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764B2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764B2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764B23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64B2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764B23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764B2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764B2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764B2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764B2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764B2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764B2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764B2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764B2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764B2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764B2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764B2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764B2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764B2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764B2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764B2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764B2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764B2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764B2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764B2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764B2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764B2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764B2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764B2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764B23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764B2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764B2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764B2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hu-HU" w:eastAsia="en-US"/>
    </w:rPr>
  </w:style>
  <w:style w:type="paragraph" w:customStyle="1" w:styleId="CommentFwdQuotedText">
    <w:name w:val="CommentFwdQuotedText"/>
    <w:basedOn w:val="Normal"/>
    <w:rsid w:val="00764B2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764B23"/>
    <w:pPr>
      <w:pBdr>
        <w:top w:val="none" w:sz="0" w:space="0" w:color="auto"/>
        <w:left w:val="single" w:sz="4" w:space="20" w:color="auto"/>
      </w:pBdr>
    </w:pPr>
  </w:style>
  <w:style w:type="paragraph" w:customStyle="1" w:styleId="Annexetitreexposglobal">
    <w:name w:val="Annexe titre (exposé global)"/>
    <w:basedOn w:val="Normal"/>
    <w:next w:val="Normal"/>
    <w:uiPriority w:val="99"/>
    <w:rsid w:val="00764B23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764B23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764B23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764B23"/>
    <w:pPr>
      <w:widowControl/>
      <w:autoSpaceDE w:val="0"/>
      <w:autoSpaceDN w:val="0"/>
      <w:spacing w:before="120" w:after="120"/>
      <w:jc w:val="both"/>
    </w:pPr>
    <w:rPr>
      <w:b/>
      <w:bCs/>
      <w:szCs w:val="24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764B23"/>
    <w:pPr>
      <w:widowControl/>
      <w:autoSpaceDE w:val="0"/>
      <w:autoSpaceDN w:val="0"/>
      <w:spacing w:after="240"/>
      <w:ind w:left="5103"/>
    </w:pPr>
    <w:rPr>
      <w:szCs w:val="24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764B23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dimpactPMEtitre">
    <w:name w:val="Fiche d'impact PME titre"/>
    <w:basedOn w:val="Normal"/>
    <w:next w:val="Normal"/>
    <w:uiPriority w:val="99"/>
    <w:rsid w:val="00764B23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764B23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764B23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764B23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764B23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Langueoriginale">
    <w:name w:val="Langue originale"/>
    <w:basedOn w:val="Normal"/>
    <w:next w:val="Phrasefinale"/>
    <w:uiPriority w:val="99"/>
    <w:rsid w:val="00764B23"/>
    <w:pPr>
      <w:widowControl/>
      <w:autoSpaceDE w:val="0"/>
      <w:autoSpaceDN w:val="0"/>
      <w:spacing w:before="360" w:after="120"/>
      <w:jc w:val="center"/>
    </w:pPr>
    <w:rPr>
      <w:caps/>
      <w:szCs w:val="24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764B23"/>
    <w:pPr>
      <w:widowControl/>
      <w:autoSpaceDE w:val="0"/>
      <w:autoSpaceDN w:val="0"/>
      <w:spacing w:before="360"/>
      <w:jc w:val="center"/>
    </w:pPr>
    <w:rPr>
      <w:szCs w:val="24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764B23"/>
    <w:pPr>
      <w:widowControl/>
      <w:autoSpaceDE w:val="0"/>
      <w:autoSpaceDN w:val="0"/>
      <w:spacing w:before="360" w:after="360"/>
      <w:jc w:val="center"/>
    </w:pPr>
    <w:rPr>
      <w:b/>
      <w:bCs/>
      <w:szCs w:val="24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764B23"/>
    <w:pPr>
      <w:widowControl/>
      <w:autoSpaceDE w:val="0"/>
      <w:autoSpaceDN w:val="0"/>
      <w:spacing w:before="360"/>
      <w:jc w:val="center"/>
    </w:pPr>
    <w:rPr>
      <w:b/>
      <w:bCs/>
      <w:szCs w:val="24"/>
      <w:lang w:val="fr-FR"/>
    </w:rPr>
  </w:style>
  <w:style w:type="paragraph" w:styleId="TOAHeading">
    <w:name w:val="toa heading"/>
    <w:basedOn w:val="Normal"/>
    <w:next w:val="Normal"/>
    <w:uiPriority w:val="99"/>
    <w:rsid w:val="00764B23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764B23"/>
  </w:style>
  <w:style w:type="paragraph" w:customStyle="1" w:styleId="Titredumodificateur">
    <w:name w:val="Titre du modificateur"/>
    <w:basedOn w:val="Normal"/>
    <w:next w:val="Annexetitrefichefinacte"/>
    <w:uiPriority w:val="99"/>
    <w:rsid w:val="00764B23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764B23"/>
    <w:pPr>
      <w:widowControl/>
      <w:autoSpaceDE w:val="0"/>
      <w:autoSpaceDN w:val="0"/>
      <w:spacing w:after="120"/>
    </w:pPr>
    <w:rPr>
      <w:szCs w:val="24"/>
      <w:lang w:val="en-US"/>
    </w:rPr>
  </w:style>
  <w:style w:type="paragraph" w:customStyle="1" w:styleId="LegalNumPar">
    <w:name w:val="LegalNumPar"/>
    <w:basedOn w:val="Normal"/>
    <w:rsid w:val="00764B23"/>
    <w:pPr>
      <w:widowControl/>
      <w:numPr>
        <w:numId w:val="42"/>
      </w:numPr>
      <w:spacing w:before="120" w:after="120" w:line="360" w:lineRule="auto"/>
      <w:ind w:left="0" w:firstLine="0"/>
      <w:jc w:val="both"/>
    </w:pPr>
    <w:rPr>
      <w:szCs w:val="24"/>
      <w:lang w:val="fr-FR"/>
    </w:rPr>
  </w:style>
  <w:style w:type="paragraph" w:customStyle="1" w:styleId="LegalNumPar2">
    <w:name w:val="LegalNumPar2"/>
    <w:basedOn w:val="Normal"/>
    <w:rsid w:val="00764B23"/>
    <w:pPr>
      <w:widowControl/>
      <w:numPr>
        <w:ilvl w:val="1"/>
        <w:numId w:val="42"/>
      </w:numPr>
      <w:spacing w:before="120" w:after="120" w:line="360" w:lineRule="auto"/>
      <w:ind w:left="0" w:firstLine="0"/>
      <w:jc w:val="both"/>
    </w:pPr>
    <w:rPr>
      <w:szCs w:val="24"/>
      <w:lang w:val="fr-FR"/>
    </w:rPr>
  </w:style>
  <w:style w:type="paragraph" w:customStyle="1" w:styleId="LegalNumPar3">
    <w:name w:val="LegalNumPar3"/>
    <w:basedOn w:val="Normal"/>
    <w:rsid w:val="00764B23"/>
    <w:pPr>
      <w:widowControl/>
      <w:numPr>
        <w:ilvl w:val="2"/>
        <w:numId w:val="42"/>
      </w:numPr>
      <w:spacing w:before="120" w:after="120" w:line="360" w:lineRule="auto"/>
      <w:ind w:left="0" w:firstLine="0"/>
      <w:jc w:val="both"/>
    </w:pPr>
    <w:rPr>
      <w:szCs w:val="24"/>
      <w:lang w:val="fr-FR"/>
    </w:rPr>
  </w:style>
  <w:style w:type="paragraph" w:customStyle="1" w:styleId="ti-art">
    <w:name w:val="ti-art"/>
    <w:basedOn w:val="Normal"/>
    <w:rsid w:val="00764B23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Normal1">
    <w:name w:val="Normal1"/>
    <w:basedOn w:val="Normal"/>
    <w:rsid w:val="00764B23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Langue">
    <w:name w:val="Langue"/>
    <w:basedOn w:val="Normal"/>
    <w:next w:val="Rfrenceinterne"/>
    <w:rsid w:val="00764B23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764B23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764B23"/>
    <w:pPr>
      <w:spacing w:line="24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764B23"/>
    <w:pPr>
      <w:spacing w:line="240" w:lineRule="auto"/>
    </w:pPr>
  </w:style>
  <w:style w:type="paragraph" w:customStyle="1" w:styleId="IntrtEEEPagedecouverture">
    <w:name w:val="Intérêt EEE (Page de couverture)"/>
    <w:basedOn w:val="IntrtEEE"/>
    <w:next w:val="Rfrencecroise"/>
    <w:rsid w:val="00764B23"/>
    <w:pPr>
      <w:spacing w:line="240" w:lineRule="auto"/>
    </w:pPr>
  </w:style>
  <w:style w:type="paragraph" w:customStyle="1" w:styleId="Rfrencecroise">
    <w:name w:val="Référence croisée"/>
    <w:basedOn w:val="Normal"/>
    <w:rsid w:val="00764B23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764B23"/>
    <w:pPr>
      <w:widowControl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764B23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764B23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rrigendum">
    <w:name w:val="Corrigendum"/>
    <w:basedOn w:val="Normal"/>
    <w:next w:val="Normal"/>
    <w:rsid w:val="00764B23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764B23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Supertitre">
    <w:name w:val="Supertitre"/>
    <w:basedOn w:val="Normal"/>
    <w:next w:val="Normal"/>
    <w:rsid w:val="00764B23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764B23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764B23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64B23"/>
    <w:pPr>
      <w:spacing w:line="240" w:lineRule="auto"/>
    </w:pPr>
  </w:style>
  <w:style w:type="paragraph" w:customStyle="1" w:styleId="StatutPagedecouverture">
    <w:name w:val="Statut (Page de couverture)"/>
    <w:basedOn w:val="Statut"/>
    <w:next w:val="TypedudocumentPagedecouverture"/>
    <w:rsid w:val="00764B23"/>
    <w:pPr>
      <w:spacing w:line="240" w:lineRule="auto"/>
    </w:pPr>
  </w:style>
  <w:style w:type="paragraph" w:customStyle="1" w:styleId="Volume">
    <w:name w:val="Volume"/>
    <w:basedOn w:val="Normal"/>
    <w:next w:val="Confidentialit"/>
    <w:rsid w:val="00764B23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764B23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764B23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764B23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64B23"/>
  </w:style>
  <w:style w:type="paragraph" w:customStyle="1" w:styleId="ObjetacteprincipalPagedecouverture">
    <w:name w:val="Objet acte principal (Page de couverture)"/>
    <w:basedOn w:val="Objetacteprincipal"/>
    <w:next w:val="Rfrencecroise"/>
    <w:rsid w:val="00764B23"/>
  </w:style>
  <w:style w:type="paragraph" w:customStyle="1" w:styleId="LanguesfaisantfoiPagedecouverture">
    <w:name w:val="Langues faisant foi (Page de couverture)"/>
    <w:basedOn w:val="Normal"/>
    <w:next w:val="Normal"/>
    <w:rsid w:val="00764B23"/>
    <w:pPr>
      <w:widowControl/>
      <w:spacing w:before="360"/>
      <w:jc w:val="center"/>
    </w:pPr>
    <w:rPr>
      <w:rFonts w:eastAsia="Calibri"/>
      <w:szCs w:val="22"/>
      <w:lang w:eastAsia="en-US"/>
    </w:rPr>
  </w:style>
  <w:style w:type="character" w:customStyle="1" w:styleId="FooterChar1">
    <w:name w:val="Footer Char1"/>
    <w:uiPriority w:val="99"/>
    <w:rsid w:val="00764B23"/>
    <w:rPr>
      <w:sz w:val="24"/>
      <w:szCs w:val="24"/>
    </w:rPr>
  </w:style>
  <w:style w:type="paragraph" w:customStyle="1" w:styleId="Normal2">
    <w:name w:val="Normal2"/>
    <w:basedOn w:val="Normal"/>
    <w:rsid w:val="00764B23"/>
    <w:pPr>
      <w:widowControl/>
      <w:spacing w:before="100" w:beforeAutospacing="1" w:after="100" w:afterAutospacing="1"/>
    </w:pPr>
    <w:rPr>
      <w:szCs w:val="24"/>
    </w:rPr>
  </w:style>
  <w:style w:type="paragraph" w:customStyle="1" w:styleId="sti-art">
    <w:name w:val="sti-art"/>
    <w:basedOn w:val="Normal"/>
    <w:rsid w:val="00764B23"/>
    <w:pPr>
      <w:widowControl/>
      <w:spacing w:before="100" w:beforeAutospacing="1" w:after="100" w:afterAutospacing="1"/>
    </w:pPr>
    <w:rPr>
      <w:szCs w:val="24"/>
    </w:rPr>
  </w:style>
  <w:style w:type="character" w:customStyle="1" w:styleId="italic">
    <w:name w:val="italic"/>
    <w:basedOn w:val="DefaultParagraphFont"/>
    <w:rsid w:val="00764B23"/>
  </w:style>
  <w:style w:type="paragraph" w:customStyle="1" w:styleId="Normal3">
    <w:name w:val="Normal3"/>
    <w:basedOn w:val="Normal"/>
    <w:rsid w:val="00764B23"/>
    <w:pPr>
      <w:widowControl/>
      <w:spacing w:before="100" w:beforeAutospacing="1" w:after="100" w:afterAutospacing="1"/>
    </w:pPr>
    <w:rPr>
      <w:szCs w:val="24"/>
    </w:rPr>
  </w:style>
  <w:style w:type="character" w:customStyle="1" w:styleId="sp-normal">
    <w:name w:val="sp-normal"/>
    <w:basedOn w:val="DefaultParagraphFont"/>
    <w:rsid w:val="00764B23"/>
  </w:style>
  <w:style w:type="paragraph" w:customStyle="1" w:styleId="norm">
    <w:name w:val="norm"/>
    <w:basedOn w:val="Normal"/>
    <w:rsid w:val="00764B23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764B23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764B23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764B23"/>
  </w:style>
  <w:style w:type="character" w:customStyle="1" w:styleId="highlight">
    <w:name w:val="highlight"/>
    <w:basedOn w:val="DefaultParagraphFont"/>
    <w:rsid w:val="00764B23"/>
  </w:style>
  <w:style w:type="numbering" w:customStyle="1" w:styleId="NoList3">
    <w:name w:val="No List3"/>
    <w:next w:val="NoList"/>
    <w:uiPriority w:val="99"/>
    <w:semiHidden/>
    <w:unhideWhenUsed/>
    <w:rsid w:val="00764B23"/>
  </w:style>
  <w:style w:type="numbering" w:customStyle="1" w:styleId="NoList4">
    <w:name w:val="No List4"/>
    <w:next w:val="NoList"/>
    <w:uiPriority w:val="99"/>
    <w:semiHidden/>
    <w:unhideWhenUsed/>
    <w:rsid w:val="00764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300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2026-08-25T12:01:00Z</dcterms:created>
  <dcterms:modified xsi:type="dcterms:W3CDTF">2026-08-25T12:01:00Z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