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1D410DAD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0227E" w:rsidP="0010095E" w14:paraId="1504CF54" w14:textId="77777777">
            <w:pPr>
              <w:pStyle w:val="EPName"/>
            </w:pPr>
            <w:r w:rsidRPr="0030227E">
              <w:t>Parlament Ewropew</w:t>
            </w:r>
          </w:p>
          <w:p w:rsidR="00751A4A" w:rsidRPr="0030227E" w:rsidP="005F1B17" w14:paraId="7492769F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0227E">
              <w:t>2024</w:t>
            </w:r>
            <w:r w:rsidRPr="0030227E" w:rsidR="00817416">
              <w:t>-202</w:t>
            </w:r>
            <w:r w:rsidRPr="0030227E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30227E" w:rsidP="0010095E" w14:paraId="31DD98F0" w14:textId="77777777">
            <w:pPr>
              <w:pStyle w:val="EPLogo"/>
            </w:pPr>
            <w:r w:rsidRPr="0030227E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0227E" w:rsidP="004C5D52" w14:paraId="63B65B32" w14:textId="77777777">
      <w:pPr>
        <w:pStyle w:val="LineTop"/>
      </w:pPr>
    </w:p>
    <w:p w:rsidR="00680577" w:rsidRPr="0030227E" w:rsidP="00680577" w14:paraId="65D57397" w14:textId="77777777">
      <w:pPr>
        <w:pStyle w:val="EPBodyTA1"/>
      </w:pPr>
      <w:r w:rsidRPr="0030227E">
        <w:t>TESTI ADOTTATI</w:t>
      </w:r>
    </w:p>
    <w:p w:rsidR="00D058B8" w:rsidRPr="0030227E" w:rsidP="00D058B8" w14:paraId="48C04D4F" w14:textId="77777777">
      <w:pPr>
        <w:pStyle w:val="LineBottom"/>
      </w:pPr>
    </w:p>
    <w:p w:rsidR="00195A92" w:rsidRPr="0030227E" w:rsidP="00195A92" w14:paraId="1462A74B" w14:textId="4A340739">
      <w:pPr>
        <w:pStyle w:val="ATHeading1"/>
      </w:pPr>
      <w:bookmarkStart w:id="0" w:name="TANumber"/>
      <w:r w:rsidRPr="0030227E">
        <w:t>P10_TA(2026)0</w:t>
      </w:r>
      <w:bookmarkEnd w:id="0"/>
      <w:r w:rsidR="006C156C">
        <w:t>116</w:t>
      </w:r>
    </w:p>
    <w:p w:rsidR="00195A92" w:rsidRPr="0030227E" w:rsidP="00195A92" w14:paraId="27B8A8B0" w14:textId="77777777">
      <w:pPr>
        <w:pStyle w:val="ATHeading2"/>
      </w:pPr>
      <w:bookmarkStart w:id="1" w:name="title"/>
      <w:r w:rsidRPr="0030227E">
        <w:t>Il-Fond Ewropew ta’ Aġġustament għall-Globalizzazzjoni: il-ħaddiema affettwati minn sensji imminenti</w:t>
      </w:r>
      <w:bookmarkEnd w:id="1"/>
    </w:p>
    <w:p w:rsidR="00195A92" w:rsidRPr="0030227E" w:rsidP="00195A92" w14:paraId="722C2381" w14:textId="77777777">
      <w:pPr>
        <w:rPr>
          <w:i/>
          <w:vanish/>
        </w:rPr>
      </w:pPr>
      <w:r>
        <w:rPr>
          <w:i/>
        </w:rPr>
        <w:fldChar w:fldCharType="begin"/>
      </w:r>
      <w:r w:rsidRPr="0030227E">
        <w:rPr>
          <w:i/>
        </w:rPr>
        <w:instrText xml:space="preserve"> TC"(</w:instrText>
      </w:r>
      <w:bookmarkStart w:id="2" w:name="DocNumber"/>
      <w:r w:rsidRPr="0030227E">
        <w:rPr>
          <w:i/>
        </w:rPr>
        <w:instrText>A10-0251/2025</w:instrText>
      </w:r>
      <w:bookmarkEnd w:id="2"/>
      <w:r w:rsidRPr="0030227E">
        <w:rPr>
          <w:i/>
        </w:rPr>
        <w:instrText xml:space="preserve"> - Rapporteur: Liesbet Sommen)"\l3 \n&gt; \* MERGEFORMAT </w:instrText>
      </w:r>
      <w:r>
        <w:rPr>
          <w:i/>
        </w:rPr>
        <w:fldChar w:fldCharType="end"/>
      </w:r>
    </w:p>
    <w:p w:rsidR="00195A92" w:rsidRPr="0030227E" w:rsidP="00195A92" w14:paraId="225AF537" w14:textId="77777777">
      <w:pPr>
        <w:rPr>
          <w:vanish/>
        </w:rPr>
      </w:pPr>
      <w:bookmarkStart w:id="3" w:name="Commission"/>
      <w:r w:rsidRPr="0030227E">
        <w:rPr>
          <w:vanish/>
        </w:rPr>
        <w:t>Kumitat għall-Impjiegi u l-Affarijiet Soċjali</w:t>
      </w:r>
      <w:bookmarkEnd w:id="3"/>
    </w:p>
    <w:p w:rsidR="00195A92" w:rsidRPr="0030227E" w:rsidP="00195A92" w14:paraId="167E0172" w14:textId="77777777">
      <w:pPr>
        <w:rPr>
          <w:vanish/>
        </w:rPr>
      </w:pPr>
      <w:bookmarkStart w:id="4" w:name="PE"/>
      <w:r w:rsidRPr="0030227E">
        <w:rPr>
          <w:vanish/>
        </w:rPr>
        <w:t>PE774.423</w:t>
      </w:r>
      <w:bookmarkEnd w:id="4"/>
    </w:p>
    <w:p w:rsidR="00195A92" w:rsidRPr="0030227E" w:rsidP="00195A92" w14:paraId="7B0A2A4F" w14:textId="573927B8">
      <w:pPr>
        <w:pStyle w:val="ATHeading3"/>
      </w:pPr>
      <w:bookmarkStart w:id="5" w:name="Sujet"/>
      <w:r w:rsidRPr="0030227E">
        <w:t xml:space="preserve">Riżoluzzjoni leġiżlattiva tal-Parlament Ewropew </w:t>
      </w:r>
      <w:r w:rsidR="00183849">
        <w:t>tat-28 ta’ April</w:t>
      </w:r>
      <w:r w:rsidRPr="0030227E">
        <w:t xml:space="preserve"> 2026 dwar il-Proposta għal regolament tal-Parlament Ewropew u tal-Kunsill li jemenda r-Regolament (UE) 2021/691 fir-rigward tal-appoġġ għall-ħaddiema affettwati minn sensji imminenti f’intrapriżi li għaddejjin minn ristrutturar</w:t>
      </w:r>
      <w:bookmarkEnd w:id="5"/>
      <w:r w:rsidRPr="0030227E">
        <w:t xml:space="preserve"> </w:t>
      </w:r>
      <w:bookmarkStart w:id="6" w:name="References"/>
      <w:r w:rsidRPr="0030227E">
        <w:t>(COM(2025)0140 – C10-0060/2025 – 2025/0073(COD))</w:t>
      </w:r>
      <w:bookmarkEnd w:id="6"/>
    </w:p>
    <w:p w:rsidR="00E42318" w:rsidRPr="0030227E" w:rsidP="00E42318" w14:paraId="03933705" w14:textId="77777777">
      <w:pPr>
        <w:pStyle w:val="NormalBold"/>
      </w:pPr>
      <w:r w:rsidRPr="0030227E">
        <w:t>(Proċedura leġiżlattiva ordinarja: l-ewwel qari)</w:t>
      </w:r>
    </w:p>
    <w:p w:rsidR="00E42318" w:rsidRPr="0030227E" w:rsidP="00E42318" w14:paraId="41B27C9B" w14:textId="77777777">
      <w:pPr>
        <w:pStyle w:val="EPComma"/>
      </w:pPr>
      <w:r w:rsidRPr="0030227E">
        <w:rPr>
          <w:i/>
        </w:rPr>
        <w:t>Il-Parlament Ewropew</w:t>
      </w:r>
      <w:r w:rsidRPr="0030227E">
        <w:t>,</w:t>
      </w:r>
    </w:p>
    <w:p w:rsidR="00E42318" w:rsidRPr="0030227E" w:rsidP="00E42318" w14:paraId="77630C37" w14:textId="77777777">
      <w:pPr>
        <w:pStyle w:val="NormalHanging12a"/>
      </w:pPr>
      <w:r w:rsidRPr="0030227E">
        <w:t>–</w:t>
      </w:r>
      <w:r w:rsidRPr="0030227E">
        <w:tab/>
        <w:t>wara li kkunsidra l-proposta tal-Kummissjoni lill-Parlament Ewropew u lill-Kunsill (COM(2025)0140),</w:t>
      </w:r>
    </w:p>
    <w:p w:rsidR="00E42318" w:rsidRPr="0030227E" w:rsidP="00E42318" w14:paraId="2DD885E1" w14:textId="77777777">
      <w:pPr>
        <w:pStyle w:val="NormalHanging12a"/>
      </w:pPr>
      <w:r w:rsidRPr="0030227E">
        <w:t>–</w:t>
      </w:r>
      <w:r w:rsidRPr="0030227E">
        <w:tab/>
        <w:t>wara li kkunsidra l-Artikolu 294(2) u l-Artikolu 175 tat-Trattat dwar il-Funzjonament tal-Unjoni Ewropea, skont liema artikoli l-Kummissjoni ppreżentat il-proposta lill-Parlament (C10-0060/2025),</w:t>
      </w:r>
    </w:p>
    <w:p w:rsidR="00E42318" w:rsidRPr="0030227E" w:rsidP="00E42318" w14:paraId="6694D1CB" w14:textId="77777777">
      <w:pPr>
        <w:pStyle w:val="NormalHanging12a"/>
      </w:pPr>
      <w:r w:rsidRPr="0030227E">
        <w:t>–</w:t>
      </w:r>
      <w:r w:rsidRPr="0030227E">
        <w:tab/>
        <w:t>wara li kkunsidra l-Artikolu 294(3) tat-Trattat dwar il-Funzjonament tal-Unjoni Ewropea,</w:t>
      </w:r>
    </w:p>
    <w:p w:rsidR="00E42318" w:rsidRPr="0030227E" w:rsidP="00E42318" w14:paraId="76413667" w14:textId="77777777">
      <w:pPr>
        <w:pStyle w:val="NormalHanging12a"/>
      </w:pPr>
      <w:r w:rsidRPr="0030227E">
        <w:t>–</w:t>
      </w:r>
      <w:r w:rsidRPr="0030227E">
        <w:tab/>
        <w:t>wara li kkunsidra l-valutazzjoni baġitarja maħruġa mill-Kumitat għall-Baġits,</w:t>
      </w:r>
    </w:p>
    <w:p w:rsidR="00A91B93" w:rsidRPr="0030227E" w:rsidP="00A91B93" w14:paraId="55220843" w14:textId="77777777">
      <w:pPr>
        <w:pStyle w:val="NormalHanging12a"/>
      </w:pPr>
      <w:r w:rsidRPr="0030227E">
        <w:t>–</w:t>
      </w:r>
      <w:r w:rsidRPr="0030227E">
        <w:tab/>
        <w:t>wara li kkunsidra l-opinjoni tal-Kumitat Ekonomiku u Soċjali Ewropew tad-19 ta’ Ġunju 2025</w:t>
      </w:r>
      <w:r>
        <w:rPr>
          <w:rStyle w:val="FootnoteReference"/>
        </w:rPr>
        <w:footnoteReference w:id="2"/>
      </w:r>
      <w:r w:rsidRPr="0030227E">
        <w:t>,</w:t>
      </w:r>
    </w:p>
    <w:p w:rsidR="00A91B93" w:rsidP="00E42318" w14:paraId="42D442CE" w14:textId="28098185">
      <w:pPr>
        <w:pStyle w:val="NormalHanging12a"/>
      </w:pPr>
      <w:r w:rsidRPr="0030227E">
        <w:t>–</w:t>
      </w:r>
      <w:r w:rsidRPr="0030227E">
        <w:tab/>
        <w:t>wara li kkunsidra l-opinjoni tal-Kumitat tar-Reġjuni tat-3 ta’ Lulju 2025</w:t>
      </w:r>
      <w:r>
        <w:rPr>
          <w:rStyle w:val="FootnoteReference"/>
        </w:rPr>
        <w:footnoteReference w:id="3"/>
      </w:r>
      <w:r w:rsidRPr="0030227E">
        <w:t>,</w:t>
      </w:r>
    </w:p>
    <w:p w:rsidR="003728D0" w:rsidRPr="0030227E" w:rsidP="00E42318" w14:paraId="2800F1E8" w14:textId="74C67433">
      <w:pPr>
        <w:pStyle w:val="NormalHanging12a"/>
      </w:pPr>
      <w:r w:rsidRPr="003728D0">
        <w:t>–</w:t>
      </w:r>
      <w:r w:rsidRPr="003728D0">
        <w:tab/>
        <w:t>wara li kkunsidra l-ftehim proviżorju approvat mill-kumitat responsabbli fis-sens tal-Artikolu 75(4) tar-Regoli ta' Proċedura tiegħu u l-impenn meħud mir-rappreżentant tal-Kunsill, permezz tal-ittra tal-1</w:t>
      </w:r>
      <w:r>
        <w:t>1</w:t>
      </w:r>
      <w:r w:rsidRPr="003728D0">
        <w:t xml:space="preserve"> ta' </w:t>
      </w:r>
      <w:r>
        <w:t>Marzu</w:t>
      </w:r>
      <w:r w:rsidRPr="003728D0">
        <w:t xml:space="preserve"> </w:t>
      </w:r>
      <w:r>
        <w:t>2026</w:t>
      </w:r>
      <w:r w:rsidRPr="003728D0">
        <w:t>, li japprova l-pożizzjoni tal-Parlament, skont l-Artikolu 294(4) tat-Trattat dwar il-Funzjonament tal-Unjoni Ewropea,</w:t>
      </w:r>
    </w:p>
    <w:p w:rsidR="00E42318" w:rsidRPr="0030227E" w:rsidP="00E42318" w14:paraId="754F1B25" w14:textId="77777777">
      <w:pPr>
        <w:pStyle w:val="NormalHanging12a"/>
      </w:pPr>
      <w:r w:rsidRPr="0030227E">
        <w:t>–</w:t>
      </w:r>
      <w:r w:rsidRPr="0030227E">
        <w:tab/>
        <w:t>wara li kkunsidra l-Artikoli 60 u 58 tar-Regoli ta’ Proċedura tiegħu,</w:t>
      </w:r>
    </w:p>
    <w:p w:rsidR="00E42318" w:rsidRPr="0030227E" w:rsidP="00E42318" w14:paraId="207D9661" w14:textId="77777777">
      <w:pPr>
        <w:pStyle w:val="NormalHanging12a"/>
      </w:pPr>
      <w:r w:rsidRPr="0030227E">
        <w:t>–</w:t>
      </w:r>
      <w:r w:rsidRPr="0030227E">
        <w:tab/>
        <w:t>wara li kkunsidra r-rapport tal-Kumitat għall-Impjiegi u l-Affarijiet Soċjali (A10-</w:t>
      </w:r>
      <w:r w:rsidRPr="0030227E">
        <w:t>0251/2025),</w:t>
      </w:r>
    </w:p>
    <w:p w:rsidR="00E42318" w:rsidRPr="0030227E" w:rsidP="00E42318" w14:paraId="0CFED804" w14:textId="77777777">
      <w:pPr>
        <w:pStyle w:val="NormalHanging12a"/>
      </w:pPr>
      <w:r w:rsidRPr="0030227E">
        <w:t>1.</w:t>
      </w:r>
      <w:r w:rsidRPr="0030227E">
        <w:tab/>
        <w:t>Jadotta l-pożizzjoni fl-ewwel qari li tidher hawn taħt;</w:t>
      </w:r>
    </w:p>
    <w:p w:rsidR="00E42318" w:rsidRPr="0030227E" w:rsidP="00E42318" w14:paraId="27B1BD96" w14:textId="77777777">
      <w:pPr>
        <w:pStyle w:val="NormalHanging12a"/>
      </w:pPr>
      <w:r w:rsidRPr="0030227E">
        <w:t>2.</w:t>
      </w:r>
      <w:r w:rsidRPr="0030227E">
        <w:tab/>
        <w:t>Jitlob lill-Kummissjoni terġa’ tirreferi l-kwistjoni lill-Parlament jekk tibdel il-proposta tagħha, temendaha b’mod sustanzjali jew ikollha l-ħsieb li temendaha b’mod sustanzjali;</w:t>
      </w:r>
    </w:p>
    <w:p w:rsidR="00E42318" w:rsidRPr="0030227E" w:rsidP="00E42318" w14:paraId="68C2FCCE" w14:textId="77777777">
      <w:pPr>
        <w:pStyle w:val="NormalHanging12a"/>
      </w:pPr>
      <w:r w:rsidRPr="0030227E">
        <w:t>3.</w:t>
      </w:r>
      <w:r w:rsidRPr="0030227E">
        <w:tab/>
        <w:t>Jagħti istruzzjonijiet lill-President tiegħu biex tgħaddi l-pożizzjoni tal-Parlament lill-Kunsill u lill-Kummissjoni kif ukoll lill-parlamenti nazzjonali.</w:t>
      </w:r>
    </w:p>
    <w:p w:rsidR="00E42318" w:rsidRPr="0030227E" w:rsidP="00E42318" w14:paraId="1B695875" w14:textId="099F3BFC">
      <w:pPr>
        <w:widowControl/>
      </w:pPr>
    </w:p>
    <w:p w:rsidR="003728D0" w:rsidP="00E42318" w14:paraId="7837A419" w14:textId="77777777">
      <w:pPr>
        <w:sectPr w:rsidSect="003022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91B93" w:rsidRPr="004D72EA" w:rsidP="00A91B93" w14:paraId="1F70A044" w14:textId="7777777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4D72EA">
        <w:rPr>
          <w:rFonts w:eastAsia="Calibri"/>
          <w:b/>
          <w:bCs/>
          <w:color w:val="000000"/>
          <w:szCs w:val="24"/>
        </w:rPr>
        <w:t>P10_TC1-COD(2025)0073</w:t>
      </w:r>
    </w:p>
    <w:p w:rsidR="00A835FA" w:rsidP="00A835FA" w14:paraId="32ECBFBC" w14:textId="77777777">
      <w:pPr>
        <w:spacing w:after="120"/>
        <w:rPr>
          <w:b/>
        </w:rPr>
      </w:pPr>
      <w:r w:rsidRPr="00CE3598">
        <w:rPr>
          <w:rFonts w:eastAsia="Calibri"/>
          <w:b/>
          <w:bCs/>
        </w:rPr>
        <w:t xml:space="preserve">Pożizzjoni tal-Parlament Ewropew adottata fl-ewwel </w:t>
      </w:r>
      <w:r w:rsidRPr="00A91B93">
        <w:rPr>
          <w:rFonts w:eastAsia="Calibri"/>
          <w:b/>
          <w:bCs/>
        </w:rPr>
        <w:t>qari tat-28</w:t>
      </w:r>
      <w:r w:rsidRPr="00A91B93">
        <w:rPr>
          <w:b/>
        </w:rPr>
        <w:t xml:space="preserve"> </w:t>
      </w:r>
      <w:r w:rsidRPr="00A91B93">
        <w:rPr>
          <w:rFonts w:eastAsia="Calibri"/>
          <w:b/>
          <w:bCs/>
        </w:rPr>
        <w:t>ta' April 2026 bil-ħsieb tal-adozzjoni tar-Regolament (UE) 202</w:t>
      </w:r>
      <w:r>
        <w:rPr>
          <w:rFonts w:eastAsia="Calibri"/>
          <w:b/>
          <w:bCs/>
        </w:rPr>
        <w:t>6</w:t>
      </w:r>
      <w:r w:rsidRPr="00A91B93">
        <w:rPr>
          <w:rFonts w:eastAsia="Calibri"/>
          <w:b/>
          <w:bCs/>
        </w:rPr>
        <w:t xml:space="preserve">/... </w:t>
      </w:r>
      <w:r w:rsidRPr="00A91B93">
        <w:rPr>
          <w:b/>
          <w:color w:val="000000"/>
          <w:szCs w:val="22"/>
        </w:rPr>
        <w:t>tal-Parlament Ewropew u tal-Kunsill</w:t>
      </w:r>
      <w:r w:rsidRPr="00A91B93">
        <w:rPr>
          <w:rFonts w:eastAsia="Calibri"/>
          <w:b/>
          <w:szCs w:val="22"/>
        </w:rPr>
        <w:t xml:space="preserve"> </w:t>
      </w:r>
      <w:r w:rsidRPr="00A91B93">
        <w:rPr>
          <w:b/>
        </w:rPr>
        <w:t>li jemenda r-Regolament (UE) 2021/691 fir-rigward tal-appoġġ għall-ħaddiema affettwati minn sensja imminenti f'intrapriżi li għaddejjin minn ristrutturar</w:t>
      </w:r>
    </w:p>
    <w:p w:rsidR="00A835FA" w:rsidRPr="0030227E" w:rsidP="00A835FA" w14:paraId="2CA11541" w14:textId="116EA42B">
      <w:pPr>
        <w:spacing w:after="600"/>
      </w:pPr>
      <w:r w:rsidRPr="0050178C">
        <w:rPr>
          <w:i/>
        </w:rPr>
        <w:t>(</w:t>
      </w:r>
      <w:r>
        <w:rPr>
          <w:i/>
        </w:rPr>
        <w:t>Peress</w:t>
      </w:r>
      <w:r w:rsidRPr="0050178C">
        <w:rPr>
          <w:i/>
        </w:rPr>
        <w:t xml:space="preserve"> li ntlaħaq ftehim bejn il-Parlament u l-Kunsill,</w:t>
      </w:r>
      <w:r>
        <w:rPr>
          <w:i/>
        </w:rPr>
        <w:t xml:space="preserve"> il-pożizzjoni tal-Parlament </w:t>
      </w:r>
      <w:r w:rsidRPr="00A835FA">
        <w:rPr>
          <w:i/>
        </w:rPr>
        <w:t>t</w:t>
      </w:r>
      <w:r w:rsidRPr="0050178C">
        <w:rPr>
          <w:i/>
        </w:rPr>
        <w:t>aqbel mal-att leġislattiv finali,</w:t>
      </w:r>
      <w:r>
        <w:rPr>
          <w:i/>
        </w:rPr>
        <w:t xml:space="preserve"> r-Regolament (UE) </w:t>
      </w:r>
      <w:r w:rsidRPr="00A835FA">
        <w:rPr>
          <w:i/>
        </w:rPr>
        <w:t>2026/1139</w:t>
      </w:r>
      <w:r>
        <w:rPr>
          <w:i/>
        </w:rPr>
        <w:t>.)</w:t>
      </w:r>
    </w:p>
    <w:sectPr w:rsidSect="0030227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30227E" w14:paraId="0F5FE39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30227E" w14:paraId="568ACA74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30227E" w14:paraId="28DD2C03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95A92" w:rsidRPr="0030227E" w14:paraId="31D88081" w14:textId="77777777">
      <w:r w:rsidRPr="0030227E">
        <w:separator/>
      </w:r>
    </w:p>
  </w:footnote>
  <w:footnote w:type="continuationSeparator" w:id="1">
    <w:p w:rsidR="00195A92" w:rsidRPr="0030227E" w14:paraId="3354A1A7" w14:textId="77777777">
      <w:r w:rsidRPr="0030227E">
        <w:continuationSeparator/>
      </w:r>
    </w:p>
  </w:footnote>
  <w:footnote w:id="2">
    <w:p w:rsidR="00A91B93" w:rsidRPr="0030227E" w:rsidP="00A91B93" w14:paraId="496C6068" w14:textId="58466E37">
      <w:pPr>
        <w:pStyle w:val="FootnoteText"/>
        <w:ind w:left="567" w:hanging="567"/>
        <w:rPr>
          <w:sz w:val="24"/>
          <w:lang w:val="mt-MT"/>
        </w:rPr>
      </w:pPr>
      <w:r w:rsidRPr="0030227E">
        <w:rPr>
          <w:rStyle w:val="FootnoteReference"/>
          <w:sz w:val="24"/>
          <w:lang w:val="mt-MT"/>
        </w:rPr>
        <w:footnoteRef/>
      </w:r>
      <w:r w:rsidRPr="0030227E">
        <w:rPr>
          <w:sz w:val="24"/>
          <w:lang w:val="mt-MT"/>
        </w:rPr>
        <w:t xml:space="preserve"> </w:t>
      </w:r>
      <w:r w:rsidRPr="0030227E">
        <w:rPr>
          <w:sz w:val="24"/>
          <w:lang w:val="mt-MT"/>
        </w:rPr>
        <w:tab/>
        <w:t xml:space="preserve">ĠU </w:t>
      </w:r>
      <w:r w:rsidR="00F245B4">
        <w:rPr>
          <w:sz w:val="24"/>
          <w:lang w:val="mt-MT"/>
        </w:rPr>
        <w:t xml:space="preserve">C, </w:t>
      </w:r>
      <w:r w:rsidRPr="0030227E">
        <w:rPr>
          <w:sz w:val="24"/>
          <w:lang w:val="mt-MT"/>
        </w:rPr>
        <w:t>C/2025/4217, 20.8.2025, ELI: </w:t>
      </w:r>
      <w:hyperlink r:id="rId1" w:history="1">
        <w:r>
          <w:rPr>
            <w:rStyle w:val="Hyperlink"/>
            <w:sz w:val="24"/>
            <w:lang w:val="mt-MT"/>
          </w:rPr>
          <w:t>http://data.europa.eu/eli/C/2025/4217/oj</w:t>
        </w:r>
      </w:hyperlink>
      <w:r w:rsidRPr="0030227E">
        <w:rPr>
          <w:sz w:val="24"/>
          <w:lang w:val="mt-MT"/>
        </w:rPr>
        <w:t xml:space="preserve">. </w:t>
      </w:r>
    </w:p>
  </w:footnote>
  <w:footnote w:id="3">
    <w:p w:rsidR="00A91B93" w:rsidRPr="0030227E" w:rsidP="00A91B93" w14:paraId="5DBB51CB" w14:textId="6A5B870E">
      <w:pPr>
        <w:pStyle w:val="FootnoteText"/>
        <w:ind w:left="567" w:hanging="567"/>
        <w:rPr>
          <w:sz w:val="24"/>
          <w:lang w:val="mt-MT"/>
        </w:rPr>
      </w:pPr>
      <w:r w:rsidRPr="0030227E">
        <w:rPr>
          <w:rStyle w:val="FootnoteReference"/>
          <w:sz w:val="24"/>
          <w:lang w:val="mt-MT"/>
        </w:rPr>
        <w:footnoteRef/>
      </w:r>
      <w:r w:rsidRPr="0030227E">
        <w:rPr>
          <w:sz w:val="24"/>
          <w:lang w:val="mt-MT"/>
        </w:rPr>
        <w:t xml:space="preserve"> </w:t>
      </w:r>
      <w:r w:rsidRPr="0030227E">
        <w:rPr>
          <w:sz w:val="24"/>
          <w:lang w:val="mt-MT"/>
        </w:rPr>
        <w:tab/>
        <w:t xml:space="preserve">ĠU </w:t>
      </w:r>
      <w:r w:rsidR="00F245B4">
        <w:rPr>
          <w:sz w:val="24"/>
          <w:lang w:val="mt-MT"/>
        </w:rPr>
        <w:t xml:space="preserve">C, </w:t>
      </w:r>
      <w:r w:rsidRPr="0030227E">
        <w:rPr>
          <w:sz w:val="24"/>
          <w:lang w:val="mt-MT"/>
        </w:rPr>
        <w:t>C/2025/4419, 29.8.2025, ELI: </w:t>
      </w:r>
      <w:hyperlink r:id="rId2" w:history="1">
        <w:r>
          <w:rPr>
            <w:rStyle w:val="Hyperlink"/>
            <w:sz w:val="24"/>
            <w:lang w:val="mt-MT"/>
          </w:rPr>
          <w:t>http://data.europa.eu/eli/C/2025/4419/oj</w:t>
        </w:r>
      </w:hyperlink>
      <w:r w:rsidRPr="0030227E">
        <w:rPr>
          <w:sz w:val="24"/>
          <w:lang w:val="mt-MT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30227E" w14:paraId="3FFE3F71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30227E" w14:paraId="52DC1222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30227E" w14:paraId="15B94D7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2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3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4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6">
    <w:nsid w:val="23330D39"/>
    <w:multiLevelType w:val="hybridMultilevel"/>
    <w:tmpl w:val="5A062EAA"/>
    <w:lvl w:ilvl="0">
      <w:start w:val="1"/>
      <w:numFmt w:val="lowerLetter"/>
      <w:lvlText w:val="(%1)"/>
      <w:lvlJc w:val="left"/>
      <w:pPr>
        <w:ind w:left="2010" w:hanging="57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>
    <w:nsid w:val="73D17656"/>
    <w:multiLevelType w:val="hybridMultilevel"/>
    <w:tmpl w:val="0FA6BF6E"/>
    <w:lvl w:ilvl="0">
      <w:start w:val="1"/>
      <w:numFmt w:val="lowerLetter"/>
      <w:lvlText w:val="(%1)"/>
      <w:lvlJc w:val="left"/>
      <w:pPr>
        <w:ind w:left="1991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01" w:hanging="360"/>
      </w:pPr>
    </w:lvl>
    <w:lvl w:ilvl="2" w:tentative="1">
      <w:start w:val="1"/>
      <w:numFmt w:val="lowerRoman"/>
      <w:lvlText w:val="%3."/>
      <w:lvlJc w:val="right"/>
      <w:pPr>
        <w:ind w:left="3221" w:hanging="180"/>
      </w:pPr>
    </w:lvl>
    <w:lvl w:ilvl="3" w:tentative="1">
      <w:start w:val="1"/>
      <w:numFmt w:val="decimal"/>
      <w:lvlText w:val="%4."/>
      <w:lvlJc w:val="left"/>
      <w:pPr>
        <w:ind w:left="3941" w:hanging="360"/>
      </w:pPr>
    </w:lvl>
    <w:lvl w:ilvl="4" w:tentative="1">
      <w:start w:val="1"/>
      <w:numFmt w:val="lowerLetter"/>
      <w:lvlText w:val="%5."/>
      <w:lvlJc w:val="left"/>
      <w:pPr>
        <w:ind w:left="4661" w:hanging="360"/>
      </w:pPr>
    </w:lvl>
    <w:lvl w:ilvl="5" w:tentative="1">
      <w:start w:val="1"/>
      <w:numFmt w:val="lowerRoman"/>
      <w:lvlText w:val="%6."/>
      <w:lvlJc w:val="right"/>
      <w:pPr>
        <w:ind w:left="5381" w:hanging="180"/>
      </w:pPr>
    </w:lvl>
    <w:lvl w:ilvl="6" w:tentative="1">
      <w:start w:val="1"/>
      <w:numFmt w:val="decimal"/>
      <w:lvlText w:val="%7."/>
      <w:lvlJc w:val="left"/>
      <w:pPr>
        <w:ind w:left="6101" w:hanging="360"/>
      </w:pPr>
    </w:lvl>
    <w:lvl w:ilvl="7" w:tentative="1">
      <w:start w:val="1"/>
      <w:numFmt w:val="lowerLetter"/>
      <w:lvlText w:val="%8."/>
      <w:lvlJc w:val="left"/>
      <w:pPr>
        <w:ind w:left="6821" w:hanging="360"/>
      </w:pPr>
    </w:lvl>
    <w:lvl w:ilvl="8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19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1034960592">
    <w:abstractNumId w:val="0"/>
  </w:num>
  <w:num w:numId="2" w16cid:durableId="861437739">
    <w:abstractNumId w:val="8"/>
  </w:num>
  <w:num w:numId="3" w16cid:durableId="1371224461">
    <w:abstractNumId w:val="4"/>
  </w:num>
  <w:num w:numId="4" w16cid:durableId="1583297739">
    <w:abstractNumId w:val="12"/>
  </w:num>
  <w:num w:numId="5" w16cid:durableId="493028266">
    <w:abstractNumId w:val="15"/>
  </w:num>
  <w:num w:numId="6" w16cid:durableId="19748251">
    <w:abstractNumId w:val="14"/>
  </w:num>
  <w:num w:numId="7" w16cid:durableId="194975596">
    <w:abstractNumId w:val="23"/>
  </w:num>
  <w:num w:numId="8" w16cid:durableId="2051998500">
    <w:abstractNumId w:val="9"/>
  </w:num>
  <w:num w:numId="9" w16cid:durableId="920985168">
    <w:abstractNumId w:val="10"/>
  </w:num>
  <w:num w:numId="10" w16cid:durableId="859395038">
    <w:abstractNumId w:val="11"/>
  </w:num>
  <w:num w:numId="11" w16cid:durableId="1884709445">
    <w:abstractNumId w:val="13"/>
  </w:num>
  <w:num w:numId="12" w16cid:durableId="907809623">
    <w:abstractNumId w:val="5"/>
  </w:num>
  <w:num w:numId="13" w16cid:durableId="1276255905">
    <w:abstractNumId w:val="24"/>
  </w:num>
  <w:num w:numId="14" w16cid:durableId="641539383">
    <w:abstractNumId w:val="7"/>
  </w:num>
  <w:num w:numId="15" w16cid:durableId="1463424940">
    <w:abstractNumId w:val="2"/>
  </w:num>
  <w:num w:numId="16" w16cid:durableId="1445808034">
    <w:abstractNumId w:val="1"/>
  </w:num>
  <w:num w:numId="17" w16cid:durableId="1852645536">
    <w:abstractNumId w:val="19"/>
  </w:num>
  <w:num w:numId="18" w16cid:durableId="850142578">
    <w:abstractNumId w:val="17"/>
  </w:num>
  <w:num w:numId="19" w16cid:durableId="9839530">
    <w:abstractNumId w:val="16"/>
  </w:num>
  <w:num w:numId="20" w16cid:durableId="1073358758">
    <w:abstractNumId w:val="21"/>
  </w:num>
  <w:num w:numId="21" w16cid:durableId="1326860946">
    <w:abstractNumId w:val="20"/>
  </w:num>
  <w:num w:numId="22" w16cid:durableId="1663196454">
    <w:abstractNumId w:val="22"/>
  </w:num>
  <w:num w:numId="23" w16cid:durableId="808937615">
    <w:abstractNumId w:val="3"/>
  </w:num>
  <w:num w:numId="24" w16cid:durableId="1743330065">
    <w:abstractNumId w:val="18"/>
  </w:num>
  <w:num w:numId="25" w16cid:durableId="941298772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92"/>
    <w:rsid w:val="00002272"/>
    <w:rsid w:val="00064002"/>
    <w:rsid w:val="00065CDA"/>
    <w:rsid w:val="000677B9"/>
    <w:rsid w:val="000831BA"/>
    <w:rsid w:val="000A42CC"/>
    <w:rsid w:val="000E7DD9"/>
    <w:rsid w:val="0010095E"/>
    <w:rsid w:val="00105BBE"/>
    <w:rsid w:val="00125B37"/>
    <w:rsid w:val="00131825"/>
    <w:rsid w:val="00183849"/>
    <w:rsid w:val="00187494"/>
    <w:rsid w:val="00195A92"/>
    <w:rsid w:val="001F32AE"/>
    <w:rsid w:val="002767FF"/>
    <w:rsid w:val="002B18FE"/>
    <w:rsid w:val="002B5493"/>
    <w:rsid w:val="0030227E"/>
    <w:rsid w:val="00343214"/>
    <w:rsid w:val="00361C00"/>
    <w:rsid w:val="003728D0"/>
    <w:rsid w:val="00395FA1"/>
    <w:rsid w:val="003E15D4"/>
    <w:rsid w:val="00411CCE"/>
    <w:rsid w:val="0041666E"/>
    <w:rsid w:val="00421060"/>
    <w:rsid w:val="00463F3E"/>
    <w:rsid w:val="00471C19"/>
    <w:rsid w:val="004867E3"/>
    <w:rsid w:val="00494A28"/>
    <w:rsid w:val="004B175D"/>
    <w:rsid w:val="004C0004"/>
    <w:rsid w:val="004C5D52"/>
    <w:rsid w:val="004D72EA"/>
    <w:rsid w:val="0050178C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75A6B"/>
    <w:rsid w:val="00680577"/>
    <w:rsid w:val="006C156C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3264"/>
    <w:rsid w:val="00930C23"/>
    <w:rsid w:val="0093193B"/>
    <w:rsid w:val="009509D8"/>
    <w:rsid w:val="00950B64"/>
    <w:rsid w:val="00981893"/>
    <w:rsid w:val="00A1687D"/>
    <w:rsid w:val="00A43E52"/>
    <w:rsid w:val="00A4678D"/>
    <w:rsid w:val="00A60A6E"/>
    <w:rsid w:val="00A778C7"/>
    <w:rsid w:val="00A835FA"/>
    <w:rsid w:val="00A91B93"/>
    <w:rsid w:val="00AB441E"/>
    <w:rsid w:val="00AB6293"/>
    <w:rsid w:val="00AE0928"/>
    <w:rsid w:val="00AF3B82"/>
    <w:rsid w:val="00B113A4"/>
    <w:rsid w:val="00B12E95"/>
    <w:rsid w:val="00B223C4"/>
    <w:rsid w:val="00B22876"/>
    <w:rsid w:val="00B558F0"/>
    <w:rsid w:val="00B917D3"/>
    <w:rsid w:val="00B932F7"/>
    <w:rsid w:val="00BD48FE"/>
    <w:rsid w:val="00BD7BD8"/>
    <w:rsid w:val="00BE6ADC"/>
    <w:rsid w:val="00C05BFE"/>
    <w:rsid w:val="00C23CD4"/>
    <w:rsid w:val="00C61C0C"/>
    <w:rsid w:val="00C941CB"/>
    <w:rsid w:val="00CB7B8D"/>
    <w:rsid w:val="00CC2357"/>
    <w:rsid w:val="00CE3598"/>
    <w:rsid w:val="00CF071A"/>
    <w:rsid w:val="00D058B8"/>
    <w:rsid w:val="00D11F68"/>
    <w:rsid w:val="00D15C9F"/>
    <w:rsid w:val="00D56C11"/>
    <w:rsid w:val="00D834A0"/>
    <w:rsid w:val="00D872DF"/>
    <w:rsid w:val="00D91E21"/>
    <w:rsid w:val="00DA7FCD"/>
    <w:rsid w:val="00E365E1"/>
    <w:rsid w:val="00E42318"/>
    <w:rsid w:val="00E820A4"/>
    <w:rsid w:val="00EB006A"/>
    <w:rsid w:val="00EB4772"/>
    <w:rsid w:val="00ED169E"/>
    <w:rsid w:val="00ED4235"/>
    <w:rsid w:val="00F04346"/>
    <w:rsid w:val="00F075DC"/>
    <w:rsid w:val="00F149E9"/>
    <w:rsid w:val="00F245B4"/>
    <w:rsid w:val="00F5134D"/>
    <w:rsid w:val="00F74202"/>
    <w:rsid w:val="00F87713"/>
    <w:rsid w:val="00FB4360"/>
    <w:rsid w:val="00FD0C70"/>
  </w:rsids>
  <w:docVars>
    <w:docVar w:name="dvdocse" w:val="A10-0251/2025"/>
    <w:docVar w:name="dvlangue" w:val="MT"/>
    <w:docVar w:name="dvnumam" w:val="49"/>
    <w:docVar w:name="dvpe" w:val="774.423"/>
    <w:docVar w:name="dvrapporteur" w:val="Rapporteur: "/>
    <w:docVar w:name="dvstar" w:val="***I"/>
    <w:docVar w:name="dvtitre" w:val="Riżoluzzjoni leġiżlattiva tal-Parlament Ewropew xx xx xxxx 2026 dwar il-Proposta għal regolament tal-Parlament Ewropew u tal-Kunsill li jemenda r-Regolament (UE) 2021/691 fir-rigward tal-appoġġ għall-ħaddiema affettwati minn sensji imminenti f’intrapriżi li għaddejjin minn ristrutturar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FC73725"/>
  <w15:chartTrackingRefBased/>
  <w15:docId w15:val="{619E72D6-6D49-4CBA-8B7A-E066237D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E42318"/>
    <w:pPr>
      <w:spacing w:after="120"/>
    </w:pPr>
  </w:style>
  <w:style w:type="paragraph" w:customStyle="1" w:styleId="PageHeading">
    <w:name w:val="PageHeading"/>
    <w:basedOn w:val="Normal"/>
    <w:rsid w:val="00E4231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42318"/>
    <w:rPr>
      <w:b/>
    </w:rPr>
  </w:style>
  <w:style w:type="paragraph" w:customStyle="1" w:styleId="NormalHanging12a">
    <w:name w:val="NormalHanging12a"/>
    <w:basedOn w:val="Normal"/>
    <w:rsid w:val="00E42318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E4231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E4231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E42318"/>
    <w:pPr>
      <w:spacing w:before="240"/>
    </w:pPr>
    <w:rPr>
      <w:b/>
    </w:rPr>
  </w:style>
  <w:style w:type="paragraph" w:customStyle="1" w:styleId="EPComma">
    <w:name w:val="EPComma"/>
    <w:basedOn w:val="Normal"/>
    <w:rsid w:val="00E42318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E42318"/>
    <w:rPr>
      <w:b/>
      <w:sz w:val="24"/>
      <w:lang w:val="mt-MT"/>
    </w:rPr>
  </w:style>
  <w:style w:type="character" w:customStyle="1" w:styleId="Normal6Char">
    <w:name w:val="Normal6 Char"/>
    <w:basedOn w:val="DefaultParagraphFont"/>
    <w:link w:val="Normal6"/>
    <w:locked/>
    <w:rsid w:val="00E42318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E42318"/>
    <w:pPr>
      <w:spacing w:after="120"/>
    </w:pPr>
  </w:style>
  <w:style w:type="paragraph" w:customStyle="1" w:styleId="ColumnHeading">
    <w:name w:val="ColumnHeading"/>
    <w:basedOn w:val="Normal"/>
    <w:rsid w:val="00E42318"/>
    <w:pPr>
      <w:spacing w:after="240"/>
      <w:jc w:val="center"/>
    </w:pPr>
    <w:rPr>
      <w:i/>
    </w:rPr>
  </w:style>
  <w:style w:type="character" w:styleId="Hyperlink">
    <w:name w:val="Hyperlink"/>
    <w:basedOn w:val="DefaultParagraphFont"/>
    <w:uiPriority w:val="99"/>
    <w:rsid w:val="00E42318"/>
    <w:rPr>
      <w:color w:val="0563C1" w:themeColor="hyperlink"/>
      <w:u w:val="single"/>
    </w:rPr>
  </w:style>
  <w:style w:type="character" w:customStyle="1" w:styleId="NormalBold12bChar">
    <w:name w:val="NormalBold12b Char"/>
    <w:basedOn w:val="DefaultParagraphFont"/>
    <w:link w:val="NormalBold12b"/>
    <w:rsid w:val="00E42318"/>
    <w:rPr>
      <w:b/>
      <w:sz w:val="24"/>
      <w:lang w:val="mt-MT"/>
    </w:rPr>
  </w:style>
  <w:style w:type="paragraph" w:styleId="Revision">
    <w:name w:val="Revision"/>
    <w:hidden/>
    <w:uiPriority w:val="99"/>
    <w:semiHidden/>
    <w:rsid w:val="003728D0"/>
    <w:rPr>
      <w:sz w:val="24"/>
      <w:lang w:val="mt-MT"/>
    </w:rPr>
  </w:style>
  <w:style w:type="character" w:styleId="CommentReference">
    <w:name w:val="annotation reference"/>
    <w:basedOn w:val="DefaultParagraphFont"/>
    <w:uiPriority w:val="99"/>
    <w:rsid w:val="00A91B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91B93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1B93"/>
  </w:style>
  <w:style w:type="paragraph" w:styleId="Header">
    <w:name w:val="header"/>
    <w:basedOn w:val="Normal"/>
    <w:link w:val="HeaderChar"/>
    <w:uiPriority w:val="99"/>
    <w:rsid w:val="00A91B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B93"/>
    <w:rPr>
      <w:sz w:val="24"/>
      <w:lang w:val="mt-MT"/>
    </w:rPr>
  </w:style>
  <w:style w:type="paragraph" w:customStyle="1" w:styleId="AmDocTypeTab">
    <w:name w:val="AmDocTypeTab"/>
    <w:basedOn w:val="Normal"/>
    <w:rsid w:val="00A91B93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A91B93"/>
    <w:pPr>
      <w:spacing w:after="240"/>
    </w:pPr>
  </w:style>
  <w:style w:type="paragraph" w:customStyle="1" w:styleId="EPFooter2">
    <w:name w:val="EPFooter2"/>
    <w:basedOn w:val="Normal"/>
    <w:next w:val="Normal"/>
    <w:rsid w:val="00A91B93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A91B93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A91B93"/>
    <w:pPr>
      <w:spacing w:after="240"/>
      <w:jc w:val="center"/>
    </w:pPr>
  </w:style>
  <w:style w:type="paragraph" w:customStyle="1" w:styleId="AmDateTab">
    <w:name w:val="AmDateTab"/>
    <w:basedOn w:val="Normal"/>
    <w:rsid w:val="00A91B93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A91B93"/>
    <w:pPr>
      <w:spacing w:before="720" w:after="240"/>
      <w:jc w:val="center"/>
    </w:pPr>
  </w:style>
  <w:style w:type="paragraph" w:customStyle="1" w:styleId="EPFooter">
    <w:name w:val="EPFooter"/>
    <w:basedOn w:val="Normal"/>
    <w:rsid w:val="00A91B93"/>
    <w:pPr>
      <w:tabs>
        <w:tab w:val="center" w:pos="4535"/>
        <w:tab w:val="right" w:pos="9071"/>
      </w:tabs>
      <w:spacing w:before="240" w:after="240"/>
    </w:pPr>
    <w:rPr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A91B93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A91B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B93"/>
    <w:rPr>
      <w:sz w:val="24"/>
      <w:lang w:val="mt-MT"/>
    </w:rPr>
  </w:style>
  <w:style w:type="character" w:customStyle="1" w:styleId="Heading1Char">
    <w:name w:val="Heading 1 Char"/>
    <w:basedOn w:val="DefaultParagraphFont"/>
    <w:link w:val="Heading1"/>
    <w:uiPriority w:val="9"/>
    <w:rsid w:val="00A91B9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B9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B9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B9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B9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B93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B93"/>
    <w:rPr>
      <w:rFonts w:ascii="Arial" w:hAnsi="Arial"/>
      <w:sz w:val="24"/>
      <w:lang w:val="mt-MT"/>
    </w:rPr>
  </w:style>
  <w:style w:type="paragraph" w:styleId="TOC4">
    <w:name w:val="toc 4"/>
    <w:basedOn w:val="Normal"/>
    <w:next w:val="Normal"/>
    <w:uiPriority w:val="39"/>
    <w:unhideWhenUsed/>
    <w:rsid w:val="00A91B9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A91B93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A91B93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A91B93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A91B93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A91B93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A91B93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A91B93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A91B93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A91B93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A91B93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sid w:val="00A91B93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A91B93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A91B93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A91B93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A91B93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A91B93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A91B93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A91B93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rsid w:val="00A91B93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rsid w:val="00A91B93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rsid w:val="00A91B93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rsid w:val="00A91B93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A91B93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A91B93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A91B93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A91B93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A91B9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A91B93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A91B93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A91B93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A91B93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A91B93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rsid w:val="00A91B93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rsid w:val="00A91B93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rsid w:val="00A91B93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rsid w:val="00A91B93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A91B93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A91B93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A91B93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A91B93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A91B93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A91B93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A91B93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A91B93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A91B93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A91B93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A91B93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A91B93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A91B93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A91B93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A91B93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A91B93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A91B93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A91B93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rsid w:val="00A91B93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rsid w:val="00A91B93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rsid w:val="00A91B93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A91B93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A91B93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A91B93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A91B93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A91B93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A91B93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A91B93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A91B9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A91B9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A91B9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A91B9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A91B93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A91B93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A91B93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A91B93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A91B93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A91B9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A91B9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A91B9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A91B9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A91B9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A91B9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A91B93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A91B93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A91B93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A91B93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A91B93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A91B93"/>
    <w:pPr>
      <w:widowControl/>
      <w:numPr>
        <w:ilvl w:val="2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A91B93"/>
    <w:pPr>
      <w:widowControl/>
      <w:numPr>
        <w:ilvl w:val="4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A91B93"/>
    <w:pPr>
      <w:widowControl/>
      <w:numPr>
        <w:ilvl w:val="6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A91B93"/>
    <w:pPr>
      <w:widowControl/>
      <w:numPr>
        <w:ilvl w:val="1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A91B93"/>
    <w:pPr>
      <w:widowControl/>
      <w:numPr>
        <w:ilvl w:val="3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A91B93"/>
    <w:pPr>
      <w:widowControl/>
      <w:numPr>
        <w:ilvl w:val="5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A91B93"/>
    <w:pPr>
      <w:widowControl/>
      <w:numPr>
        <w:ilvl w:val="7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A91B93"/>
    <w:pPr>
      <w:widowControl/>
      <w:numPr>
        <w:ilvl w:val="8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A91B93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A91B93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A91B93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A91B93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A91B93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A91B93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rsid w:val="00A91B93"/>
    <w:pPr>
      <w:widowControl/>
      <w:numPr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rsid w:val="00A91B93"/>
    <w:pPr>
      <w:widowControl/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rsid w:val="00A91B93"/>
    <w:pPr>
      <w:widowControl/>
      <w:numPr>
        <w:numId w:val="2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A91B93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A91B93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A91B93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A91B93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A91B93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A91B93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91B93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91B93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A91B93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A91B9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A91B93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ous-titreobjet">
    <w:name w:val="Sous-titre objet"/>
    <w:basedOn w:val="Normal"/>
    <w:rsid w:val="00A91B93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A91B93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91B93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A91B93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A91B93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A91B9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A91B9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A91B93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A91B93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A91B93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A91B93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A91B93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A91B93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A91B93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A91B93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A91B93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A91B93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A91B93"/>
    <w:pPr>
      <w:spacing w:before="240"/>
    </w:pPr>
  </w:style>
  <w:style w:type="paragraph" w:customStyle="1" w:styleId="Accordtitre">
    <w:name w:val="Accord titre"/>
    <w:basedOn w:val="Normal"/>
    <w:rsid w:val="00A91B93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A91B93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A91B93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A91B93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A91B93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A91B93"/>
    <w:pPr>
      <w:spacing w:after="240"/>
    </w:pPr>
  </w:style>
  <w:style w:type="paragraph" w:customStyle="1" w:styleId="Annexetitre">
    <w:name w:val="Annexe titre"/>
    <w:basedOn w:val="Normal"/>
    <w:next w:val="Normal"/>
    <w:rsid w:val="00A91B93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A91B93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A91B93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91B93"/>
    <w:rPr>
      <w:rFonts w:eastAsiaTheme="minorHAnsi"/>
      <w:lang w:val="mt-MT" w:eastAsia="en-US"/>
    </w:rPr>
  </w:style>
  <w:style w:type="character" w:styleId="EndnoteReference">
    <w:name w:val="endnote reference"/>
    <w:basedOn w:val="DefaultParagraphFont"/>
    <w:uiPriority w:val="99"/>
    <w:unhideWhenUsed/>
    <w:rsid w:val="00A91B93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A91B93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rsid w:val="00A91B93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rsid w:val="00A91B93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rsid w:val="00A91B93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A91B93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A91B93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A91B93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A91B93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A91B93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A91B93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A91B93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A91B93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A91B93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A91B93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A91B93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A91B93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A91B93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A91B93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A91B93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A91B93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A91B93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A91B93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A91B93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A91B93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A91B93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A91B9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TBEntRefer">
    <w:name w:val="TBEntRefer"/>
    <w:basedOn w:val="TechnicalBlockBase"/>
    <w:rsid w:val="00A91B93"/>
    <w:pPr>
      <w:widowControl/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EntLogo">
    <w:name w:val="TBEntLogo"/>
    <w:basedOn w:val="TechnicalBlockBase"/>
    <w:rsid w:val="00A91B93"/>
    <w:pPr>
      <w:widowControl/>
      <w:tabs>
        <w:tab w:val="right" w:pos="9639"/>
      </w:tabs>
      <w:spacing w:before="0" w:after="0" w:line="360" w:lineRule="auto"/>
      <w:ind w:left="0" w:right="0"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Genredudocument">
    <w:name w:val="TBGenredudocument"/>
    <w:basedOn w:val="TechnicalBlockBase"/>
    <w:rsid w:val="00A91B93"/>
    <w:pPr>
      <w:widowControl/>
      <w:spacing w:before="0" w:after="40" w:line="240" w:lineRule="auto"/>
      <w:ind w:left="0" w:right="0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</w:rPr>
  </w:style>
  <w:style w:type="paragraph" w:customStyle="1" w:styleId="TBEntEU">
    <w:name w:val="TBEntEU"/>
    <w:basedOn w:val="TechnicalBlockBase"/>
    <w:link w:val="EntEUChar"/>
    <w:rsid w:val="00A91B93"/>
    <w:pPr>
      <w:widowControl/>
      <w:spacing w:before="240" w:after="24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36"/>
      <w:u w:val="none"/>
    </w:rPr>
  </w:style>
  <w:style w:type="paragraph" w:customStyle="1" w:styleId="TBSousEmbargo">
    <w:name w:val="TBSousEmbargo"/>
    <w:basedOn w:val="TechnicalBlockBase"/>
    <w:qFormat/>
    <w:rsid w:val="00A91B93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  <w:lang w:eastAsia="fr-BE"/>
    </w:rPr>
  </w:style>
  <w:style w:type="character" w:customStyle="1" w:styleId="EntEUChar">
    <w:name w:val="EntEU Char"/>
    <w:basedOn w:val="DefaultParagraphFont"/>
    <w:link w:val="TBEntEU"/>
    <w:rsid w:val="00A91B93"/>
    <w:rPr>
      <w:rFonts w:ascii="Arial" w:hAnsi="Arial" w:cs="Arial"/>
      <w:b/>
      <w:sz w:val="36"/>
      <w:szCs w:val="36"/>
      <w:u w:color="606060"/>
      <w:lang w:val="mt-MT" w:eastAsia="en-US"/>
    </w:rPr>
  </w:style>
  <w:style w:type="paragraph" w:customStyle="1" w:styleId="TBSubjectTable">
    <w:name w:val="TBSubjectTable"/>
    <w:basedOn w:val="TechnicalBlockBase"/>
    <w:rsid w:val="00A91B93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HeadingTable">
    <w:name w:val="TBHeadingTable"/>
    <w:basedOn w:val="TechnicalBlockBase"/>
    <w:rsid w:val="00A91B93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A91B93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echnicalBlockBase">
    <w:name w:val="TechnicalBlockBase"/>
    <w:link w:val="TechnicalBlockBaseChar"/>
    <w:rsid w:val="00A91B93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szCs w:val="36"/>
      <w:u w:val="words" w:color="606060"/>
      <w:lang w:val="mt-MT" w:eastAsia="en-US"/>
    </w:rPr>
  </w:style>
  <w:style w:type="character" w:customStyle="1" w:styleId="TechnicalBlockBaseChar">
    <w:name w:val="TechnicalBlockBase Char"/>
    <w:basedOn w:val="EntEUChar"/>
    <w:link w:val="TechnicalBlockBase"/>
    <w:rsid w:val="00A91B93"/>
    <w:rPr>
      <w:rFonts w:ascii="Arial New Roman" w:hAnsi="Arial New Roman" w:cs="Arial"/>
      <w:b/>
      <w:i/>
      <w:dstrike/>
      <w:color w:val="606060"/>
      <w:w w:val="98"/>
      <w:sz w:val="10"/>
      <w:szCs w:val="36"/>
      <w:u w:val="words" w:color="606060"/>
      <w:lang w:val="mt-MT" w:eastAsia="en-US"/>
    </w:rPr>
  </w:style>
  <w:style w:type="paragraph" w:customStyle="1" w:styleId="HeaderCouncilLarge">
    <w:name w:val="Header Council Large"/>
    <w:basedOn w:val="Normal"/>
    <w:link w:val="HeaderCouncilLargeChar"/>
    <w:rsid w:val="00A91B93"/>
    <w:pPr>
      <w:widowControl/>
      <w:spacing w:after="440" w:line="360" w:lineRule="auto"/>
    </w:pPr>
    <w:rPr>
      <w:rFonts w:ascii="Arial" w:hAnsi="Arial" w:cs="Arial"/>
      <w:b/>
      <w:sz w:val="2"/>
      <w:szCs w:val="24"/>
      <w:u w:color="606060"/>
      <w:lang w:eastAsia="en-US"/>
    </w:rPr>
  </w:style>
  <w:style w:type="character" w:customStyle="1" w:styleId="HeaderCouncilLargeChar">
    <w:name w:val="Header Council Large Char"/>
    <w:basedOn w:val="EntEUChar"/>
    <w:link w:val="HeaderCouncilLarge"/>
    <w:rsid w:val="00A91B93"/>
    <w:rPr>
      <w:rFonts w:ascii="Arial" w:hAnsi="Arial" w:cs="Arial"/>
      <w:b/>
      <w:sz w:val="2"/>
      <w:szCs w:val="24"/>
      <w:u w:color="606060"/>
      <w:lang w:val="mt-MT" w:eastAsia="en-US"/>
    </w:rPr>
  </w:style>
  <w:style w:type="paragraph" w:customStyle="1" w:styleId="FooterText">
    <w:name w:val="Footer Text"/>
    <w:basedOn w:val="Normal"/>
    <w:rsid w:val="00A91B93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A91B9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91B9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91B93"/>
    <w:pPr>
      <w:widowControl/>
      <w:spacing w:before="120" w:after="120"/>
    </w:pPr>
    <w:rPr>
      <w:rFonts w:eastAsiaTheme="minorHAnsi"/>
      <w:b/>
      <w:bCs/>
      <w:lang w:val="mt-MT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91B93"/>
    <w:rPr>
      <w:rFonts w:eastAsiaTheme="minorHAnsi"/>
      <w:b/>
      <w:bCs/>
      <w:lang w:val="mt-MT" w:eastAsia="en-US"/>
    </w:rPr>
  </w:style>
  <w:style w:type="paragraph" w:styleId="ListParagraph">
    <w:name w:val="List Paragraph"/>
    <w:basedOn w:val="Normal"/>
    <w:uiPriority w:val="34"/>
    <w:qFormat/>
    <w:rsid w:val="00A91B93"/>
    <w:pPr>
      <w:widowControl/>
      <w:spacing w:before="120" w:after="120" w:line="360" w:lineRule="auto"/>
      <w:ind w:left="720"/>
      <w:contextualSpacing/>
    </w:pPr>
    <w:rPr>
      <w:rFonts w:eastAsiaTheme="minorHAns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2026-08-31T07:34:00Z</dcterms:created>
  <dcterms:modified xsi:type="dcterms:W3CDTF">2026-08-31T07:34:00Z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P10_TA(2026)0116_</vt:lpwstr>
  </property>
  <property fmtid="{D5CDD505-2E9C-101B-9397-08002B2CF9AE}" pid="4" name="&lt;Type&gt;">
    <vt:lpwstr>RR</vt:lpwstr>
  </property>
</Properties>
</file>