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DF2768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61B75" w:rsidP="0010095E" w14:paraId="631970D9" w14:textId="56EA100D">
            <w:pPr>
              <w:pStyle w:val="EPName"/>
            </w:pPr>
            <w:r w:rsidRPr="00561B75">
              <w:t>Европейски</w:t>
            </w:r>
            <w:r w:rsidRPr="00561B75" w:rsidR="004649CC">
              <w:t xml:space="preserve"> парламент</w:t>
            </w:r>
          </w:p>
          <w:p w:rsidR="00751A4A" w:rsidRPr="00561B75" w:rsidP="005F1B17" w14:paraId="620B31E3" w14:textId="33C5FDCE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1B75">
              <w:t>2024</w:t>
            </w:r>
            <w:r w:rsidR="003B7A4A">
              <w:rPr>
                <w:lang w:val="en-GB"/>
              </w:rPr>
              <w:t> – </w:t>
            </w:r>
            <w:r w:rsidRPr="00561B75" w:rsidR="00817416">
              <w:t>202</w:t>
            </w:r>
            <w:r w:rsidRPr="00561B7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61B75" w:rsidP="0010095E" w14:paraId="6285B15F" w14:textId="77777777">
            <w:pPr>
              <w:pStyle w:val="EPLogo"/>
            </w:pPr>
            <w:r w:rsidRPr="00561B7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61B75" w:rsidP="004C5D52" w14:paraId="19BA2443" w14:textId="77777777">
      <w:pPr>
        <w:pStyle w:val="LineTop"/>
      </w:pPr>
    </w:p>
    <w:p w:rsidR="00680577" w:rsidRPr="00561B75" w:rsidP="00680577" w14:paraId="150DE48D" w14:textId="77777777">
      <w:pPr>
        <w:pStyle w:val="EPBodyTA1"/>
      </w:pPr>
      <w:r w:rsidRPr="00561B75">
        <w:t>ПРИЕТИ ТЕКСТОВЕ</w:t>
      </w:r>
    </w:p>
    <w:p w:rsidR="00D058B8" w:rsidRPr="00561B75" w:rsidP="00D058B8" w14:paraId="5105B044" w14:textId="77777777">
      <w:pPr>
        <w:pStyle w:val="LineBottom"/>
      </w:pPr>
    </w:p>
    <w:p w:rsidR="004649CC" w:rsidRPr="00561B75" w:rsidP="004649CC" w14:paraId="6247FFA3" w14:textId="6257BC3C">
      <w:pPr>
        <w:pStyle w:val="ATHeading1"/>
      </w:pPr>
      <w:bookmarkStart w:id="0" w:name="TANumber"/>
      <w:r w:rsidRPr="00561B75">
        <w:t>P10_TA(2026)0</w:t>
      </w:r>
      <w:r w:rsidR="00561751">
        <w:rPr>
          <w:lang w:val="en-GB"/>
        </w:rPr>
        <w:t>117</w:t>
      </w:r>
      <w:bookmarkEnd w:id="0"/>
    </w:p>
    <w:p w:rsidR="004649CC" w:rsidRPr="00561B75" w:rsidP="004649CC" w14:paraId="7F26EF5F" w14:textId="2FBCE93D">
      <w:pPr>
        <w:pStyle w:val="ATHeading2"/>
      </w:pPr>
      <w:bookmarkStart w:id="1" w:name="title"/>
      <w:r w:rsidRPr="00441035">
        <w:t>Изменение на Регламента за биоцидите по отношение на удължаването на някои срокове за защита на данните</w:t>
      </w:r>
    </w:p>
    <w:p w:rsidR="004649CC" w:rsidRPr="00561B75" w:rsidP="004649CC" w14:paraId="13BA0394" w14:textId="77777777">
      <w:pPr>
        <w:rPr>
          <w:i/>
          <w:vanish/>
        </w:rPr>
      </w:pPr>
      <w:r>
        <w:rPr>
          <w:i/>
        </w:rPr>
        <w:fldChar w:fldCharType="begin"/>
      </w:r>
      <w:r w:rsidRPr="00561B75">
        <w:rPr>
          <w:i/>
        </w:rPr>
        <w:instrText xml:space="preserve"> TC"(</w:instrText>
      </w:r>
      <w:bookmarkStart w:id="2" w:name="DocNumber"/>
      <w:r w:rsidRPr="00561B75">
        <w:rPr>
          <w:i/>
        </w:rPr>
        <w:instrText>A10-0094/2026</w:instrText>
      </w:r>
      <w:bookmarkEnd w:id="2"/>
      <w:r w:rsidRPr="00561B75">
        <w:rPr>
          <w:i/>
        </w:rPr>
        <w:instrText xml:space="preserve"> - Докладчик: </w:instrText>
      </w:r>
      <w:r w:rsidRPr="00561B75">
        <w:rPr>
          <w:i/>
        </w:rPr>
        <w:instrText>Пиерфранческо</w:instrText>
      </w:r>
      <w:r w:rsidRPr="00561B75">
        <w:rPr>
          <w:i/>
        </w:rPr>
        <w:instrText xml:space="preserve"> </w:instrText>
      </w:r>
      <w:r w:rsidRPr="00561B75">
        <w:rPr>
          <w:i/>
        </w:rPr>
        <w:instrText>Маран</w:instrText>
      </w:r>
      <w:r w:rsidRPr="00561B7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649CC" w:rsidRPr="00561B75" w:rsidP="004649CC" w14:paraId="6228062D" w14:textId="77777777">
      <w:pPr>
        <w:rPr>
          <w:vanish/>
        </w:rPr>
      </w:pPr>
      <w:bookmarkStart w:id="3" w:name="Commission"/>
      <w:r w:rsidRPr="00561B75">
        <w:rPr>
          <w:vanish/>
        </w:rPr>
        <w:t>Комисия по околна среда, климат и безопасност на храните</w:t>
      </w:r>
      <w:bookmarkEnd w:id="3"/>
    </w:p>
    <w:p w:rsidR="004649CC" w:rsidRPr="00561B75" w:rsidP="004649CC" w14:paraId="3481DC24" w14:textId="77777777">
      <w:pPr>
        <w:rPr>
          <w:vanish/>
        </w:rPr>
      </w:pPr>
      <w:bookmarkStart w:id="4" w:name="PE"/>
      <w:r w:rsidRPr="00561B75">
        <w:rPr>
          <w:vanish/>
        </w:rPr>
        <w:t>PE786.759</w:t>
      </w:r>
      <w:bookmarkEnd w:id="4"/>
    </w:p>
    <w:p w:rsidR="004649CC" w:rsidRPr="00561B75" w:rsidP="004649CC" w14:paraId="74E72B37" w14:textId="3E89C463">
      <w:pPr>
        <w:pStyle w:val="ATHeading3"/>
      </w:pPr>
      <w:bookmarkStart w:id="5" w:name="Sujet"/>
      <w:r w:rsidRPr="00561B75">
        <w:t xml:space="preserve">Законодателна резолюция на Европейския парламент от </w:t>
      </w:r>
      <w:r w:rsidR="00AB1124">
        <w:t>28</w:t>
      </w:r>
      <w:r w:rsidR="003B7A4A">
        <w:t xml:space="preserve"> април</w:t>
      </w:r>
      <w:r w:rsidRPr="00561B75">
        <w:t xml:space="preserve"> 2026 г. относно предложението за регламент на Европейския парламент и на Съвета за изменение на Регламент (ЕС) № 528/2012 по отношение на удължаването на някои срокове за защита на данните</w:t>
      </w:r>
      <w:bookmarkEnd w:id="5"/>
      <w:r w:rsidRPr="00561B75">
        <w:t xml:space="preserve"> </w:t>
      </w:r>
      <w:bookmarkStart w:id="6" w:name="References"/>
      <w:r w:rsidRPr="00561B75">
        <w:t>(COM(2025)1020 – C10-0362/2025 – 2025/0408(COD))</w:t>
      </w:r>
      <w:bookmarkEnd w:id="6"/>
    </w:p>
    <w:p w:rsidR="004649CC" w:rsidRPr="00561B75" w:rsidP="004649CC" w14:paraId="1F73661A" w14:textId="77777777"/>
    <w:p w:rsidR="009B0CAD" w:rsidRPr="00561B75" w:rsidP="009B0CAD" w14:paraId="4D6405B2" w14:textId="77777777">
      <w:pPr>
        <w:pStyle w:val="NormalBold"/>
      </w:pPr>
      <w:bookmarkStart w:id="7" w:name="TextBodyBegin"/>
      <w:bookmarkEnd w:id="1"/>
      <w:bookmarkEnd w:id="7"/>
      <w:r w:rsidRPr="00561B75">
        <w:t>(Обикновена законодателна процедура: първо четене)</w:t>
      </w:r>
    </w:p>
    <w:p w:rsidR="009B0CAD" w:rsidRPr="00561B75" w:rsidP="009B0CAD" w14:paraId="113B54D0" w14:textId="77777777">
      <w:pPr>
        <w:pStyle w:val="EPComma"/>
      </w:pPr>
      <w:r w:rsidRPr="00561B75">
        <w:rPr>
          <w:i/>
          <w:iCs/>
        </w:rPr>
        <w:t>Европейският парламент</w:t>
      </w:r>
      <w:r w:rsidRPr="00561B75">
        <w:t>,</w:t>
      </w:r>
    </w:p>
    <w:p w:rsidR="009B0CAD" w:rsidRPr="00561B75" w:rsidP="009B0CAD" w14:paraId="2C315D32" w14:textId="1CC67076">
      <w:pPr>
        <w:pStyle w:val="NormalHanging12a"/>
      </w:pPr>
      <w:r w:rsidRPr="00561B75">
        <w:t>–</w:t>
      </w:r>
      <w:r w:rsidRPr="00561B75">
        <w:tab/>
        <w:t xml:space="preserve">като взе предвид предложението на Комисията до </w:t>
      </w:r>
      <w:r w:rsidR="003B7A4A">
        <w:t>П</w:t>
      </w:r>
      <w:r w:rsidRPr="00561B75">
        <w:t>арламент</w:t>
      </w:r>
      <w:r w:rsidR="003B7A4A">
        <w:t>а</w:t>
      </w:r>
      <w:r w:rsidRPr="00561B75">
        <w:t xml:space="preserve"> и до Съвета (COM(2025)1020),</w:t>
      </w:r>
    </w:p>
    <w:p w:rsidR="009B0CAD" w:rsidRPr="00561B75" w:rsidP="009B0CAD" w14:paraId="7CD11264" w14:textId="77777777">
      <w:pPr>
        <w:pStyle w:val="NormalHanging12a"/>
      </w:pPr>
      <w:r w:rsidRPr="00561B75">
        <w:t>–</w:t>
      </w:r>
      <w:r w:rsidRPr="00561B75">
        <w:tab/>
        <w:t>като взе предвид член 294, параграф 2 и член 114 от Договора за функционирането на Европейския съюз, съгласно които Комисията е внесла предложението в Парламента (C10</w:t>
      </w:r>
      <w:r w:rsidRPr="00561B75">
        <w:noBreakHyphen/>
        <w:t>0362/2025),</w:t>
      </w:r>
    </w:p>
    <w:p w:rsidR="009B0CAD" w:rsidRPr="00561B75" w:rsidP="009B0CAD" w14:paraId="7BBB6E40" w14:textId="77777777">
      <w:pPr>
        <w:pStyle w:val="NormalHanging12a"/>
      </w:pPr>
      <w:r w:rsidRPr="00561B75">
        <w:t>–</w:t>
      </w:r>
      <w:r w:rsidRPr="00561B75">
        <w:tab/>
        <w:t>като взе предвид член 294, параграф 3 от Договора за функционирането на Европейския съюз,</w:t>
      </w:r>
    </w:p>
    <w:p w:rsidR="009B0CAD" w:rsidRPr="00561B75" w:rsidP="009B0CAD" w14:paraId="60818B0E" w14:textId="77777777">
      <w:pPr>
        <w:pStyle w:val="NormalHanging12a"/>
      </w:pPr>
      <w:r w:rsidRPr="00561B75">
        <w:t>–</w:t>
      </w:r>
      <w:r w:rsidRPr="00561B75">
        <w:tab/>
        <w:t>като взе предвид становището на Европейския икономически и социален комитет от 21 януари 2026 г.</w:t>
      </w:r>
      <w:r>
        <w:rPr>
          <w:rStyle w:val="FootnoteReference"/>
        </w:rPr>
        <w:footnoteReference w:id="2"/>
      </w:r>
      <w:r w:rsidRPr="00561B75">
        <w:t>,</w:t>
      </w:r>
    </w:p>
    <w:p w:rsidR="009B0CAD" w:rsidRPr="00561B75" w:rsidP="009B0CAD" w14:paraId="64C07106" w14:textId="77777777">
      <w:pPr>
        <w:pStyle w:val="NormalHanging12a"/>
      </w:pPr>
      <w:r w:rsidRPr="00561B75">
        <w:t>–</w:t>
      </w:r>
      <w:r w:rsidRPr="00561B75">
        <w:tab/>
        <w:t>като взе предвид член 60 от своя Правилник за дейността,</w:t>
      </w:r>
    </w:p>
    <w:p w:rsidR="009B0CAD" w:rsidRPr="00561B75" w:rsidP="009B0CAD" w14:paraId="45BCE452" w14:textId="77777777">
      <w:pPr>
        <w:pStyle w:val="NormalHanging12a"/>
      </w:pPr>
      <w:r w:rsidRPr="00561B75">
        <w:t>–</w:t>
      </w:r>
      <w:r w:rsidRPr="00561B75">
        <w:tab/>
        <w:t>като взе предвид доклада на комисията по околна среда, климат и безопасност на храните (A10-0094/2026),</w:t>
      </w:r>
    </w:p>
    <w:p w:rsidR="009B0CAD" w:rsidRPr="00561B75" w:rsidP="009B0CAD" w14:paraId="7A900244" w14:textId="4839E25E">
      <w:pPr>
        <w:pStyle w:val="NormalHanging12a"/>
      </w:pPr>
      <w:r w:rsidRPr="00561B75">
        <w:t>1.</w:t>
      </w:r>
      <w:r w:rsidRPr="00561B75">
        <w:tab/>
        <w:t xml:space="preserve">приема </w:t>
      </w:r>
      <w:r w:rsidRPr="00AB1124" w:rsidR="00AB1124">
        <w:t>изложената по-долу</w:t>
      </w:r>
      <w:r w:rsidRPr="00561B75">
        <w:t xml:space="preserve"> позиция на първо четене;</w:t>
      </w:r>
    </w:p>
    <w:p w:rsidR="009B0CAD" w:rsidRPr="00561B75" w:rsidP="009B0CAD" w14:paraId="01B3DACD" w14:textId="6FAE0078">
      <w:pPr>
        <w:pStyle w:val="NormalHanging12a"/>
      </w:pPr>
      <w:r w:rsidRPr="00561B75">
        <w:t>2.</w:t>
      </w:r>
      <w:r w:rsidRPr="00561B75">
        <w:tab/>
        <w:t>приканва Комисията отново да се отнесе до него, в случай че замени своето предложение с друг текст</w:t>
      </w:r>
      <w:r w:rsidR="003B7A4A">
        <w:t>,</w:t>
      </w:r>
      <w:r w:rsidRPr="00561B75">
        <w:t xml:space="preserve"> внесе или възнамерява да внесе съществени промени в </w:t>
      </w:r>
      <w:r w:rsidRPr="00561B75">
        <w:t>това предложение;</w:t>
      </w:r>
    </w:p>
    <w:p w:rsidR="00561B75" w:rsidRPr="00561B75" w:rsidP="00561B75" w14:paraId="6BDD93C1" w14:textId="5A90CB4D">
      <w:pPr>
        <w:pStyle w:val="NormalHanging12a"/>
        <w:rPr>
          <w:sz w:val="28"/>
          <w:lang w:eastAsia="fr-FR"/>
        </w:rPr>
      </w:pPr>
      <w:r w:rsidRPr="00561B75">
        <w:t>3.</w:t>
      </w:r>
      <w:r w:rsidRPr="00561B75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AB1124" w:rsidP="009B0CAD" w14:paraId="4D9AC695" w14:textId="77777777">
      <w:pPr>
        <w:rPr>
          <w:sz w:val="28"/>
          <w:lang w:eastAsia="fr-FR"/>
        </w:rPr>
        <w:sectPr w:rsidSect="00561B7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B1124" w:rsidRPr="00163A3B" w:rsidP="00AB1124" w14:paraId="2CE2CD57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63A3B">
        <w:rPr>
          <w:rFonts w:eastAsia="Calibri"/>
          <w:b/>
          <w:bCs/>
          <w:color w:val="000000"/>
          <w:szCs w:val="24"/>
        </w:rPr>
        <w:t>P10_TC1-COD(202</w:t>
      </w:r>
      <w:r>
        <w:rPr>
          <w:rFonts w:eastAsia="Calibri"/>
          <w:b/>
          <w:bCs/>
          <w:color w:val="000000"/>
          <w:szCs w:val="24"/>
        </w:rPr>
        <w:t>5</w:t>
      </w:r>
      <w:r w:rsidRPr="00163A3B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408</w:t>
      </w:r>
    </w:p>
    <w:p w:rsidR="00AB1124" w:rsidRPr="00AB1124" w:rsidP="00AB1124" w14:paraId="177F8044" w14:textId="4308264C">
      <w:pPr>
        <w:widowControl/>
        <w:spacing w:before="120" w:after="480" w:line="259" w:lineRule="auto"/>
        <w:rPr>
          <w:b/>
          <w:szCs w:val="24"/>
        </w:rPr>
      </w:pPr>
      <w:r w:rsidRPr="00AB1124">
        <w:rPr>
          <w:b/>
          <w:szCs w:val="24"/>
        </w:rPr>
        <w:t>Позиция на Европейския парламент, приета на първо четене на 28 април</w:t>
      </w:r>
      <w:r w:rsidRPr="00AB1124">
        <w:rPr>
          <w:b/>
          <w:szCs w:val="24"/>
          <w:lang w:val="en-GB"/>
        </w:rPr>
        <w:t xml:space="preserve"> </w:t>
      </w:r>
      <w:r w:rsidRPr="00AB1124">
        <w:rPr>
          <w:b/>
          <w:szCs w:val="24"/>
        </w:rPr>
        <w:t xml:space="preserve">2026 г. с оглед на приемането на Регламент (ЕС) 2026/... на Европейския парламент и на Съвета </w:t>
      </w:r>
      <w:r w:rsidRPr="00AB1124">
        <w:rPr>
          <w:rFonts w:eastAsia="Calibri"/>
          <w:b/>
          <w:noProof/>
          <w:color w:val="000000"/>
          <w:szCs w:val="22"/>
          <w:lang w:eastAsia="en-US"/>
        </w:rPr>
        <w:t>за изменение на Регламент (ЕС) № 528/2012 по отношение на удължаването на някои срокове за защита на данните</w:t>
      </w:r>
    </w:p>
    <w:p w:rsidR="00D64731" w:rsidRPr="00D64731" w:rsidP="00D64731" w14:paraId="68F0A08E" w14:textId="49F4B472">
      <w:pPr>
        <w:widowControl/>
        <w:spacing w:before="240"/>
        <w:rPr>
          <w:i/>
          <w:szCs w:val="24"/>
        </w:rPr>
      </w:pPr>
      <w:r w:rsidRPr="00D64731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акт, Регламент (ЕС) </w:t>
      </w:r>
      <w:r w:rsidRPr="00D64731">
        <w:rPr>
          <w:i/>
          <w:szCs w:val="24"/>
          <w:lang w:val="fr-FR"/>
        </w:rPr>
        <w:t>202</w:t>
      </w:r>
      <w:r w:rsidRPr="00D64731">
        <w:rPr>
          <w:i/>
          <w:szCs w:val="24"/>
          <w:lang w:val="en-GB"/>
        </w:rPr>
        <w:t>6</w:t>
      </w:r>
      <w:r w:rsidRPr="00D64731">
        <w:rPr>
          <w:i/>
          <w:szCs w:val="24"/>
        </w:rPr>
        <w:t>/</w:t>
      </w:r>
      <w:r w:rsidRPr="00D64731">
        <w:rPr>
          <w:i/>
          <w:szCs w:val="24"/>
        </w:rPr>
        <w:t>1165</w:t>
      </w:r>
      <w:r w:rsidRPr="00D64731">
        <w:rPr>
          <w:i/>
          <w:szCs w:val="24"/>
        </w:rPr>
        <w:t>.)</w:t>
      </w:r>
    </w:p>
    <w:p w:rsidR="00E365E1" w:rsidRPr="00561B75" w:rsidP="009B0CAD" w14:paraId="654316CF" w14:textId="6224EAE3">
      <w:pPr>
        <w:rPr>
          <w:sz w:val="28"/>
          <w:lang w:eastAsia="fr-FR"/>
        </w:rPr>
      </w:pPr>
    </w:p>
    <w:sectPr w:rsidSect="00561B7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1B75" w14:paraId="34556B5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1B75" w14:paraId="5544FFF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1B75" w14:paraId="7CD8560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649CC" w:rsidRPr="00561B75" w14:paraId="739DEFDC" w14:textId="77777777">
      <w:r w:rsidRPr="00561B75">
        <w:separator/>
      </w:r>
    </w:p>
  </w:footnote>
  <w:footnote w:type="continuationSeparator" w:id="1">
    <w:p w:rsidR="004649CC" w:rsidRPr="00561B75" w14:paraId="7CEBF4AE" w14:textId="77777777">
      <w:r w:rsidRPr="00561B75">
        <w:continuationSeparator/>
      </w:r>
    </w:p>
  </w:footnote>
  <w:footnote w:id="2">
    <w:p w:rsidR="009B0CAD" w:rsidRPr="00AB1124" w:rsidP="00561B75" w14:paraId="6B1AE5EF" w14:textId="0154F103">
      <w:pPr>
        <w:pStyle w:val="FootnoteText"/>
        <w:ind w:left="567" w:hanging="567"/>
        <w:rPr>
          <w:sz w:val="24"/>
          <w:szCs w:val="24"/>
          <w:lang w:val="bg-BG"/>
        </w:rPr>
      </w:pPr>
      <w:r w:rsidRPr="00AB1124">
        <w:rPr>
          <w:rStyle w:val="FootnoteReference"/>
          <w:sz w:val="24"/>
          <w:szCs w:val="24"/>
          <w:lang w:val="bg-BG"/>
        </w:rPr>
        <w:footnoteRef/>
      </w:r>
      <w:r w:rsidRPr="00AB1124" w:rsidR="00561B75">
        <w:rPr>
          <w:sz w:val="24"/>
          <w:lang w:val="bg-BG"/>
        </w:rPr>
        <w:t xml:space="preserve"> </w:t>
      </w:r>
      <w:r w:rsidRPr="00AB1124" w:rsidR="00561B75">
        <w:rPr>
          <w:sz w:val="24"/>
          <w:lang w:val="bg-BG"/>
        </w:rPr>
        <w:tab/>
      </w:r>
      <w:r w:rsidRPr="00413952" w:rsidR="00413952">
        <w:rPr>
          <w:sz w:val="24"/>
          <w:lang w:val="bg-BG"/>
        </w:rPr>
        <w:t>O</w:t>
      </w:r>
      <w:r w:rsidR="00413952">
        <w:rPr>
          <w:sz w:val="24"/>
          <w:lang w:val="bg-BG"/>
        </w:rPr>
        <w:t>В</w:t>
      </w:r>
      <w:r w:rsidRPr="00413952" w:rsidR="00413952">
        <w:rPr>
          <w:sz w:val="24"/>
          <w:lang w:val="bg-BG"/>
        </w:rPr>
        <w:t xml:space="preserve"> C, C/2026/1969, 28.4.2026</w:t>
      </w:r>
      <w:r w:rsidR="00413952">
        <w:rPr>
          <w:sz w:val="24"/>
          <w:lang w:val="bg-BG"/>
        </w:rPr>
        <w:t> г.</w:t>
      </w:r>
      <w:r w:rsidRPr="00413952" w:rsidR="00413952">
        <w:rPr>
          <w:sz w:val="24"/>
          <w:lang w:val="bg-BG"/>
        </w:rPr>
        <w:t xml:space="preserve">, ELI: </w:t>
      </w:r>
      <w:hyperlink r:id="rId1" w:history="1">
        <w:r w:rsidRPr="00413952" w:rsidR="00413952">
          <w:rPr>
            <w:rStyle w:val="Hyperlink"/>
            <w:sz w:val="24"/>
            <w:lang w:val="bg-BG"/>
          </w:rPr>
          <w:t>http://data.europa.eu/eli/C/2026/1969/oj</w:t>
        </w:r>
      </w:hyperlink>
      <w:r w:rsidRPr="00413952" w:rsidR="00413952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1B75" w14:paraId="2A8724D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1B75" w14:paraId="09E6065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1B75" w14:paraId="6B8D747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1575076">
    <w:abstractNumId w:val="9"/>
  </w:num>
  <w:num w:numId="2" w16cid:durableId="2077120656">
    <w:abstractNumId w:val="9"/>
  </w:num>
  <w:num w:numId="3" w16cid:durableId="414711988">
    <w:abstractNumId w:val="7"/>
  </w:num>
  <w:num w:numId="4" w16cid:durableId="207181015">
    <w:abstractNumId w:val="7"/>
  </w:num>
  <w:num w:numId="5" w16cid:durableId="952588961">
    <w:abstractNumId w:val="6"/>
  </w:num>
  <w:num w:numId="6" w16cid:durableId="1807700709">
    <w:abstractNumId w:val="6"/>
  </w:num>
  <w:num w:numId="7" w16cid:durableId="1765493593">
    <w:abstractNumId w:val="5"/>
  </w:num>
  <w:num w:numId="8" w16cid:durableId="713776886">
    <w:abstractNumId w:val="5"/>
  </w:num>
  <w:num w:numId="9" w16cid:durableId="1318000970">
    <w:abstractNumId w:val="4"/>
  </w:num>
  <w:num w:numId="10" w16cid:durableId="446852586">
    <w:abstractNumId w:val="4"/>
  </w:num>
  <w:num w:numId="11" w16cid:durableId="887034652">
    <w:abstractNumId w:val="8"/>
  </w:num>
  <w:num w:numId="12" w16cid:durableId="1619333841">
    <w:abstractNumId w:val="8"/>
  </w:num>
  <w:num w:numId="13" w16cid:durableId="400837629">
    <w:abstractNumId w:val="3"/>
  </w:num>
  <w:num w:numId="14" w16cid:durableId="350491798">
    <w:abstractNumId w:val="3"/>
  </w:num>
  <w:num w:numId="15" w16cid:durableId="1239948924">
    <w:abstractNumId w:val="2"/>
  </w:num>
  <w:num w:numId="16" w16cid:durableId="1692609244">
    <w:abstractNumId w:val="2"/>
  </w:num>
  <w:num w:numId="17" w16cid:durableId="114302208">
    <w:abstractNumId w:val="1"/>
  </w:num>
  <w:num w:numId="18" w16cid:durableId="1779258346">
    <w:abstractNumId w:val="1"/>
  </w:num>
  <w:num w:numId="19" w16cid:durableId="1374232057">
    <w:abstractNumId w:val="0"/>
  </w:num>
  <w:num w:numId="20" w16cid:durableId="1779257461">
    <w:abstractNumId w:val="0"/>
  </w:num>
  <w:num w:numId="21" w16cid:durableId="32311352">
    <w:abstractNumId w:val="9"/>
  </w:num>
  <w:num w:numId="22" w16cid:durableId="2145586778">
    <w:abstractNumId w:val="7"/>
  </w:num>
  <w:num w:numId="23" w16cid:durableId="1580947614">
    <w:abstractNumId w:val="6"/>
  </w:num>
  <w:num w:numId="24" w16cid:durableId="2119592926">
    <w:abstractNumId w:val="5"/>
  </w:num>
  <w:num w:numId="25" w16cid:durableId="927738898">
    <w:abstractNumId w:val="4"/>
  </w:num>
  <w:num w:numId="26" w16cid:durableId="1144545665">
    <w:abstractNumId w:val="8"/>
  </w:num>
  <w:num w:numId="27" w16cid:durableId="1035275311">
    <w:abstractNumId w:val="3"/>
  </w:num>
  <w:num w:numId="28" w16cid:durableId="772556451">
    <w:abstractNumId w:val="2"/>
  </w:num>
  <w:num w:numId="29" w16cid:durableId="967971448">
    <w:abstractNumId w:val="1"/>
  </w:num>
  <w:num w:numId="30" w16cid:durableId="1704623862">
    <w:abstractNumId w:val="0"/>
  </w:num>
  <w:num w:numId="31" w16cid:durableId="554779456">
    <w:abstractNumId w:val="9"/>
  </w:num>
  <w:num w:numId="32" w16cid:durableId="430707351">
    <w:abstractNumId w:val="7"/>
  </w:num>
  <w:num w:numId="33" w16cid:durableId="1073695792">
    <w:abstractNumId w:val="6"/>
  </w:num>
  <w:num w:numId="34" w16cid:durableId="128518650">
    <w:abstractNumId w:val="5"/>
  </w:num>
  <w:num w:numId="35" w16cid:durableId="2037458592">
    <w:abstractNumId w:val="4"/>
  </w:num>
  <w:num w:numId="36" w16cid:durableId="1020667929">
    <w:abstractNumId w:val="8"/>
  </w:num>
  <w:num w:numId="37" w16cid:durableId="885264251">
    <w:abstractNumId w:val="3"/>
  </w:num>
  <w:num w:numId="38" w16cid:durableId="312415352">
    <w:abstractNumId w:val="2"/>
  </w:num>
  <w:num w:numId="39" w16cid:durableId="465128950">
    <w:abstractNumId w:val="1"/>
  </w:num>
  <w:num w:numId="40" w16cid:durableId="139620259">
    <w:abstractNumId w:val="0"/>
  </w:num>
  <w:num w:numId="41" w16cid:durableId="1437598630">
    <w:abstractNumId w:val="10"/>
  </w:num>
  <w:num w:numId="42" w16cid:durableId="1834879901">
    <w:abstractNumId w:val="10"/>
  </w:num>
  <w:num w:numId="43" w16cid:durableId="703481162">
    <w:abstractNumId w:val="10"/>
  </w:num>
  <w:num w:numId="44" w16cid:durableId="8519928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9CC"/>
    <w:rsid w:val="00002272"/>
    <w:rsid w:val="00064002"/>
    <w:rsid w:val="000677B9"/>
    <w:rsid w:val="000831BA"/>
    <w:rsid w:val="000A42CC"/>
    <w:rsid w:val="000E7DD9"/>
    <w:rsid w:val="0010095E"/>
    <w:rsid w:val="00105FAF"/>
    <w:rsid w:val="00125B37"/>
    <w:rsid w:val="00163A3B"/>
    <w:rsid w:val="00187494"/>
    <w:rsid w:val="001F32AE"/>
    <w:rsid w:val="002767FF"/>
    <w:rsid w:val="002B18FE"/>
    <w:rsid w:val="002B5493"/>
    <w:rsid w:val="00343214"/>
    <w:rsid w:val="00361C00"/>
    <w:rsid w:val="00395FA1"/>
    <w:rsid w:val="003B7A4A"/>
    <w:rsid w:val="003E15D4"/>
    <w:rsid w:val="00411CCE"/>
    <w:rsid w:val="00413952"/>
    <w:rsid w:val="0041666E"/>
    <w:rsid w:val="00421060"/>
    <w:rsid w:val="00441035"/>
    <w:rsid w:val="004649C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42A"/>
    <w:rsid w:val="00560270"/>
    <w:rsid w:val="00561751"/>
    <w:rsid w:val="00561B7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537"/>
    <w:rsid w:val="00981893"/>
    <w:rsid w:val="009B0CAD"/>
    <w:rsid w:val="00A07819"/>
    <w:rsid w:val="00A1687D"/>
    <w:rsid w:val="00A43E52"/>
    <w:rsid w:val="00A4678D"/>
    <w:rsid w:val="00A778C7"/>
    <w:rsid w:val="00AB1124"/>
    <w:rsid w:val="00AB441E"/>
    <w:rsid w:val="00AB6293"/>
    <w:rsid w:val="00AE0928"/>
    <w:rsid w:val="00AF3B82"/>
    <w:rsid w:val="00B12E95"/>
    <w:rsid w:val="00B22876"/>
    <w:rsid w:val="00B558F0"/>
    <w:rsid w:val="00B7482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4731"/>
    <w:rsid w:val="00D834A0"/>
    <w:rsid w:val="00D872DF"/>
    <w:rsid w:val="00D91E21"/>
    <w:rsid w:val="00DA7FCD"/>
    <w:rsid w:val="00E365E1"/>
    <w:rsid w:val="00E820A4"/>
    <w:rsid w:val="00EA606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94/2026"/>
    <w:docVar w:name="dvlangue" w:val="BG"/>
    <w:docVar w:name="dvnumam" w:val="0"/>
    <w:docVar w:name="dvpe" w:val="786.759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регламент на Европейския парламент и на Съвета за изменение на Регламент (ЕС) № 528/2012 по отношение на удължаването на някои срокове за защита на данните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1C779E6"/>
  <w15:chartTrackingRefBased/>
  <w15:docId w15:val="{C26F25AD-8C1E-43E9-9904-6F0DDD3DA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B0CAD"/>
    <w:pPr>
      <w:spacing w:before="480" w:after="240"/>
    </w:pPr>
  </w:style>
  <w:style w:type="paragraph" w:customStyle="1" w:styleId="NormalBold">
    <w:name w:val="NormalBold"/>
    <w:basedOn w:val="Normal"/>
    <w:rsid w:val="009B0CAD"/>
    <w:rPr>
      <w:b/>
    </w:rPr>
  </w:style>
  <w:style w:type="paragraph" w:customStyle="1" w:styleId="NormalHanging12a">
    <w:name w:val="NormalHanging12a"/>
    <w:basedOn w:val="Normal"/>
    <w:rsid w:val="009B0CA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B7A4A"/>
    <w:rPr>
      <w:sz w:val="24"/>
      <w:lang w:val="bg-BG"/>
    </w:rPr>
  </w:style>
  <w:style w:type="character" w:styleId="Hyperlink">
    <w:name w:val="Hyperlink"/>
    <w:rsid w:val="00AB112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39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287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2026-09-01T09:11:00Z</dcterms:created>
  <dcterms:modified xsi:type="dcterms:W3CDTF">2026-09-01T09:11:00Z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