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C89E74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73B45" w:rsidP="0010095E" w14:paraId="435D1207" w14:textId="77777777">
            <w:pPr>
              <w:pStyle w:val="EPName"/>
            </w:pPr>
            <w:r w:rsidRPr="00A73B45">
              <w:t>Europa-Parlamentet</w:t>
            </w:r>
          </w:p>
          <w:p w:rsidR="00751A4A" w:rsidRPr="00A73B45" w:rsidP="005F1B17" w14:paraId="64897E7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3B45">
              <w:t>2024</w:t>
            </w:r>
            <w:r w:rsidRPr="00A73B45" w:rsidR="00817416">
              <w:t>-202</w:t>
            </w:r>
            <w:r w:rsidRPr="00A73B4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73B45" w:rsidP="0010095E" w14:paraId="09C598F7" w14:textId="77777777">
            <w:pPr>
              <w:pStyle w:val="EPLogo"/>
            </w:pPr>
            <w:r w:rsidRPr="00A73B4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73B45" w:rsidP="004C5D52" w14:paraId="5179E3A2" w14:textId="77777777">
      <w:pPr>
        <w:pStyle w:val="LineTop"/>
      </w:pPr>
    </w:p>
    <w:p w:rsidR="00680577" w:rsidRPr="00A73B45" w:rsidP="00680577" w14:paraId="4C1EA614" w14:textId="77777777">
      <w:pPr>
        <w:pStyle w:val="EPBodyTA1"/>
      </w:pPr>
      <w:r w:rsidRPr="00A73B45">
        <w:t>VEDTAGNE TEKSTER</w:t>
      </w:r>
    </w:p>
    <w:p w:rsidR="00D058B8" w:rsidRPr="00A73B45" w:rsidP="00D058B8" w14:paraId="4ED61A24" w14:textId="77777777">
      <w:pPr>
        <w:pStyle w:val="LineBottom"/>
      </w:pPr>
    </w:p>
    <w:p w:rsidR="00102C00" w:rsidRPr="00B51A5D" w:rsidP="00102C00" w14:paraId="06B5BEDC" w14:textId="3E0AF67E">
      <w:pPr>
        <w:pStyle w:val="ATHeading1"/>
      </w:pPr>
      <w:bookmarkStart w:id="0" w:name="TANumber"/>
      <w:r w:rsidRPr="00B51A5D">
        <w:t>P10_</w:t>
      </w:r>
      <w:r w:rsidRPr="00B51A5D">
        <w:t>TA(</w:t>
      </w:r>
      <w:r w:rsidRPr="00B51A5D">
        <w:t>2026)0</w:t>
      </w:r>
      <w:r w:rsidR="003865BD">
        <w:t>117</w:t>
      </w:r>
      <w:bookmarkEnd w:id="0"/>
    </w:p>
    <w:p w:rsidR="00102C00" w:rsidRPr="00B51A5D" w:rsidP="00102C00" w14:paraId="0567A0FE" w14:textId="77777777">
      <w:pPr>
        <w:pStyle w:val="ATHeading2"/>
      </w:pPr>
      <w:bookmarkStart w:id="1" w:name="title"/>
      <w:r w:rsidRPr="00B51A5D">
        <w:t>Ændring af forordningen om biocidholdige produkter for så vidt angår forlængelse af visse databeskyttelsesperioder</w:t>
      </w:r>
      <w:bookmarkEnd w:id="1"/>
    </w:p>
    <w:p w:rsidR="00102C00" w:rsidRPr="00A73B45" w:rsidP="00102C00" w14:paraId="7397E40C" w14:textId="77777777">
      <w:pPr>
        <w:rPr>
          <w:i/>
          <w:vanish/>
        </w:rPr>
      </w:pPr>
      <w:r>
        <w:rPr>
          <w:i/>
        </w:rPr>
        <w:fldChar w:fldCharType="begin"/>
      </w:r>
      <w:r w:rsidRPr="00A73B45">
        <w:rPr>
          <w:i/>
        </w:rPr>
        <w:instrText xml:space="preserve"> TC"(</w:instrText>
      </w:r>
      <w:bookmarkStart w:id="2" w:name="DocNumber"/>
      <w:r w:rsidRPr="00A73B45">
        <w:rPr>
          <w:i/>
        </w:rPr>
        <w:instrText>A10-0094/2026</w:instrText>
      </w:r>
      <w:bookmarkEnd w:id="2"/>
      <w:r w:rsidRPr="00A73B45">
        <w:rPr>
          <w:i/>
        </w:rPr>
        <w:instrText xml:space="preserve"> - Ordfører: </w:instrText>
      </w:r>
      <w:r w:rsidRPr="00A73B45">
        <w:rPr>
          <w:i/>
        </w:rPr>
        <w:instrText>Pierfrancesco</w:instrText>
      </w:r>
      <w:r w:rsidRPr="00A73B45">
        <w:rPr>
          <w:i/>
        </w:rPr>
        <w:instrText xml:space="preserve"> </w:instrText>
      </w:r>
      <w:r w:rsidRPr="00A73B45">
        <w:rPr>
          <w:i/>
        </w:rPr>
        <w:instrText>Maran</w:instrText>
      </w:r>
      <w:r w:rsidRPr="00A73B4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02C00" w:rsidRPr="00A73B45" w:rsidP="00102C00" w14:paraId="25148DE8" w14:textId="77777777">
      <w:pPr>
        <w:rPr>
          <w:vanish/>
        </w:rPr>
      </w:pPr>
      <w:bookmarkStart w:id="3" w:name="Commission"/>
      <w:r w:rsidRPr="00A73B45">
        <w:rPr>
          <w:vanish/>
        </w:rPr>
        <w:t>Udvalget om Miljø, Klima og Fødevaresikkerhed</w:t>
      </w:r>
      <w:bookmarkEnd w:id="3"/>
    </w:p>
    <w:p w:rsidR="00102C00" w:rsidRPr="00A73B45" w:rsidP="00102C00" w14:paraId="2094C657" w14:textId="77777777">
      <w:pPr>
        <w:rPr>
          <w:vanish/>
        </w:rPr>
      </w:pPr>
      <w:bookmarkStart w:id="4" w:name="PE"/>
      <w:r w:rsidRPr="00A73B45">
        <w:rPr>
          <w:vanish/>
        </w:rPr>
        <w:t>PE786.759</w:t>
      </w:r>
      <w:bookmarkEnd w:id="4"/>
    </w:p>
    <w:p w:rsidR="00102C00" w:rsidRPr="00B51A5D" w:rsidP="00102C00" w14:paraId="0689AEE8" w14:textId="17B8B083">
      <w:pPr>
        <w:pStyle w:val="ATHeading3"/>
      </w:pPr>
      <w:bookmarkStart w:id="5" w:name="Sujet"/>
      <w:r w:rsidRPr="00B51A5D">
        <w:t xml:space="preserve">Europa-Parlamentets lovgivningsmæssige beslutning af </w:t>
      </w:r>
      <w:r w:rsidRPr="00B51A5D" w:rsidR="003A3022">
        <w:t>28</w:t>
      </w:r>
      <w:r w:rsidRPr="00B51A5D">
        <w:t>. april 2026 om forslag til Europa-Parlamentets og Rådets forordning om ændring af forordning (EU) nr.</w:t>
      </w:r>
      <w:r w:rsidRPr="00B51A5D" w:rsidR="00D85A88">
        <w:t> </w:t>
      </w:r>
      <w:r w:rsidRPr="00B51A5D">
        <w:t>528/2012 for så vidt angår forlængelse af visse databeskyttelsesperioder</w:t>
      </w:r>
      <w:bookmarkEnd w:id="5"/>
      <w:r w:rsidRPr="00B51A5D">
        <w:t xml:space="preserve"> </w:t>
      </w:r>
      <w:bookmarkStart w:id="6" w:name="References"/>
      <w:r w:rsidRPr="00B51A5D">
        <w:t>(</w:t>
      </w:r>
      <w:r w:rsidRPr="00B51A5D">
        <w:t>COM(</w:t>
      </w:r>
      <w:r w:rsidRPr="00B51A5D">
        <w:t>2025)1020 – C10-0362/2025 – 2025/0408(COD))</w:t>
      </w:r>
      <w:bookmarkEnd w:id="6"/>
    </w:p>
    <w:p w:rsidR="00102C00" w:rsidRPr="00A73B45" w:rsidP="00102C00" w14:paraId="6B07AFB4" w14:textId="77777777"/>
    <w:p w:rsidR="00E62A56" w:rsidRPr="00A73B45" w:rsidP="00E62A56" w14:paraId="710BFDC9" w14:textId="77777777">
      <w:pPr>
        <w:pStyle w:val="NormalBold"/>
      </w:pPr>
      <w:bookmarkStart w:id="7" w:name="TextBodyBegin"/>
      <w:bookmarkEnd w:id="7"/>
      <w:r w:rsidRPr="00A73B45">
        <w:t>(Almindelig lovgivningsprocedure – førstebehandling)</w:t>
      </w:r>
    </w:p>
    <w:p w:rsidR="00E62A56" w:rsidRPr="00A73B45" w:rsidP="00E62A56" w14:paraId="7413F8C9" w14:textId="77777777">
      <w:pPr>
        <w:pStyle w:val="EPComma"/>
      </w:pPr>
      <w:r w:rsidRPr="00A73B45">
        <w:rPr>
          <w:i/>
          <w:iCs/>
        </w:rPr>
        <w:t>Europa-Parlamentet</w:t>
      </w:r>
      <w:r w:rsidRPr="00A73B45">
        <w:t>,</w:t>
      </w:r>
    </w:p>
    <w:p w:rsidR="00E62A56" w:rsidRPr="00A73B45" w:rsidP="00E62A56" w14:paraId="3D3C1F18" w14:textId="77777777">
      <w:pPr>
        <w:pStyle w:val="NormalHanging12a"/>
      </w:pPr>
      <w:r w:rsidRPr="00A73B45">
        <w:t>–</w:t>
      </w:r>
      <w:r w:rsidRPr="00A73B45">
        <w:tab/>
        <w:t>der henviser til Kommissionens forslag til Europa-Parlamentet og Rådet (</w:t>
      </w:r>
      <w:r w:rsidRPr="00A73B45">
        <w:t>COM(</w:t>
      </w:r>
      <w:r w:rsidRPr="00A73B45">
        <w:t>2025)1020),</w:t>
      </w:r>
    </w:p>
    <w:p w:rsidR="00E62A56" w:rsidRPr="00A73B45" w:rsidP="00E62A56" w14:paraId="4681C119" w14:textId="77777777">
      <w:pPr>
        <w:pStyle w:val="NormalHanging12a"/>
      </w:pPr>
      <w:r w:rsidRPr="00A73B45">
        <w:t>–</w:t>
      </w:r>
      <w:r w:rsidRPr="00A73B45">
        <w:tab/>
        <w:t>der henviser til artikel 294, stk. 2, og artikel 114 i traktaten om Den Europæiske Unions funktionsmåde, på grundlag af hvilke Kommissionen har forelagt forslaget for Parlamentet (C10</w:t>
      </w:r>
      <w:r w:rsidRPr="00A73B45">
        <w:noBreakHyphen/>
        <w:t>0362/2025),</w:t>
      </w:r>
    </w:p>
    <w:p w:rsidR="00E62A56" w:rsidRPr="00A73B45" w:rsidP="00E62A56" w14:paraId="7AD9ACB4" w14:textId="77777777">
      <w:pPr>
        <w:pStyle w:val="NormalHanging12a"/>
      </w:pPr>
      <w:r w:rsidRPr="00A73B45">
        <w:t>–</w:t>
      </w:r>
      <w:r w:rsidRPr="00A73B45">
        <w:tab/>
        <w:t>der henviser til artikel 294, stk. 3, i traktaten om Den Europæiske Unions funktionsmåde,</w:t>
      </w:r>
    </w:p>
    <w:p w:rsidR="00E62A56" w:rsidRPr="00A73B45" w:rsidP="00E62A56" w14:paraId="0BC36051" w14:textId="77777777">
      <w:pPr>
        <w:pStyle w:val="NormalHanging12a"/>
      </w:pPr>
      <w:r w:rsidRPr="00A73B45">
        <w:t>–</w:t>
      </w:r>
      <w:r w:rsidRPr="00A73B45">
        <w:tab/>
        <w:t>der henviser til udtalelse af 21. januar 2026 fra Det Europæiske Økonomiske og Sociale Udvalg</w:t>
      </w:r>
      <w:r>
        <w:rPr>
          <w:rStyle w:val="FootnoteReference"/>
        </w:rPr>
        <w:footnoteReference w:id="2"/>
      </w:r>
      <w:r w:rsidRPr="00A73B45">
        <w:t>,</w:t>
      </w:r>
    </w:p>
    <w:p w:rsidR="00E62A56" w:rsidRPr="00A73B45" w:rsidP="00E62A56" w14:paraId="6152BEB1" w14:textId="77777777">
      <w:pPr>
        <w:pStyle w:val="NormalHanging12a"/>
      </w:pPr>
      <w:r w:rsidRPr="00A73B45">
        <w:t>–</w:t>
      </w:r>
      <w:r w:rsidRPr="00A73B45">
        <w:tab/>
        <w:t>der henviser til forretningsordenens artikel 60,</w:t>
      </w:r>
    </w:p>
    <w:p w:rsidR="00E62A56" w:rsidRPr="00A73B45" w:rsidP="00E62A56" w14:paraId="3E6A8024" w14:textId="77777777">
      <w:pPr>
        <w:pStyle w:val="NormalHanging12a"/>
      </w:pPr>
      <w:r w:rsidRPr="00A73B45">
        <w:t>–</w:t>
      </w:r>
      <w:r w:rsidRPr="00A73B45">
        <w:tab/>
        <w:t>der henviser til betænkning fra Udvalget om Miljø, Klima og Fødevaresikkerhed (A10-0094/2026),</w:t>
      </w:r>
    </w:p>
    <w:p w:rsidR="00E62A56" w:rsidRPr="00A73B45" w:rsidP="00E62A56" w14:paraId="16C2B7E0" w14:textId="30C9C889">
      <w:pPr>
        <w:pStyle w:val="NormalHanging12a"/>
      </w:pPr>
      <w:r w:rsidRPr="00A73B45">
        <w:t>1.</w:t>
      </w:r>
      <w:r w:rsidRPr="00A73B45">
        <w:tab/>
        <w:t xml:space="preserve">vedtager </w:t>
      </w:r>
      <w:r w:rsidRPr="00A73B45" w:rsidR="003A3022">
        <w:t xml:space="preserve">nedenstående </w:t>
      </w:r>
      <w:r w:rsidRPr="00A73B45">
        <w:t>holdning ved førstebehandling;</w:t>
      </w:r>
    </w:p>
    <w:p w:rsidR="00E62A56" w:rsidRPr="00A73B45" w:rsidP="00E62A56" w14:paraId="4714DB33" w14:textId="77777777">
      <w:pPr>
        <w:pStyle w:val="NormalHanging12a"/>
      </w:pPr>
      <w:r w:rsidRPr="00A73B45">
        <w:t>2.</w:t>
      </w:r>
      <w:r w:rsidRPr="00A73B45">
        <w:tab/>
        <w:t xml:space="preserve">anmoder om fornyet forelæggelse, hvis Kommissionen erstatter, i væsentlig grad ændrer </w:t>
      </w:r>
      <w:r w:rsidRPr="00A73B45">
        <w:t>eller agter i væsentlig grad at ændre sit forslag;</w:t>
      </w:r>
    </w:p>
    <w:p w:rsidR="003A3022" w:rsidRPr="00A73B45" w14:paraId="52276FBB" w14:textId="77777777">
      <w:pPr>
        <w:ind w:left="567" w:hanging="567"/>
        <w:sectPr w:rsidSect="006A5EF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73B45">
        <w:t>3.</w:t>
      </w:r>
      <w:r w:rsidRPr="00A73B45">
        <w:tab/>
        <w:t>pålægger sin formand at sende Parlamentets holdning til Rådet og Kommissionen samt til de nationale parlamenter.</w:t>
      </w:r>
    </w:p>
    <w:p w:rsidR="003A3022" w:rsidRPr="00A73B45" w:rsidP="003A3022" w14:paraId="6AE9E9F1" w14:textId="446B495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_Hlk211495952"/>
      <w:r w:rsidRPr="00A73B45">
        <w:rPr>
          <w:rFonts w:eastAsia="Calibri"/>
          <w:b/>
          <w:bCs/>
          <w:color w:val="000000"/>
        </w:rPr>
        <w:t>P10_TC1-</w:t>
      </w:r>
      <w:r w:rsidRPr="00A73B45">
        <w:rPr>
          <w:rFonts w:eastAsia="Calibri"/>
          <w:b/>
          <w:bCs/>
          <w:color w:val="000000"/>
        </w:rPr>
        <w:t>COD(</w:t>
      </w:r>
      <w:r w:rsidRPr="00A73B45">
        <w:rPr>
          <w:rFonts w:eastAsia="Calibri"/>
          <w:b/>
          <w:bCs/>
          <w:color w:val="000000"/>
        </w:rPr>
        <w:t>2025)0408</w:t>
      </w:r>
    </w:p>
    <w:p w:rsidR="00481B37" w:rsidP="003A3022" w14:paraId="56B26065" w14:textId="77777777">
      <w:pPr>
        <w:rPr>
          <w:rFonts w:eastAsia="Calibri"/>
          <w:b/>
        </w:rPr>
      </w:pPr>
      <w:r w:rsidRPr="00A73B45">
        <w:rPr>
          <w:b/>
        </w:rPr>
        <w:t xml:space="preserve">Europa-Parlamentets holdning fastlagt ved førstebehandlingen den 28. april 2026 med henblik på vedtagelse af Europa-Parlamentets og Rådets </w:t>
      </w:r>
      <w:r w:rsidRPr="00A73B45">
        <w:rPr>
          <w:rFonts w:eastAsia="Calibri"/>
          <w:b/>
        </w:rPr>
        <w:t xml:space="preserve">forordning </w:t>
      </w:r>
      <w:r w:rsidRPr="00A73B45">
        <w:rPr>
          <w:b/>
        </w:rPr>
        <w:t xml:space="preserve">(EU) </w:t>
      </w:r>
      <w:r w:rsidRPr="00A73B45">
        <w:rPr>
          <w:rFonts w:eastAsia="Calibri"/>
          <w:b/>
        </w:rPr>
        <w:t>2026/…</w:t>
      </w:r>
      <w:bookmarkEnd w:id="8"/>
      <w:r w:rsidRPr="00A73B45">
        <w:rPr>
          <w:rFonts w:eastAsia="Calibri"/>
          <w:b/>
        </w:rPr>
        <w:t xml:space="preserve"> om ændring af forordning (EU) nr. 528/2012 for så vidt angår forlængelse af visse databeskyttelsesperioder</w:t>
      </w:r>
    </w:p>
    <w:p w:rsidR="00481B37" w:rsidP="003A3022" w14:paraId="017869D4" w14:textId="77777777">
      <w:pPr>
        <w:rPr>
          <w:rFonts w:eastAsia="Calibri"/>
          <w:b/>
        </w:rPr>
      </w:pPr>
    </w:p>
    <w:p w:rsidR="003A3022" w:rsidRPr="00A73B45" w:rsidP="003A3022" w14:paraId="19827830" w14:textId="733619EA">
      <w:pPr>
        <w:rPr>
          <w:rFonts w:eastAsia="Calibri"/>
          <w:b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481B37">
        <w:rPr>
          <w:i/>
        </w:rPr>
        <w:t>retsakt, forordning (EU) 202</w:t>
      </w:r>
      <w:r w:rsidRPr="00481B37">
        <w:rPr>
          <w:i/>
        </w:rPr>
        <w:t>6</w:t>
      </w:r>
      <w:r w:rsidRPr="00481B37">
        <w:rPr>
          <w:i/>
        </w:rPr>
        <w:t>/</w:t>
      </w:r>
      <w:r w:rsidRPr="00481B37">
        <w:rPr>
          <w:i/>
        </w:rPr>
        <w:t>1165</w:t>
      </w:r>
      <w:r w:rsidRPr="00DC166C">
        <w:rPr>
          <w:i/>
        </w:rPr>
        <w:t>.)</w:t>
      </w:r>
    </w:p>
    <w:sectPr w:rsidSect="006A5EF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5EF6" w14:paraId="109CE6C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5EF6" w14:paraId="2441EFD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5EF6" w14:paraId="0167FBC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02C00" w:rsidRPr="006A5EF6" w14:paraId="1945BCCF" w14:textId="77777777">
      <w:r w:rsidRPr="006A5EF6">
        <w:separator/>
      </w:r>
    </w:p>
  </w:footnote>
  <w:footnote w:type="continuationSeparator" w:id="1">
    <w:p w:rsidR="00102C00" w:rsidRPr="006A5EF6" w14:paraId="0E191BB4" w14:textId="77777777">
      <w:r w:rsidRPr="006A5EF6">
        <w:continuationSeparator/>
      </w:r>
    </w:p>
  </w:footnote>
  <w:footnote w:id="2">
    <w:p w:rsidR="00E62A56" w:rsidRPr="001D7EA9" w:rsidP="006A5EF6" w14:paraId="16CE1B22" w14:textId="455C2BDB">
      <w:pPr>
        <w:pStyle w:val="FootnoteText"/>
        <w:ind w:left="567" w:hanging="567"/>
        <w:rPr>
          <w:sz w:val="24"/>
          <w:szCs w:val="24"/>
          <w:lang w:val="da-DK"/>
        </w:rPr>
      </w:pPr>
      <w:r w:rsidRPr="001D7EA9">
        <w:rPr>
          <w:rStyle w:val="FootnoteReference"/>
          <w:sz w:val="24"/>
          <w:szCs w:val="24"/>
          <w:lang w:val="da-DK"/>
        </w:rPr>
        <w:footnoteRef/>
      </w:r>
      <w:r w:rsidRPr="001D7EA9" w:rsidR="006A5EF6">
        <w:rPr>
          <w:sz w:val="24"/>
          <w:lang w:val="da-DK"/>
        </w:rPr>
        <w:t xml:space="preserve"> </w:t>
      </w:r>
      <w:r w:rsidRPr="001D7EA9" w:rsidR="006A5EF6">
        <w:rPr>
          <w:sz w:val="24"/>
          <w:lang w:val="da-DK"/>
        </w:rPr>
        <w:tab/>
      </w:r>
      <w:r w:rsidRPr="00B51A5D" w:rsidR="00B51A5D">
        <w:rPr>
          <w:sz w:val="24"/>
          <w:lang w:val="da-DK"/>
        </w:rPr>
        <w:t xml:space="preserve">EUT C, C/2026/1969, 28.4.2026, ELI: </w:t>
      </w:r>
      <w:hyperlink r:id="rId1" w:history="1">
        <w:r w:rsidRPr="00B51A5D" w:rsidR="00B51A5D">
          <w:rPr>
            <w:rStyle w:val="Hyperlink"/>
            <w:sz w:val="24"/>
            <w:lang w:val="da-DK"/>
          </w:rPr>
          <w:t>http://data.europa.eu/eli/C/2026/1969/oj</w:t>
        </w:r>
      </w:hyperlink>
      <w:r w:rsidRPr="001D7EA9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5EF6" w14:paraId="67724D4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5EF6" w14:paraId="63CBE24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5EF6" w14:paraId="328D22F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511820">
    <w:abstractNumId w:val="9"/>
  </w:num>
  <w:num w:numId="2" w16cid:durableId="623313155">
    <w:abstractNumId w:val="9"/>
  </w:num>
  <w:num w:numId="3" w16cid:durableId="257098691">
    <w:abstractNumId w:val="7"/>
  </w:num>
  <w:num w:numId="4" w16cid:durableId="106894141">
    <w:abstractNumId w:val="7"/>
  </w:num>
  <w:num w:numId="5" w16cid:durableId="1028066628">
    <w:abstractNumId w:val="6"/>
  </w:num>
  <w:num w:numId="6" w16cid:durableId="940801769">
    <w:abstractNumId w:val="6"/>
  </w:num>
  <w:num w:numId="7" w16cid:durableId="72968366">
    <w:abstractNumId w:val="5"/>
  </w:num>
  <w:num w:numId="8" w16cid:durableId="2118718078">
    <w:abstractNumId w:val="5"/>
  </w:num>
  <w:num w:numId="9" w16cid:durableId="178934145">
    <w:abstractNumId w:val="4"/>
  </w:num>
  <w:num w:numId="10" w16cid:durableId="422536433">
    <w:abstractNumId w:val="4"/>
  </w:num>
  <w:num w:numId="11" w16cid:durableId="999582706">
    <w:abstractNumId w:val="8"/>
  </w:num>
  <w:num w:numId="12" w16cid:durableId="761146661">
    <w:abstractNumId w:val="8"/>
  </w:num>
  <w:num w:numId="13" w16cid:durableId="806161745">
    <w:abstractNumId w:val="3"/>
  </w:num>
  <w:num w:numId="14" w16cid:durableId="862521385">
    <w:abstractNumId w:val="3"/>
  </w:num>
  <w:num w:numId="15" w16cid:durableId="1425611782">
    <w:abstractNumId w:val="2"/>
  </w:num>
  <w:num w:numId="16" w16cid:durableId="110704819">
    <w:abstractNumId w:val="2"/>
  </w:num>
  <w:num w:numId="17" w16cid:durableId="1576479140">
    <w:abstractNumId w:val="1"/>
  </w:num>
  <w:num w:numId="18" w16cid:durableId="1403405881">
    <w:abstractNumId w:val="1"/>
  </w:num>
  <w:num w:numId="19" w16cid:durableId="497116117">
    <w:abstractNumId w:val="0"/>
  </w:num>
  <w:num w:numId="20" w16cid:durableId="530917094">
    <w:abstractNumId w:val="0"/>
  </w:num>
  <w:num w:numId="21" w16cid:durableId="326902740">
    <w:abstractNumId w:val="9"/>
  </w:num>
  <w:num w:numId="22" w16cid:durableId="822701301">
    <w:abstractNumId w:val="7"/>
  </w:num>
  <w:num w:numId="23" w16cid:durableId="177668662">
    <w:abstractNumId w:val="6"/>
  </w:num>
  <w:num w:numId="24" w16cid:durableId="962882707">
    <w:abstractNumId w:val="5"/>
  </w:num>
  <w:num w:numId="25" w16cid:durableId="1731540648">
    <w:abstractNumId w:val="4"/>
  </w:num>
  <w:num w:numId="26" w16cid:durableId="1377194905">
    <w:abstractNumId w:val="8"/>
  </w:num>
  <w:num w:numId="27" w16cid:durableId="1576823251">
    <w:abstractNumId w:val="3"/>
  </w:num>
  <w:num w:numId="28" w16cid:durableId="1824276506">
    <w:abstractNumId w:val="2"/>
  </w:num>
  <w:num w:numId="29" w16cid:durableId="1502502738">
    <w:abstractNumId w:val="1"/>
  </w:num>
  <w:num w:numId="30" w16cid:durableId="1305962567">
    <w:abstractNumId w:val="0"/>
  </w:num>
  <w:num w:numId="31" w16cid:durableId="50274463">
    <w:abstractNumId w:val="9"/>
  </w:num>
  <w:num w:numId="32" w16cid:durableId="127020602">
    <w:abstractNumId w:val="7"/>
  </w:num>
  <w:num w:numId="33" w16cid:durableId="510684005">
    <w:abstractNumId w:val="6"/>
  </w:num>
  <w:num w:numId="34" w16cid:durableId="248581570">
    <w:abstractNumId w:val="5"/>
  </w:num>
  <w:num w:numId="35" w16cid:durableId="2042588073">
    <w:abstractNumId w:val="4"/>
  </w:num>
  <w:num w:numId="36" w16cid:durableId="231741781">
    <w:abstractNumId w:val="8"/>
  </w:num>
  <w:num w:numId="37" w16cid:durableId="193809846">
    <w:abstractNumId w:val="3"/>
  </w:num>
  <w:num w:numId="38" w16cid:durableId="2101754766">
    <w:abstractNumId w:val="2"/>
  </w:num>
  <w:num w:numId="39" w16cid:durableId="1722099155">
    <w:abstractNumId w:val="1"/>
  </w:num>
  <w:num w:numId="40" w16cid:durableId="1049887531">
    <w:abstractNumId w:val="0"/>
  </w:num>
  <w:num w:numId="41" w16cid:durableId="1614242179">
    <w:abstractNumId w:val="10"/>
  </w:num>
  <w:num w:numId="42" w16cid:durableId="341668237">
    <w:abstractNumId w:val="10"/>
  </w:num>
  <w:num w:numId="43" w16cid:durableId="903682089">
    <w:abstractNumId w:val="10"/>
  </w:num>
  <w:num w:numId="44" w16cid:durableId="5874657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C00"/>
    <w:rsid w:val="00002272"/>
    <w:rsid w:val="00021EB6"/>
    <w:rsid w:val="00064002"/>
    <w:rsid w:val="000677B9"/>
    <w:rsid w:val="000831BA"/>
    <w:rsid w:val="000A42CC"/>
    <w:rsid w:val="000E7DD9"/>
    <w:rsid w:val="0010095E"/>
    <w:rsid w:val="00102C00"/>
    <w:rsid w:val="00125B37"/>
    <w:rsid w:val="00187494"/>
    <w:rsid w:val="001911E1"/>
    <w:rsid w:val="001D7EA9"/>
    <w:rsid w:val="001F32AE"/>
    <w:rsid w:val="002767FF"/>
    <w:rsid w:val="002B18FE"/>
    <w:rsid w:val="002B5493"/>
    <w:rsid w:val="002D060D"/>
    <w:rsid w:val="00343214"/>
    <w:rsid w:val="00361C00"/>
    <w:rsid w:val="003865BD"/>
    <w:rsid w:val="00395FA1"/>
    <w:rsid w:val="003A3022"/>
    <w:rsid w:val="003E15D4"/>
    <w:rsid w:val="00411CCE"/>
    <w:rsid w:val="0041666E"/>
    <w:rsid w:val="00421060"/>
    <w:rsid w:val="00471C19"/>
    <w:rsid w:val="00481B3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24C1"/>
    <w:rsid w:val="006037C0"/>
    <w:rsid w:val="006631B6"/>
    <w:rsid w:val="00680577"/>
    <w:rsid w:val="006A5EF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4D5"/>
    <w:rsid w:val="00A1687D"/>
    <w:rsid w:val="00A43E52"/>
    <w:rsid w:val="00A4678D"/>
    <w:rsid w:val="00A73B45"/>
    <w:rsid w:val="00A778C7"/>
    <w:rsid w:val="00AB441E"/>
    <w:rsid w:val="00AB6293"/>
    <w:rsid w:val="00AE0928"/>
    <w:rsid w:val="00AF3B82"/>
    <w:rsid w:val="00B12E95"/>
    <w:rsid w:val="00B22876"/>
    <w:rsid w:val="00B51A5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5A88"/>
    <w:rsid w:val="00D872DF"/>
    <w:rsid w:val="00D91E21"/>
    <w:rsid w:val="00DA7FCD"/>
    <w:rsid w:val="00DC166C"/>
    <w:rsid w:val="00E365E1"/>
    <w:rsid w:val="00E62A5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94/2026"/>
    <w:docVar w:name="dvlangue" w:val="DA"/>
    <w:docVar w:name="dvnumam" w:val="0"/>
    <w:docVar w:name="dvpe" w:val="786.759"/>
    <w:docVar w:name="dvrapporteur" w:val="Ordfører: "/>
    <w:docVar w:name="dvstar" w:val="***I"/>
    <w:docVar w:name="dvtitre" w:val="Europa-Parlamentets lovgivningsmæssige beslutning af xx. april 2026 om forslag til Europa-Parlamentets og Rådets forordning om ændring af forordning (EU) nr. 528/2012 for så vidt angår forlængelse af visse databeskyttelsesperioder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362882F"/>
  <w15:chartTrackingRefBased/>
  <w15:docId w15:val="{6DC231C0-45FC-4C43-A31F-D31444A8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2A56"/>
    <w:pPr>
      <w:spacing w:before="480" w:after="240"/>
    </w:pPr>
  </w:style>
  <w:style w:type="paragraph" w:customStyle="1" w:styleId="NormalBold">
    <w:name w:val="NormalBold"/>
    <w:basedOn w:val="Normal"/>
    <w:rsid w:val="00E62A56"/>
    <w:rPr>
      <w:b/>
    </w:rPr>
  </w:style>
  <w:style w:type="paragraph" w:customStyle="1" w:styleId="NormalHanging12a">
    <w:name w:val="NormalHanging12a"/>
    <w:basedOn w:val="Normal"/>
    <w:rsid w:val="00E62A5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85A88"/>
    <w:rPr>
      <w:sz w:val="24"/>
      <w:lang w:val="da-DK"/>
    </w:rPr>
  </w:style>
  <w:style w:type="character" w:styleId="CommentReference">
    <w:name w:val="annotation reference"/>
    <w:basedOn w:val="DefaultParagraphFont"/>
    <w:rsid w:val="00D85A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5A8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85A88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D85A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5A88"/>
    <w:rPr>
      <w:b/>
      <w:bCs/>
      <w:lang w:val="da-DK"/>
    </w:rPr>
  </w:style>
  <w:style w:type="character" w:styleId="Hyperlink">
    <w:name w:val="Hyperlink"/>
    <w:uiPriority w:val="99"/>
    <w:rsid w:val="003A3022"/>
    <w:rPr>
      <w:color w:val="0000FF"/>
      <w:u w:val="single"/>
    </w:rPr>
  </w:style>
  <w:style w:type="paragraph" w:customStyle="1" w:styleId="CharCharChar1">
    <w:name w:val="Char Char Char1"/>
    <w:basedOn w:val="Normal"/>
    <w:link w:val="FootnoteReference"/>
    <w:uiPriority w:val="99"/>
    <w:rsid w:val="003A3022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3A302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A302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3A3022"/>
    <w:rPr>
      <w:color w:val="0000FF"/>
      <w:shd w:val="clear" w:color="auto" w:fill="auto"/>
    </w:rPr>
  </w:style>
  <w:style w:type="paragraph" w:customStyle="1" w:styleId="Applicationdirecte">
    <w:name w:val="Application directe"/>
    <w:basedOn w:val="Normal"/>
    <w:next w:val="Fait"/>
    <w:rsid w:val="003A3022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A302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A302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A302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A302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A302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A302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IntrtEEE">
    <w:name w:val="Intérêt EEE"/>
    <w:basedOn w:val="Normal"/>
    <w:next w:val="Normal"/>
    <w:rsid w:val="003A302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51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2026-08-25T13:07:00Z</dcterms:created>
  <dcterms:modified xsi:type="dcterms:W3CDTF">2026-08-25T13:07:00Z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