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B2B9E08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E611F" w:rsidP="0010095E" w14:paraId="417119D3" w14:textId="77777777">
            <w:pPr>
              <w:pStyle w:val="EPName"/>
            </w:pPr>
            <w:r w:rsidRPr="007E611F">
              <w:t>Parlamento Europeo</w:t>
            </w:r>
          </w:p>
          <w:p w:rsidR="00751A4A" w:rsidRPr="007E611F" w:rsidP="005F1B17" w14:paraId="2AF8846D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E611F">
              <w:t>2024</w:t>
            </w:r>
            <w:r w:rsidRPr="007E611F" w:rsidR="00817416">
              <w:t>-202</w:t>
            </w:r>
            <w:r w:rsidRPr="007E611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E611F" w:rsidP="0010095E" w14:paraId="1AFD1C19" w14:textId="77777777">
            <w:pPr>
              <w:pStyle w:val="EPLogo"/>
            </w:pPr>
            <w:r w:rsidRPr="007E611F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E611F" w:rsidP="004C5D52" w14:paraId="535A8687" w14:textId="77777777">
      <w:pPr>
        <w:pStyle w:val="LineTop"/>
      </w:pPr>
    </w:p>
    <w:p w:rsidR="00680577" w:rsidRPr="007E611F" w:rsidP="00680577" w14:paraId="52E7B8FE" w14:textId="77777777">
      <w:pPr>
        <w:pStyle w:val="EPBodyTA1"/>
      </w:pPr>
      <w:r w:rsidRPr="007E611F">
        <w:t>TEXTOS APROBADOS</w:t>
      </w:r>
    </w:p>
    <w:p w:rsidR="00D058B8" w:rsidRPr="007E611F" w:rsidP="00D058B8" w14:paraId="1EB0BAD9" w14:textId="77777777">
      <w:pPr>
        <w:pStyle w:val="LineBottom"/>
      </w:pPr>
    </w:p>
    <w:p w:rsidR="00405786" w:rsidRPr="003100AA" w:rsidP="00405786" w14:paraId="7CFCD0C0" w14:textId="6353C720">
      <w:pPr>
        <w:pStyle w:val="ATHeading1"/>
      </w:pPr>
      <w:bookmarkStart w:id="0" w:name="TANumber"/>
      <w:r w:rsidRPr="003100AA">
        <w:t>P10_</w:t>
      </w:r>
      <w:r w:rsidRPr="003100AA">
        <w:t>TA(</w:t>
      </w:r>
      <w:r w:rsidRPr="003100AA">
        <w:t>2026)0</w:t>
      </w:r>
      <w:r w:rsidRPr="003100AA" w:rsidR="00C33569">
        <w:t>117</w:t>
      </w:r>
      <w:bookmarkEnd w:id="0"/>
    </w:p>
    <w:p w:rsidR="00405786" w:rsidRPr="003100AA" w:rsidP="00405786" w14:paraId="09E13F41" w14:textId="77777777">
      <w:pPr>
        <w:pStyle w:val="ATHeading2"/>
      </w:pPr>
      <w:bookmarkStart w:id="1" w:name="title"/>
      <w:r w:rsidRPr="003100AA">
        <w:t>Modificación del Reglamento sobre biocidas en lo que respecta a la ampliación de los plazos de protección de determinados datos</w:t>
      </w:r>
      <w:bookmarkEnd w:id="1"/>
    </w:p>
    <w:p w:rsidR="00405786" w:rsidRPr="007E611F" w:rsidP="00405786" w14:paraId="21444A80" w14:textId="77777777">
      <w:pPr>
        <w:rPr>
          <w:i/>
          <w:vanish/>
        </w:rPr>
      </w:pPr>
      <w:r>
        <w:rPr>
          <w:i/>
        </w:rPr>
        <w:fldChar w:fldCharType="begin"/>
      </w:r>
      <w:r w:rsidRPr="007E611F">
        <w:rPr>
          <w:i/>
        </w:rPr>
        <w:instrText xml:space="preserve"> TC"(</w:instrText>
      </w:r>
      <w:bookmarkStart w:id="2" w:name="DocNumber"/>
      <w:r w:rsidRPr="007E611F">
        <w:rPr>
          <w:i/>
        </w:rPr>
        <w:instrText>A10-0094/2026</w:instrText>
      </w:r>
      <w:bookmarkEnd w:id="2"/>
      <w:r w:rsidRPr="007E611F">
        <w:rPr>
          <w:i/>
        </w:rPr>
        <w:instrText xml:space="preserve"> - Ponente: </w:instrText>
      </w:r>
      <w:r w:rsidRPr="007E611F">
        <w:rPr>
          <w:i/>
        </w:rPr>
        <w:instrText>Pierfrancesco</w:instrText>
      </w:r>
      <w:r w:rsidRPr="007E611F">
        <w:rPr>
          <w:i/>
        </w:rPr>
        <w:instrText xml:space="preserve"> </w:instrText>
      </w:r>
      <w:r w:rsidRPr="007E611F">
        <w:rPr>
          <w:i/>
        </w:rPr>
        <w:instrText>Maran</w:instrText>
      </w:r>
      <w:r w:rsidRPr="007E611F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405786" w:rsidRPr="007E611F" w:rsidP="00405786" w14:paraId="53EAD895" w14:textId="77777777">
      <w:pPr>
        <w:rPr>
          <w:vanish/>
        </w:rPr>
      </w:pPr>
      <w:bookmarkStart w:id="3" w:name="Commission"/>
      <w:r w:rsidRPr="007E611F">
        <w:rPr>
          <w:vanish/>
        </w:rPr>
        <w:t>Comisión de Medio Ambiente, Clima y Seguridad Alimentaria</w:t>
      </w:r>
      <w:bookmarkEnd w:id="3"/>
    </w:p>
    <w:p w:rsidR="00405786" w:rsidRPr="007E611F" w:rsidP="00405786" w14:paraId="73839BED" w14:textId="77777777">
      <w:pPr>
        <w:rPr>
          <w:vanish/>
        </w:rPr>
      </w:pPr>
      <w:bookmarkStart w:id="4" w:name="PE"/>
      <w:r w:rsidRPr="007E611F">
        <w:rPr>
          <w:vanish/>
        </w:rPr>
        <w:t>PE786.759</w:t>
      </w:r>
      <w:bookmarkEnd w:id="4"/>
    </w:p>
    <w:p w:rsidR="00405786" w:rsidRPr="003100AA" w:rsidP="00405786" w14:paraId="1B01BE19" w14:textId="52CD87A3">
      <w:pPr>
        <w:pStyle w:val="ATHeading3"/>
      </w:pPr>
      <w:bookmarkStart w:id="5" w:name="Sujet"/>
      <w:r w:rsidRPr="003100AA">
        <w:t xml:space="preserve">Resolución legislativa del Parlamento Europeo, de </w:t>
      </w:r>
      <w:r w:rsidRPr="003100AA" w:rsidR="00A81C4C">
        <w:t>28</w:t>
      </w:r>
      <w:r w:rsidRPr="003100AA">
        <w:t xml:space="preserve"> de abril de 2026, sobre la propuesta de Reglamento del Parlamento Europeo y del Consejo por el que se modifica el Reglamento (UE) n.º 528/2012 en lo que respecta a la ampliación de los plazos de protección de determinados datos</w:t>
      </w:r>
      <w:bookmarkEnd w:id="5"/>
      <w:r w:rsidRPr="003100AA">
        <w:t xml:space="preserve"> </w:t>
      </w:r>
      <w:bookmarkStart w:id="6" w:name="References"/>
      <w:r w:rsidRPr="003100AA">
        <w:t>(</w:t>
      </w:r>
      <w:r w:rsidRPr="003100AA">
        <w:t>COM(</w:t>
      </w:r>
      <w:r w:rsidRPr="003100AA">
        <w:t>2025)1020 – C10-0362/2025 – 2025/0408(COD))</w:t>
      </w:r>
      <w:bookmarkEnd w:id="6"/>
    </w:p>
    <w:p w:rsidR="00405786" w:rsidRPr="007E611F" w:rsidP="00405786" w14:paraId="2CE6873F" w14:textId="20AF3D2D"/>
    <w:p w:rsidR="000A7F42" w:rsidRPr="007E611F" w:rsidP="000A7F42" w14:paraId="68E30748" w14:textId="77777777">
      <w:pPr>
        <w:pStyle w:val="NormalBold"/>
      </w:pPr>
      <w:bookmarkStart w:id="7" w:name="TextBodyBegin"/>
      <w:bookmarkEnd w:id="7"/>
      <w:r w:rsidRPr="007E611F">
        <w:t>(Procedimiento legislativo ordinario: primera lectura)</w:t>
      </w:r>
    </w:p>
    <w:p w:rsidR="000A7F42" w:rsidRPr="007E611F" w:rsidP="000A7F42" w14:paraId="689B3F67" w14:textId="77777777">
      <w:pPr>
        <w:pStyle w:val="EPComma"/>
      </w:pPr>
      <w:r w:rsidRPr="007E611F">
        <w:rPr>
          <w:i/>
          <w:iCs/>
        </w:rPr>
        <w:t>El Parlamento Europeo</w:t>
      </w:r>
      <w:r w:rsidRPr="007E611F">
        <w:t>,</w:t>
      </w:r>
    </w:p>
    <w:p w:rsidR="000A7F42" w:rsidRPr="007E611F" w:rsidP="000A7F42" w14:paraId="26DC41FD" w14:textId="77777777">
      <w:pPr>
        <w:pStyle w:val="NormalHanging12a"/>
      </w:pPr>
      <w:r w:rsidRPr="007E611F">
        <w:t>–</w:t>
      </w:r>
      <w:r w:rsidRPr="007E611F">
        <w:tab/>
        <w:t>Vista la propuesta de la Comisión al Parlamento Europeo y al Consejo (COM(2025)1020),</w:t>
      </w:r>
    </w:p>
    <w:p w:rsidR="000A7F42" w:rsidRPr="007E611F" w:rsidP="000A7F42" w14:paraId="6ADC4C24" w14:textId="77777777">
      <w:pPr>
        <w:pStyle w:val="NormalHanging12a"/>
      </w:pPr>
      <w:r w:rsidRPr="007E611F">
        <w:t>–</w:t>
      </w:r>
      <w:r w:rsidRPr="007E611F">
        <w:tab/>
        <w:t>Vistos el artículo 294, apartado 2, y el artículo 114 del Tratado de Funcionamiento de la Unión Europea, conforme a los cuales la Comisión le ha presentado su propuesta (C10</w:t>
      </w:r>
      <w:r w:rsidRPr="007E611F">
        <w:noBreakHyphen/>
        <w:t>0362/2025),</w:t>
      </w:r>
    </w:p>
    <w:p w:rsidR="000A7F42" w:rsidRPr="007E611F" w:rsidP="000A7F42" w14:paraId="2061FAFD" w14:textId="77777777">
      <w:pPr>
        <w:pStyle w:val="NormalHanging12a"/>
      </w:pPr>
      <w:r w:rsidRPr="007E611F">
        <w:t>–</w:t>
      </w:r>
      <w:r w:rsidRPr="007E611F">
        <w:tab/>
        <w:t>Visto el artículo 294, apartado 3, del Tratado de Funcionamiento de la Unión Europea,</w:t>
      </w:r>
    </w:p>
    <w:p w:rsidR="000A7F42" w:rsidRPr="007E611F" w:rsidP="000A7F42" w14:paraId="69E683C4" w14:textId="6EE57827">
      <w:pPr>
        <w:pStyle w:val="NormalHanging12a"/>
      </w:pPr>
      <w:r w:rsidRPr="007E611F">
        <w:t>–</w:t>
      </w:r>
      <w:r w:rsidRPr="007E611F">
        <w:tab/>
        <w:t>Visto el dictamen del Comité Económico y Social Europeo de 21 de enero de 2026</w:t>
      </w:r>
      <w:r>
        <w:rPr>
          <w:rStyle w:val="FootnoteReference"/>
        </w:rPr>
        <w:footnoteReference w:id="2"/>
      </w:r>
      <w:r w:rsidRPr="007E611F">
        <w:t>,</w:t>
      </w:r>
    </w:p>
    <w:p w:rsidR="000A7F42" w:rsidRPr="007E611F" w:rsidP="000A7F42" w14:paraId="4B59D776" w14:textId="77777777">
      <w:pPr>
        <w:pStyle w:val="NormalHanging12a"/>
      </w:pPr>
      <w:r w:rsidRPr="007E611F">
        <w:t>–</w:t>
      </w:r>
      <w:r w:rsidRPr="007E611F">
        <w:tab/>
        <w:t>Visto el artículo 60 de su Reglamento interno,</w:t>
      </w:r>
    </w:p>
    <w:p w:rsidR="000A7F42" w:rsidRPr="007E611F" w:rsidP="000A7F42" w14:paraId="50AB9ADD" w14:textId="77777777">
      <w:pPr>
        <w:pStyle w:val="NormalHanging12a"/>
      </w:pPr>
      <w:r w:rsidRPr="007E611F">
        <w:t>–</w:t>
      </w:r>
      <w:r w:rsidRPr="007E611F">
        <w:tab/>
        <w:t>Visto el informe de la Comisión de Medio Ambiente, Clima y Seguridad Alimentaria (A10-0094/2026),</w:t>
      </w:r>
    </w:p>
    <w:p w:rsidR="000A7F42" w:rsidRPr="007E611F" w:rsidP="000A7F42" w14:paraId="6260F7AF" w14:textId="7EF04354">
      <w:pPr>
        <w:pStyle w:val="NormalHanging12a"/>
      </w:pPr>
      <w:r w:rsidRPr="007E611F">
        <w:t>1.</w:t>
      </w:r>
      <w:r w:rsidRPr="007E611F">
        <w:tab/>
        <w:t xml:space="preserve">Aprueba </w:t>
      </w:r>
      <w:r w:rsidRPr="007E611F" w:rsidR="00A81C4C">
        <w:t>la</w:t>
      </w:r>
      <w:r w:rsidRPr="007E611F">
        <w:t xml:space="preserve"> Posición en primera lectura </w:t>
      </w:r>
      <w:r w:rsidRPr="007E611F" w:rsidR="00A81C4C">
        <w:t>que figura a continuación</w:t>
      </w:r>
      <w:r w:rsidRPr="007E611F">
        <w:t>;</w:t>
      </w:r>
    </w:p>
    <w:p w:rsidR="000A7F42" w:rsidRPr="007E611F" w:rsidP="000A7F42" w14:paraId="3D0AE7E4" w14:textId="77777777">
      <w:pPr>
        <w:pStyle w:val="NormalHanging12a"/>
      </w:pPr>
      <w:r w:rsidRPr="007E611F">
        <w:t>2.</w:t>
      </w:r>
      <w:r w:rsidRPr="007E611F">
        <w:tab/>
        <w:t>Pide a la Comisión que le consulte de nuevo si sustituye su propuesta, la modifica sustancialmente o se propone modificarla sustancialmente;</w:t>
      </w:r>
    </w:p>
    <w:p w:rsidR="0083059D" w:rsidRPr="007E611F" w:rsidP="0083059D" w14:paraId="666EDE35" w14:textId="4EF869C9">
      <w:pPr>
        <w:pStyle w:val="NormalHanging12a"/>
      </w:pPr>
      <w:r w:rsidRPr="007E611F">
        <w:t>3.</w:t>
      </w:r>
      <w:r w:rsidRPr="007E611F">
        <w:tab/>
        <w:t>Encarga a su presidenta que transmita la Posición del Parlamento al Consejo y a la Comisión, así como a los Parlamentos nacionales.</w:t>
      </w:r>
    </w:p>
    <w:p w:rsidR="00A81C4C" w:rsidRPr="007E611F" w:rsidP="00405786" w14:paraId="75F46904" w14:textId="77777777">
      <w:pPr>
        <w:sectPr w:rsidSect="0083059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A81C4C" w:rsidRPr="007E611F" w:rsidP="00A81C4C" w14:paraId="701B0311" w14:textId="4AC1E759">
      <w:pPr>
        <w:pStyle w:val="Normal12Hanging"/>
        <w:ind w:left="0" w:firstLine="0"/>
        <w:rPr>
          <w:b/>
          <w:lang w:val="es-ES"/>
        </w:rPr>
      </w:pPr>
      <w:r w:rsidRPr="007E611F">
        <w:rPr>
          <w:b/>
          <w:lang w:val="es-ES"/>
        </w:rPr>
        <w:t>P10_TC1-</w:t>
      </w:r>
      <w:r w:rsidRPr="007E611F">
        <w:rPr>
          <w:b/>
          <w:lang w:val="es-ES"/>
        </w:rPr>
        <w:t>COD(</w:t>
      </w:r>
      <w:r w:rsidRPr="007E611F">
        <w:rPr>
          <w:b/>
          <w:lang w:val="es-ES"/>
        </w:rPr>
        <w:t>2025)0408</w:t>
      </w:r>
    </w:p>
    <w:p w:rsidR="00A81C4C" w:rsidP="00C33569" w14:paraId="49553059" w14:textId="121A1CC4">
      <w:pPr>
        <w:widowControl/>
        <w:spacing w:before="360" w:after="360"/>
        <w:rPr>
          <w:rFonts w:eastAsia="Calibri"/>
          <w:b/>
          <w:szCs w:val="22"/>
          <w:lang w:val="es-ES" w:eastAsia="en-US"/>
        </w:rPr>
      </w:pPr>
      <w:r w:rsidRPr="007E611F">
        <w:rPr>
          <w:b/>
        </w:rPr>
        <w:t xml:space="preserve">Posición del Parlamento Europeo aprobada en primera lectura el 28 de abril de 2026 con vistas a la adopción del Reglamento (UE) 2026/... del Parlamento Europeo y del Consejo </w:t>
      </w:r>
      <w:r w:rsidRPr="007E611F">
        <w:rPr>
          <w:rFonts w:eastAsia="Calibri"/>
          <w:b/>
          <w:szCs w:val="22"/>
          <w:lang w:val="es-ES" w:eastAsia="en-US"/>
        </w:rPr>
        <w:t>por el que se modifica el Reglamento (UE) n.º 528/2012 en lo que respecta a la ampliación de los plazos de protección de determinados datos</w:t>
      </w:r>
    </w:p>
    <w:p w:rsidR="00715219" w:rsidRPr="00715219" w:rsidP="00715219" w14:paraId="2F7BFF0B" w14:textId="16949168">
      <w:pPr>
        <w:widowControl/>
        <w:spacing w:before="360" w:after="360"/>
        <w:rPr>
          <w:rFonts w:eastAsia="Calibri"/>
          <w:bCs/>
          <w:i/>
          <w:iCs/>
          <w:szCs w:val="22"/>
          <w:lang w:val="es-ES" w:eastAsia="en-US"/>
        </w:rPr>
      </w:pPr>
      <w:r w:rsidRPr="00715219">
        <w:rPr>
          <w:rFonts w:eastAsia="Calibri"/>
          <w:bCs/>
          <w:i/>
          <w:iCs/>
          <w:szCs w:val="22"/>
          <w:lang w:val="es-ES" w:eastAsia="en-US"/>
        </w:rPr>
        <w:t>(</w:t>
      </w:r>
      <w:r w:rsidRPr="00715219">
        <w:rPr>
          <w:bCs/>
          <w:i/>
          <w:iCs/>
        </w:rPr>
        <w:t xml:space="preserve">Dado que el Parlamento Europeo y el Consejo llegaron a un acuerdo, la posición del Parlamento coincide con el texto del acto legislativo definitivo, el Reglamento </w:t>
      </w:r>
      <w:r w:rsidRPr="00715219">
        <w:rPr>
          <w:rFonts w:eastAsia="Calibri"/>
          <w:bCs/>
          <w:i/>
          <w:iCs/>
          <w:szCs w:val="22"/>
          <w:lang w:val="es-ES" w:eastAsia="en-US"/>
        </w:rPr>
        <w:t>(UE) 2026/1165.)</w:t>
      </w:r>
    </w:p>
    <w:sectPr w:rsidSect="0083059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3059D" w14:paraId="6DE9E942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3059D" w14:paraId="2B45CE57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3059D" w14:paraId="18D96BC6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05786" w:rsidRPr="0083059D" w14:paraId="78B07436" w14:textId="77777777">
      <w:r w:rsidRPr="0083059D">
        <w:separator/>
      </w:r>
    </w:p>
  </w:footnote>
  <w:footnote w:type="continuationSeparator" w:id="1">
    <w:p w:rsidR="00405786" w:rsidRPr="0083059D" w14:paraId="267D43E7" w14:textId="77777777">
      <w:r w:rsidRPr="0083059D">
        <w:continuationSeparator/>
      </w:r>
    </w:p>
  </w:footnote>
  <w:footnote w:id="2">
    <w:p w:rsidR="000A7F42" w:rsidRPr="00C33569" w:rsidP="003100AA" w14:paraId="0F1182B3" w14:textId="3413D214">
      <w:pPr>
        <w:pStyle w:val="FootnoteText"/>
        <w:spacing w:line="240" w:lineRule="auto"/>
        <w:ind w:left="709" w:hanging="709"/>
        <w:rPr>
          <w:sz w:val="24"/>
          <w:szCs w:val="24"/>
          <w:lang w:val="pt-PT"/>
        </w:rPr>
      </w:pPr>
      <w:r w:rsidRPr="004845D5">
        <w:rPr>
          <w:rStyle w:val="FootnoteReference"/>
          <w:sz w:val="24"/>
          <w:szCs w:val="24"/>
          <w:lang w:val="es-ES_tradnl"/>
        </w:rPr>
        <w:footnoteRef/>
      </w:r>
      <w:r w:rsidRPr="00C33569" w:rsidR="0083059D">
        <w:rPr>
          <w:sz w:val="24"/>
          <w:szCs w:val="24"/>
          <w:lang w:val="pt-PT"/>
        </w:rPr>
        <w:t xml:space="preserve"> </w:t>
      </w:r>
      <w:r w:rsidRPr="00C33569" w:rsidR="0083059D">
        <w:rPr>
          <w:sz w:val="24"/>
          <w:szCs w:val="24"/>
          <w:lang w:val="pt-PT"/>
        </w:rPr>
        <w:tab/>
      </w:r>
      <w:r w:rsidRPr="00C33569" w:rsidR="00A11AE5">
        <w:rPr>
          <w:sz w:val="24"/>
          <w:szCs w:val="24"/>
          <w:lang w:val="pt-PT"/>
        </w:rPr>
        <w:t>DO</w:t>
      </w:r>
      <w:r w:rsidRPr="004845D5" w:rsidR="00A11AE5">
        <w:rPr>
          <w:sz w:val="24"/>
          <w:szCs w:val="24"/>
          <w:lang w:val="pt-PT"/>
        </w:rPr>
        <w:t> </w:t>
      </w:r>
      <w:r w:rsidRPr="00C33569" w:rsidR="00A11AE5">
        <w:rPr>
          <w:sz w:val="24"/>
          <w:szCs w:val="24"/>
          <w:lang w:val="pt-PT"/>
        </w:rPr>
        <w:t>C, C/2026/196</w:t>
      </w:r>
      <w:r w:rsidR="007448DD">
        <w:rPr>
          <w:sz w:val="24"/>
          <w:szCs w:val="24"/>
          <w:lang w:val="pt-PT"/>
        </w:rPr>
        <w:t>9</w:t>
      </w:r>
      <w:r w:rsidRPr="00C33569" w:rsidR="00A11AE5">
        <w:rPr>
          <w:sz w:val="24"/>
          <w:szCs w:val="24"/>
          <w:lang w:val="pt-PT"/>
        </w:rPr>
        <w:t>, 28.4.2026, ELI:</w:t>
      </w:r>
      <w:r w:rsidRPr="004845D5" w:rsidR="0025346D">
        <w:rPr>
          <w:sz w:val="24"/>
          <w:szCs w:val="24"/>
          <w:lang w:val="pt-PT"/>
        </w:rPr>
        <w:t> </w:t>
      </w:r>
      <w:hyperlink r:id="rId1" w:history="1">
        <w:r w:rsidRPr="00C33569" w:rsidR="00787C9D">
          <w:rPr>
            <w:rStyle w:val="Hyperlink"/>
            <w:lang w:val="pt-PT"/>
          </w:rPr>
          <w:t>http://data.europa.eu/eli/C/2026/1968/oj</w:t>
        </w:r>
      </w:hyperlink>
      <w:r w:rsidRPr="00C33569" w:rsidR="00A11AE5">
        <w:rPr>
          <w:sz w:val="24"/>
          <w:szCs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3059D" w14:paraId="16CDE640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3059D" w14:paraId="45D1E7F3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3059D" w14:paraId="7F4485C8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23532885">
    <w:abstractNumId w:val="9"/>
  </w:num>
  <w:num w:numId="2" w16cid:durableId="2068990613">
    <w:abstractNumId w:val="9"/>
  </w:num>
  <w:num w:numId="3" w16cid:durableId="834342289">
    <w:abstractNumId w:val="7"/>
  </w:num>
  <w:num w:numId="4" w16cid:durableId="594097428">
    <w:abstractNumId w:val="7"/>
  </w:num>
  <w:num w:numId="5" w16cid:durableId="1741949282">
    <w:abstractNumId w:val="6"/>
  </w:num>
  <w:num w:numId="6" w16cid:durableId="1798337006">
    <w:abstractNumId w:val="6"/>
  </w:num>
  <w:num w:numId="7" w16cid:durableId="577979942">
    <w:abstractNumId w:val="5"/>
  </w:num>
  <w:num w:numId="8" w16cid:durableId="675813979">
    <w:abstractNumId w:val="5"/>
  </w:num>
  <w:num w:numId="9" w16cid:durableId="1188180503">
    <w:abstractNumId w:val="4"/>
  </w:num>
  <w:num w:numId="10" w16cid:durableId="520168906">
    <w:abstractNumId w:val="4"/>
  </w:num>
  <w:num w:numId="11" w16cid:durableId="520781529">
    <w:abstractNumId w:val="8"/>
  </w:num>
  <w:num w:numId="12" w16cid:durableId="2013875397">
    <w:abstractNumId w:val="8"/>
  </w:num>
  <w:num w:numId="13" w16cid:durableId="1024332990">
    <w:abstractNumId w:val="3"/>
  </w:num>
  <w:num w:numId="14" w16cid:durableId="1470588559">
    <w:abstractNumId w:val="3"/>
  </w:num>
  <w:num w:numId="15" w16cid:durableId="1340430974">
    <w:abstractNumId w:val="2"/>
  </w:num>
  <w:num w:numId="16" w16cid:durableId="1097406031">
    <w:abstractNumId w:val="2"/>
  </w:num>
  <w:num w:numId="17" w16cid:durableId="811673545">
    <w:abstractNumId w:val="1"/>
  </w:num>
  <w:num w:numId="18" w16cid:durableId="1647975790">
    <w:abstractNumId w:val="1"/>
  </w:num>
  <w:num w:numId="19" w16cid:durableId="707876342">
    <w:abstractNumId w:val="0"/>
  </w:num>
  <w:num w:numId="20" w16cid:durableId="350302442">
    <w:abstractNumId w:val="0"/>
  </w:num>
  <w:num w:numId="21" w16cid:durableId="1446194715">
    <w:abstractNumId w:val="9"/>
  </w:num>
  <w:num w:numId="22" w16cid:durableId="1325744039">
    <w:abstractNumId w:val="7"/>
  </w:num>
  <w:num w:numId="23" w16cid:durableId="202717574">
    <w:abstractNumId w:val="6"/>
  </w:num>
  <w:num w:numId="24" w16cid:durableId="1709179758">
    <w:abstractNumId w:val="5"/>
  </w:num>
  <w:num w:numId="25" w16cid:durableId="155196794">
    <w:abstractNumId w:val="4"/>
  </w:num>
  <w:num w:numId="26" w16cid:durableId="1252541833">
    <w:abstractNumId w:val="8"/>
  </w:num>
  <w:num w:numId="27" w16cid:durableId="1511144191">
    <w:abstractNumId w:val="3"/>
  </w:num>
  <w:num w:numId="28" w16cid:durableId="1540120605">
    <w:abstractNumId w:val="2"/>
  </w:num>
  <w:num w:numId="29" w16cid:durableId="900100748">
    <w:abstractNumId w:val="1"/>
  </w:num>
  <w:num w:numId="30" w16cid:durableId="404575972">
    <w:abstractNumId w:val="0"/>
  </w:num>
  <w:num w:numId="31" w16cid:durableId="570627034">
    <w:abstractNumId w:val="9"/>
  </w:num>
  <w:num w:numId="32" w16cid:durableId="1607930531">
    <w:abstractNumId w:val="7"/>
  </w:num>
  <w:num w:numId="33" w16cid:durableId="1266813722">
    <w:abstractNumId w:val="6"/>
  </w:num>
  <w:num w:numId="34" w16cid:durableId="1744372009">
    <w:abstractNumId w:val="5"/>
  </w:num>
  <w:num w:numId="35" w16cid:durableId="1519082149">
    <w:abstractNumId w:val="4"/>
  </w:num>
  <w:num w:numId="36" w16cid:durableId="1341742282">
    <w:abstractNumId w:val="8"/>
  </w:num>
  <w:num w:numId="37" w16cid:durableId="1245843720">
    <w:abstractNumId w:val="3"/>
  </w:num>
  <w:num w:numId="38" w16cid:durableId="1804155400">
    <w:abstractNumId w:val="2"/>
  </w:num>
  <w:num w:numId="39" w16cid:durableId="654794348">
    <w:abstractNumId w:val="1"/>
  </w:num>
  <w:num w:numId="40" w16cid:durableId="510796462">
    <w:abstractNumId w:val="0"/>
  </w:num>
  <w:num w:numId="41" w16cid:durableId="2111732713">
    <w:abstractNumId w:val="10"/>
  </w:num>
  <w:num w:numId="42" w16cid:durableId="983583044">
    <w:abstractNumId w:val="10"/>
  </w:num>
  <w:num w:numId="43" w16cid:durableId="574823441">
    <w:abstractNumId w:val="10"/>
  </w:num>
  <w:num w:numId="44" w16cid:durableId="14396387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786"/>
    <w:rsid w:val="00002272"/>
    <w:rsid w:val="00064002"/>
    <w:rsid w:val="000677B9"/>
    <w:rsid w:val="000831BA"/>
    <w:rsid w:val="000A42CC"/>
    <w:rsid w:val="000A7F42"/>
    <w:rsid w:val="000D425C"/>
    <w:rsid w:val="000E7DD9"/>
    <w:rsid w:val="000F1B4D"/>
    <w:rsid w:val="0010095E"/>
    <w:rsid w:val="00125B37"/>
    <w:rsid w:val="00187494"/>
    <w:rsid w:val="001F32AE"/>
    <w:rsid w:val="0025346D"/>
    <w:rsid w:val="002767FF"/>
    <w:rsid w:val="002B18FE"/>
    <w:rsid w:val="002B5493"/>
    <w:rsid w:val="00307BEE"/>
    <w:rsid w:val="003100AA"/>
    <w:rsid w:val="00343214"/>
    <w:rsid w:val="00361C00"/>
    <w:rsid w:val="00394EBE"/>
    <w:rsid w:val="00395FA1"/>
    <w:rsid w:val="003E15D4"/>
    <w:rsid w:val="00405786"/>
    <w:rsid w:val="00411CCE"/>
    <w:rsid w:val="0041666E"/>
    <w:rsid w:val="00421060"/>
    <w:rsid w:val="00471C19"/>
    <w:rsid w:val="004845D5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15219"/>
    <w:rsid w:val="00731ADD"/>
    <w:rsid w:val="00734777"/>
    <w:rsid w:val="007448DD"/>
    <w:rsid w:val="00747932"/>
    <w:rsid w:val="00751A4A"/>
    <w:rsid w:val="00756632"/>
    <w:rsid w:val="00762C74"/>
    <w:rsid w:val="00786EC0"/>
    <w:rsid w:val="00787C9D"/>
    <w:rsid w:val="007A7688"/>
    <w:rsid w:val="007D1690"/>
    <w:rsid w:val="007E22AD"/>
    <w:rsid w:val="007E611F"/>
    <w:rsid w:val="00817416"/>
    <w:rsid w:val="0083059D"/>
    <w:rsid w:val="00842779"/>
    <w:rsid w:val="00865F67"/>
    <w:rsid w:val="00881A7B"/>
    <w:rsid w:val="008840E5"/>
    <w:rsid w:val="00887B3E"/>
    <w:rsid w:val="008C2AC6"/>
    <w:rsid w:val="00920654"/>
    <w:rsid w:val="00930C23"/>
    <w:rsid w:val="0093193B"/>
    <w:rsid w:val="009509D8"/>
    <w:rsid w:val="00950B64"/>
    <w:rsid w:val="00981893"/>
    <w:rsid w:val="00A11AE5"/>
    <w:rsid w:val="00A1687D"/>
    <w:rsid w:val="00A43E52"/>
    <w:rsid w:val="00A4678D"/>
    <w:rsid w:val="00A67E91"/>
    <w:rsid w:val="00A778C7"/>
    <w:rsid w:val="00A81C4C"/>
    <w:rsid w:val="00AB441E"/>
    <w:rsid w:val="00AB6293"/>
    <w:rsid w:val="00AE0928"/>
    <w:rsid w:val="00AF3B82"/>
    <w:rsid w:val="00B12E95"/>
    <w:rsid w:val="00B22876"/>
    <w:rsid w:val="00B31937"/>
    <w:rsid w:val="00B558F0"/>
    <w:rsid w:val="00BD48FE"/>
    <w:rsid w:val="00BD7BD8"/>
    <w:rsid w:val="00BE6ADC"/>
    <w:rsid w:val="00C05BFE"/>
    <w:rsid w:val="00C23CD4"/>
    <w:rsid w:val="00C329FC"/>
    <w:rsid w:val="00C33569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77C9"/>
    <w:rsid w:val="00F5134D"/>
    <w:rsid w:val="00F74202"/>
    <w:rsid w:val="00F87713"/>
    <w:rsid w:val="00FB4360"/>
    <w:rsid w:val="00FD0C70"/>
    <w:rsid w:val="00FF24D9"/>
  </w:rsids>
  <w:docVars>
    <w:docVar w:name="dvdocse" w:val="A10-0094/2026"/>
    <w:docVar w:name="dvlangue" w:val="ES"/>
    <w:docVar w:name="dvnumam" w:val="0"/>
    <w:docVar w:name="dvpe" w:val="786.759"/>
    <w:docVar w:name="dvrapporteur" w:val="Ponente: "/>
    <w:docVar w:name="dvstar" w:val="***I"/>
    <w:docVar w:name="dvtitre" w:val="Resolución legislativa del Parlamento Europeo, de x de abril de 2026, sobre la propuesta de Reglamento del Parlamento Europeo y del Consejo por el que se modifica el Reglamento (UE) n.º 528/2012 en lo que respecta a la ampliación de los plazos de protección de determinados datos(COM(2025)1020 – C10-0362/2025 – 2025/0408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15BF680"/>
  <w15:chartTrackingRefBased/>
  <w15:docId w15:val="{88ACCFC4-8080-4391-B79D-3D097FAD4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A7F42"/>
    <w:pPr>
      <w:spacing w:before="480" w:after="240"/>
    </w:pPr>
  </w:style>
  <w:style w:type="paragraph" w:customStyle="1" w:styleId="NormalBold">
    <w:name w:val="NormalBold"/>
    <w:basedOn w:val="Normal"/>
    <w:rsid w:val="000A7F42"/>
    <w:rPr>
      <w:b/>
    </w:rPr>
  </w:style>
  <w:style w:type="paragraph" w:customStyle="1" w:styleId="NormalHanging12a">
    <w:name w:val="NormalHanging12a"/>
    <w:basedOn w:val="Normal"/>
    <w:rsid w:val="000A7F42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A81C4C"/>
    <w:rPr>
      <w:sz w:val="24"/>
      <w:lang w:val="es-ES_tradnl"/>
    </w:rPr>
  </w:style>
  <w:style w:type="paragraph" w:customStyle="1" w:styleId="Normal12Hanging">
    <w:name w:val="Normal12Hanging"/>
    <w:basedOn w:val="Normal"/>
    <w:rsid w:val="00A81C4C"/>
    <w:pPr>
      <w:spacing w:after="240"/>
      <w:ind w:left="357" w:hanging="357"/>
    </w:pPr>
    <w:rPr>
      <w:snapToGrid w:val="0"/>
    </w:rPr>
  </w:style>
  <w:style w:type="character" w:styleId="Hyperlink">
    <w:name w:val="Hyperlink"/>
    <w:uiPriority w:val="99"/>
    <w:rsid w:val="00A81C4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1A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6/1968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318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2026-08-28T10:11:00Z</dcterms:created>
  <dcterms:modified xsi:type="dcterms:W3CDTF">2026-08-28T10:11:00Z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P10_TA(2026)0117_</vt:lpwstr>
  </property>
  <property fmtid="{D5CDD505-2E9C-101B-9397-08002B2CF9AE}" pid="4" name="&lt;Type&gt;">
    <vt:lpwstr>RR</vt:lpwstr>
  </property>
</Properties>
</file>