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08B533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1C19" w:rsidP="0010095E" w14:paraId="38DBF17A" w14:textId="77777777">
            <w:pPr>
              <w:pStyle w:val="EPName"/>
            </w:pPr>
            <w:r w:rsidRPr="00801C19">
              <w:t>Euroopan parlamentti</w:t>
            </w:r>
          </w:p>
          <w:p w:rsidR="00751A4A" w:rsidRPr="00801C19" w:rsidP="005F1B17" w14:paraId="68CBBA0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1C19">
              <w:t>2024</w:t>
            </w:r>
            <w:r w:rsidRPr="00801C19" w:rsidR="00817416">
              <w:t>-202</w:t>
            </w:r>
            <w:r w:rsidRPr="00801C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1C19" w:rsidP="0010095E" w14:paraId="6AAC56D0" w14:textId="77777777">
            <w:pPr>
              <w:pStyle w:val="EPLogo"/>
            </w:pPr>
            <w:r w:rsidRPr="00801C1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1C19" w:rsidP="004C5D52" w14:paraId="2C041CCE" w14:textId="77777777">
      <w:pPr>
        <w:pStyle w:val="LineTop"/>
      </w:pPr>
    </w:p>
    <w:p w:rsidR="00680577" w:rsidRPr="00801C19" w:rsidP="00680577" w14:paraId="34D1CAC0" w14:textId="77777777">
      <w:pPr>
        <w:pStyle w:val="EPBodyTA1"/>
      </w:pPr>
      <w:r w:rsidRPr="00801C19">
        <w:t>HYVÄKSYTYT TEKSTIT</w:t>
      </w:r>
    </w:p>
    <w:p w:rsidR="00D058B8" w:rsidRPr="00801C19" w:rsidP="00D058B8" w14:paraId="6F5BFF44" w14:textId="77777777">
      <w:pPr>
        <w:pStyle w:val="LineBottom"/>
      </w:pPr>
    </w:p>
    <w:p w:rsidR="003F37F1" w:rsidRPr="00801C19" w:rsidP="003F37F1" w14:paraId="375CB38A" w14:textId="739C6DB6">
      <w:pPr>
        <w:pStyle w:val="ATHeading1"/>
      </w:pPr>
      <w:bookmarkStart w:id="0" w:name="TANumber"/>
      <w:r w:rsidRPr="00801C19">
        <w:t>P10_TA(2026)0</w:t>
      </w:r>
      <w:bookmarkEnd w:id="0"/>
      <w:r w:rsidRPr="00801C19" w:rsidR="00373823">
        <w:t>117</w:t>
      </w:r>
    </w:p>
    <w:p w:rsidR="003F37F1" w:rsidRPr="00801C19" w:rsidP="003F37F1" w14:paraId="7A6074E5" w14:textId="65F26491">
      <w:pPr>
        <w:pStyle w:val="ATHeading2"/>
      </w:pPr>
      <w:bookmarkStart w:id="1" w:name="title"/>
      <w:r w:rsidRPr="00801C19">
        <w:rPr>
          <w:bCs/>
        </w:rPr>
        <w:t>Biosidivalmisteasetuksen muuttaminen tiettyjen tietojen suoja-ajan jatkamiseksi</w:t>
      </w:r>
      <w:bookmarkEnd w:id="1"/>
    </w:p>
    <w:p w:rsidR="003F37F1" w:rsidRPr="00801C19" w:rsidP="003F37F1" w14:paraId="61716522" w14:textId="77777777">
      <w:pPr>
        <w:rPr>
          <w:i/>
          <w:vanish/>
        </w:rPr>
      </w:pPr>
      <w:r>
        <w:rPr>
          <w:i/>
        </w:rPr>
        <w:fldChar w:fldCharType="begin"/>
      </w:r>
      <w:r w:rsidRPr="00801C19">
        <w:rPr>
          <w:i/>
        </w:rPr>
        <w:instrText xml:space="preserve"> TC"(</w:instrText>
      </w:r>
      <w:bookmarkStart w:id="2" w:name="DocNumber"/>
      <w:r w:rsidRPr="00801C19">
        <w:rPr>
          <w:i/>
        </w:rPr>
        <w:instrText>A10-0094/2026</w:instrText>
      </w:r>
      <w:bookmarkEnd w:id="2"/>
      <w:r w:rsidRPr="00801C19">
        <w:rPr>
          <w:i/>
        </w:rPr>
        <w:instrText xml:space="preserve"> - Esittelijä: Pierfrancesco Maran)"\l3 \n&gt; \* MERGEFORMAT </w:instrText>
      </w:r>
      <w:r>
        <w:rPr>
          <w:i/>
        </w:rPr>
        <w:fldChar w:fldCharType="end"/>
      </w:r>
    </w:p>
    <w:p w:rsidR="003F37F1" w:rsidRPr="00801C19" w:rsidP="003F37F1" w14:paraId="5641B193" w14:textId="77777777">
      <w:pPr>
        <w:rPr>
          <w:vanish/>
        </w:rPr>
      </w:pPr>
      <w:bookmarkStart w:id="3" w:name="Commission"/>
      <w:r w:rsidRPr="00801C19">
        <w:rPr>
          <w:vanish/>
        </w:rPr>
        <w:t>Ympäristön, ilmaston ja elintarvikkeiden turvallisuuden valiokunta</w:t>
      </w:r>
      <w:bookmarkEnd w:id="3"/>
    </w:p>
    <w:p w:rsidR="003F37F1" w:rsidRPr="00801C19" w:rsidP="003F37F1" w14:paraId="314647A5" w14:textId="77777777">
      <w:pPr>
        <w:rPr>
          <w:vanish/>
        </w:rPr>
      </w:pPr>
      <w:bookmarkStart w:id="4" w:name="PE"/>
      <w:r w:rsidRPr="00801C19">
        <w:rPr>
          <w:vanish/>
        </w:rPr>
        <w:t>PE786.759</w:t>
      </w:r>
      <w:bookmarkEnd w:id="4"/>
    </w:p>
    <w:p w:rsidR="003F37F1" w:rsidRPr="00801C19" w:rsidP="003F37F1" w14:paraId="7037465A" w14:textId="680C9D8A">
      <w:pPr>
        <w:pStyle w:val="ATHeading3"/>
      </w:pPr>
      <w:bookmarkStart w:id="5" w:name="Sujet"/>
      <w:r w:rsidRPr="00801C19">
        <w:t xml:space="preserve">Euroopan parlamentin lainsäädäntöpäätöslauselma </w:t>
      </w:r>
      <w:r w:rsidRPr="00801C19" w:rsidR="005221D9">
        <w:t>28</w:t>
      </w:r>
      <w:r w:rsidRPr="00801C19">
        <w:t>. huhtikuuta 2026 ehdotuksesta Euroopan parlamentin ja neuvoston asetukseksi asetuksen (EU) N:o 528/2012 muuttamisesta tiettyjen tietojen suoja-ajan jatkamiseksi</w:t>
      </w:r>
      <w:bookmarkEnd w:id="5"/>
      <w:r w:rsidRPr="00801C19">
        <w:t xml:space="preserve"> </w:t>
      </w:r>
      <w:bookmarkStart w:id="6" w:name="References"/>
      <w:r w:rsidRPr="00801C19">
        <w:t>(COM(2025)1020 – C10-0362/2025 – 2025/0408(COD))</w:t>
      </w:r>
      <w:bookmarkEnd w:id="6"/>
    </w:p>
    <w:p w:rsidR="00082DDD" w:rsidRPr="00801C19" w:rsidP="00082DDD" w14:paraId="2D7FB2D9" w14:textId="77777777">
      <w:pPr>
        <w:pStyle w:val="NormalBold"/>
      </w:pPr>
      <w:bookmarkStart w:id="7" w:name="TextBodyBegin"/>
      <w:bookmarkEnd w:id="7"/>
      <w:r w:rsidRPr="00801C19">
        <w:t>(Tavallinen lainsäätämisjärjestys: ensimmäinen käsittely)</w:t>
      </w:r>
    </w:p>
    <w:p w:rsidR="00082DDD" w:rsidRPr="00801C19" w:rsidP="002517FF" w14:paraId="16FCF471" w14:textId="77777777">
      <w:pPr>
        <w:pStyle w:val="EPComma"/>
        <w:widowControl/>
      </w:pPr>
      <w:r w:rsidRPr="00801C19">
        <w:rPr>
          <w:i/>
        </w:rPr>
        <w:t>Euroopan parlamentti</w:t>
      </w:r>
      <w:r w:rsidRPr="00801C19">
        <w:t>, joka</w:t>
      </w:r>
    </w:p>
    <w:p w:rsidR="00082DDD" w:rsidRPr="00801C19" w:rsidP="002517FF" w14:paraId="013A6314" w14:textId="77777777">
      <w:pPr>
        <w:pStyle w:val="NormalHanging12a"/>
        <w:widowControl/>
      </w:pPr>
      <w:r w:rsidRPr="00801C19">
        <w:t>–</w:t>
      </w:r>
      <w:r w:rsidRPr="00801C19">
        <w:tab/>
        <w:t>ottaa huomioon komission ehdotuksen Euroopan parlamentille ja neuvostolle (COM(2025)1020),</w:t>
      </w:r>
    </w:p>
    <w:p w:rsidR="00082DDD" w:rsidRPr="00801C19" w:rsidP="002517FF" w14:paraId="37F7A971" w14:textId="77777777">
      <w:pPr>
        <w:pStyle w:val="NormalHanging12a"/>
        <w:widowControl/>
      </w:pPr>
      <w:r w:rsidRPr="00801C19">
        <w:t>–</w:t>
      </w:r>
      <w:r w:rsidRPr="00801C19">
        <w:tab/>
        <w:t>ottaa huomioon Euroopan unionin toiminnasta tehdyn sopimuksen 294 artiklan 2 kohdan ja 114 artiklan, joiden mukaisesti komissio on antanut ehdotuksen Euroopan parlamentille (C10</w:t>
      </w:r>
      <w:r w:rsidRPr="00801C19">
        <w:noBreakHyphen/>
        <w:t>0362/2025),</w:t>
      </w:r>
    </w:p>
    <w:p w:rsidR="00082DDD" w:rsidRPr="00801C19" w:rsidP="002517FF" w14:paraId="332C3037" w14:textId="3F83DFFD">
      <w:pPr>
        <w:pStyle w:val="NormalHanging12a"/>
        <w:widowControl/>
      </w:pPr>
      <w:r w:rsidRPr="00801C19">
        <w:t>–</w:t>
      </w:r>
      <w:r w:rsidRPr="00801C19">
        <w:tab/>
        <w:t>ottaa huomioon Euroopan unionin toiminnasta tehdyn sopimuksen 294 artiklan 3 kohdan,</w:t>
      </w:r>
    </w:p>
    <w:p w:rsidR="00082DDD" w:rsidRPr="00801C19" w:rsidP="002517FF" w14:paraId="41427CF5" w14:textId="77777777">
      <w:pPr>
        <w:pStyle w:val="NormalHanging12a"/>
        <w:widowControl/>
      </w:pPr>
      <w:r w:rsidRPr="00801C19">
        <w:t>–</w:t>
      </w:r>
      <w:r w:rsidRPr="00801C19">
        <w:tab/>
        <w:t>ottaa huomioon Euroopan talous- ja sosiaalikomitean 21. tammikuuta 2026 antaman lausunnon</w:t>
      </w:r>
      <w:r>
        <w:rPr>
          <w:rStyle w:val="FootnoteReference"/>
        </w:rPr>
        <w:footnoteReference w:id="2"/>
      </w:r>
      <w:r w:rsidRPr="00801C19">
        <w:t>,</w:t>
      </w:r>
    </w:p>
    <w:p w:rsidR="00082DDD" w:rsidRPr="00801C19" w:rsidP="002517FF" w14:paraId="2EC087B7" w14:textId="77777777">
      <w:pPr>
        <w:pStyle w:val="NormalHanging12a"/>
        <w:widowControl/>
      </w:pPr>
      <w:r w:rsidRPr="00801C19">
        <w:t>–</w:t>
      </w:r>
      <w:r w:rsidRPr="00801C19">
        <w:tab/>
        <w:t>ottaa huomioon työjärjestyksen 60 artiklan,</w:t>
      </w:r>
    </w:p>
    <w:p w:rsidR="00082DDD" w:rsidRPr="00801C19" w:rsidP="002517FF" w14:paraId="2B23409D" w14:textId="77777777">
      <w:pPr>
        <w:pStyle w:val="NormalHanging12a"/>
        <w:widowControl/>
      </w:pPr>
      <w:r w:rsidRPr="00801C19">
        <w:t>–</w:t>
      </w:r>
      <w:r w:rsidRPr="00801C19">
        <w:tab/>
        <w:t>ottaa huomioon ympäristön, ilmaston ja elintarvikkeiden turvallisuuden valiokunnan mietinnön (A10-0094/2026),</w:t>
      </w:r>
    </w:p>
    <w:p w:rsidR="00082DDD" w:rsidRPr="00801C19" w:rsidP="002517FF" w14:paraId="0272854E" w14:textId="23B1D9E1">
      <w:pPr>
        <w:pStyle w:val="NormalHanging12a"/>
        <w:widowControl/>
      </w:pPr>
      <w:r w:rsidRPr="00801C19">
        <w:t>1.</w:t>
      </w:r>
      <w:r w:rsidRPr="00801C19">
        <w:tab/>
        <w:t xml:space="preserve">vahvistaa </w:t>
      </w:r>
      <w:r w:rsidRPr="00801C19" w:rsidR="005221D9">
        <w:rPr>
          <w:rFonts w:cs="Mangal"/>
          <w:szCs w:val="24"/>
          <w:lang w:bidi="ne-NP"/>
        </w:rPr>
        <w:t>jäljempänä esitetyn ensimmäisen käsittelyn kannan</w:t>
      </w:r>
      <w:r w:rsidRPr="00801C19">
        <w:t>;</w:t>
      </w:r>
    </w:p>
    <w:p w:rsidR="00082DDD" w:rsidRPr="00801C19" w:rsidP="002517FF" w14:paraId="7E70B2A3" w14:textId="77777777">
      <w:pPr>
        <w:pStyle w:val="NormalHanging12a"/>
        <w:widowControl/>
      </w:pPr>
      <w:r w:rsidRPr="00801C19">
        <w:t>2.</w:t>
      </w:r>
      <w:r w:rsidRPr="00801C19">
        <w:tab/>
        <w:t>pyytää komissiota antamaan asian uudelleen Euroopan parlamentin käsiteltäväksi, jos se korvaa ehdotuksensa, muuttaa sitä huomattavasti tai aikoo muuttaa sitä huomattavasti;</w:t>
      </w:r>
    </w:p>
    <w:p w:rsidR="005221D9" w:rsidRPr="00801C19" w:rsidP="002517FF" w14:paraId="1AC3F477" w14:textId="77777777">
      <w:pPr>
        <w:pStyle w:val="NormalHanging12a"/>
        <w:widowControl/>
        <w:sectPr w:rsidSect="001E41F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01C19">
        <w:t>3.</w:t>
      </w:r>
      <w:r w:rsidRPr="00801C19">
        <w:tab/>
        <w:t>kehottaa puhemiestä välittämään parlamentin kannan neuvostolle ja komissiolle sekä kansallisille parlamenteille.</w:t>
      </w:r>
    </w:p>
    <w:p w:rsidR="005221D9" w:rsidRPr="00801C19" w:rsidP="005221D9" w14:paraId="3041FB6D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01C19">
        <w:rPr>
          <w:rFonts w:eastAsia="Calibri"/>
          <w:b/>
          <w:bCs/>
          <w:color w:val="000000"/>
          <w:szCs w:val="24"/>
        </w:rPr>
        <w:t>P10_TC1-COD(2025)0408</w:t>
      </w:r>
    </w:p>
    <w:p w:rsidR="005221D9" w:rsidP="005221D9" w14:paraId="0C341292" w14:textId="1EAB24EA">
      <w:pPr>
        <w:spacing w:after="240"/>
        <w:rPr>
          <w:rFonts w:eastAsia="Calibri"/>
          <w:b/>
          <w:noProof/>
          <w:szCs w:val="22"/>
          <w:lang w:eastAsia="en-US"/>
        </w:rPr>
      </w:pPr>
      <w:r w:rsidRPr="00801C19">
        <w:rPr>
          <w:b/>
          <w:szCs w:val="24"/>
        </w:rPr>
        <w:t xml:space="preserve">Euroopan parlamentin kanta, vahvistettu ensimmäisessä käsittelyssä 28. huhtikuuta 2026, Euroopan parlamentin ja neuvoston asetuksen (EU) 2026/… antamiseksi </w:t>
      </w:r>
      <w:r w:rsidRPr="00801C19">
        <w:rPr>
          <w:rFonts w:eastAsia="Calibri"/>
          <w:b/>
          <w:noProof/>
          <w:szCs w:val="22"/>
          <w:lang w:eastAsia="en-US"/>
        </w:rPr>
        <w:t>asetuksen (EU) N:o 528/2012 muuttamisesta tiettyjen tietojen suoja-aikojen jatkamiseksi</w:t>
      </w:r>
    </w:p>
    <w:p w:rsidR="00787A05" w:rsidP="00787A05" w14:paraId="22F1704B" w14:textId="11BB0333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2026</w:t>
      </w:r>
      <w:r w:rsidRPr="002F34F6">
        <w:rPr>
          <w:i/>
          <w:szCs w:val="24"/>
        </w:rPr>
        <w:t>/</w:t>
      </w:r>
      <w:r>
        <w:rPr>
          <w:i/>
          <w:szCs w:val="24"/>
        </w:rPr>
        <w:t>1165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Sect="001E41F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F37F1" w:rsidRPr="001E41FD" w14:paraId="1C64D15D" w14:textId="77777777">
      <w:r w:rsidRPr="001E41FD">
        <w:separator/>
      </w:r>
    </w:p>
  </w:footnote>
  <w:footnote w:type="continuationSeparator" w:id="1">
    <w:p w:rsidR="003F37F1" w:rsidRPr="001E41FD" w14:paraId="141721BA" w14:textId="77777777">
      <w:r w:rsidRPr="001E41FD">
        <w:continuationSeparator/>
      </w:r>
    </w:p>
  </w:footnote>
  <w:footnote w:id="2">
    <w:p w:rsidR="00082DDD" w:rsidRPr="00373823" w:rsidP="00373823" w14:paraId="1DEC51B0" w14:textId="60A1E623">
      <w:pPr>
        <w:pStyle w:val="FootnoteText"/>
        <w:keepLines w:val="0"/>
        <w:ind w:left="567" w:hanging="567"/>
        <w:rPr>
          <w:sz w:val="24"/>
          <w:szCs w:val="24"/>
          <w:lang w:val="fr-BE"/>
        </w:rPr>
      </w:pPr>
      <w:r w:rsidRPr="00373823">
        <w:rPr>
          <w:rStyle w:val="FootnoteReference"/>
          <w:sz w:val="24"/>
          <w:szCs w:val="24"/>
          <w:lang w:val="fi-FI"/>
        </w:rPr>
        <w:footnoteRef/>
      </w:r>
      <w:r w:rsidRPr="00373823" w:rsidR="001E41FD">
        <w:rPr>
          <w:sz w:val="24"/>
          <w:lang w:val="fr-BE"/>
        </w:rPr>
        <w:t xml:space="preserve"> </w:t>
      </w:r>
      <w:r w:rsidRPr="00373823" w:rsidR="001E41FD">
        <w:rPr>
          <w:sz w:val="24"/>
          <w:lang w:val="fr-BE"/>
        </w:rPr>
        <w:tab/>
      </w:r>
      <w:r w:rsidRPr="00373823" w:rsidR="006375E6">
        <w:rPr>
          <w:sz w:val="24"/>
          <w:szCs w:val="24"/>
          <w:lang w:val="fr-BE"/>
        </w:rPr>
        <w:t>EUVL C, C/2026/1969, 28.4.2026, ELI: </w:t>
      </w:r>
      <w:hyperlink r:id="rId1" w:history="1">
        <w:r w:rsidRPr="00373823" w:rsidR="006375E6">
          <w:rPr>
            <w:rStyle w:val="Hyperlink"/>
            <w:lang w:val="fr-BE"/>
          </w:rPr>
          <w:t>http://data.europa.eu/eli/C/2026/1969/oj</w:t>
        </w:r>
      </w:hyperlink>
      <w:r w:rsidRPr="00373823">
        <w:rPr>
          <w:sz w:val="24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1366183">
    <w:abstractNumId w:val="9"/>
  </w:num>
  <w:num w:numId="2" w16cid:durableId="1358654553">
    <w:abstractNumId w:val="9"/>
  </w:num>
  <w:num w:numId="3" w16cid:durableId="1076854750">
    <w:abstractNumId w:val="7"/>
  </w:num>
  <w:num w:numId="4" w16cid:durableId="821435251">
    <w:abstractNumId w:val="7"/>
  </w:num>
  <w:num w:numId="5" w16cid:durableId="994534526">
    <w:abstractNumId w:val="6"/>
  </w:num>
  <w:num w:numId="6" w16cid:durableId="142746267">
    <w:abstractNumId w:val="6"/>
  </w:num>
  <w:num w:numId="7" w16cid:durableId="186992578">
    <w:abstractNumId w:val="5"/>
  </w:num>
  <w:num w:numId="8" w16cid:durableId="1184132863">
    <w:abstractNumId w:val="5"/>
  </w:num>
  <w:num w:numId="9" w16cid:durableId="2140222166">
    <w:abstractNumId w:val="4"/>
  </w:num>
  <w:num w:numId="10" w16cid:durableId="1181748504">
    <w:abstractNumId w:val="4"/>
  </w:num>
  <w:num w:numId="11" w16cid:durableId="842554636">
    <w:abstractNumId w:val="8"/>
  </w:num>
  <w:num w:numId="12" w16cid:durableId="1613513519">
    <w:abstractNumId w:val="8"/>
  </w:num>
  <w:num w:numId="13" w16cid:durableId="1747730305">
    <w:abstractNumId w:val="3"/>
  </w:num>
  <w:num w:numId="14" w16cid:durableId="1919434628">
    <w:abstractNumId w:val="3"/>
  </w:num>
  <w:num w:numId="15" w16cid:durableId="1609193631">
    <w:abstractNumId w:val="2"/>
  </w:num>
  <w:num w:numId="16" w16cid:durableId="1936983532">
    <w:abstractNumId w:val="2"/>
  </w:num>
  <w:num w:numId="17" w16cid:durableId="1969045833">
    <w:abstractNumId w:val="1"/>
  </w:num>
  <w:num w:numId="18" w16cid:durableId="2043171334">
    <w:abstractNumId w:val="1"/>
  </w:num>
  <w:num w:numId="19" w16cid:durableId="768042980">
    <w:abstractNumId w:val="0"/>
  </w:num>
  <w:num w:numId="20" w16cid:durableId="1639650955">
    <w:abstractNumId w:val="0"/>
  </w:num>
  <w:num w:numId="21" w16cid:durableId="1620332773">
    <w:abstractNumId w:val="9"/>
  </w:num>
  <w:num w:numId="22" w16cid:durableId="1740904503">
    <w:abstractNumId w:val="7"/>
  </w:num>
  <w:num w:numId="23" w16cid:durableId="841046848">
    <w:abstractNumId w:val="6"/>
  </w:num>
  <w:num w:numId="24" w16cid:durableId="690034158">
    <w:abstractNumId w:val="5"/>
  </w:num>
  <w:num w:numId="25" w16cid:durableId="264461187">
    <w:abstractNumId w:val="4"/>
  </w:num>
  <w:num w:numId="26" w16cid:durableId="261381695">
    <w:abstractNumId w:val="8"/>
  </w:num>
  <w:num w:numId="27" w16cid:durableId="1990819187">
    <w:abstractNumId w:val="3"/>
  </w:num>
  <w:num w:numId="28" w16cid:durableId="1613584707">
    <w:abstractNumId w:val="2"/>
  </w:num>
  <w:num w:numId="29" w16cid:durableId="168257984">
    <w:abstractNumId w:val="1"/>
  </w:num>
  <w:num w:numId="30" w16cid:durableId="1420249087">
    <w:abstractNumId w:val="0"/>
  </w:num>
  <w:num w:numId="31" w16cid:durableId="773211961">
    <w:abstractNumId w:val="9"/>
  </w:num>
  <w:num w:numId="32" w16cid:durableId="1972320495">
    <w:abstractNumId w:val="7"/>
  </w:num>
  <w:num w:numId="33" w16cid:durableId="1089620624">
    <w:abstractNumId w:val="6"/>
  </w:num>
  <w:num w:numId="34" w16cid:durableId="1705206016">
    <w:abstractNumId w:val="5"/>
  </w:num>
  <w:num w:numId="35" w16cid:durableId="1093237885">
    <w:abstractNumId w:val="4"/>
  </w:num>
  <w:num w:numId="36" w16cid:durableId="1210655491">
    <w:abstractNumId w:val="8"/>
  </w:num>
  <w:num w:numId="37" w16cid:durableId="2014794537">
    <w:abstractNumId w:val="3"/>
  </w:num>
  <w:num w:numId="38" w16cid:durableId="1582107953">
    <w:abstractNumId w:val="2"/>
  </w:num>
  <w:num w:numId="39" w16cid:durableId="1103768485">
    <w:abstractNumId w:val="1"/>
  </w:num>
  <w:num w:numId="40" w16cid:durableId="872352757">
    <w:abstractNumId w:val="0"/>
  </w:num>
  <w:num w:numId="41" w16cid:durableId="1885409174">
    <w:abstractNumId w:val="10"/>
  </w:num>
  <w:num w:numId="42" w16cid:durableId="1761758781">
    <w:abstractNumId w:val="10"/>
  </w:num>
  <w:num w:numId="43" w16cid:durableId="215120716">
    <w:abstractNumId w:val="10"/>
  </w:num>
  <w:num w:numId="44" w16cid:durableId="727057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7F1"/>
    <w:rsid w:val="00002272"/>
    <w:rsid w:val="00026376"/>
    <w:rsid w:val="00064002"/>
    <w:rsid w:val="000677B9"/>
    <w:rsid w:val="00082DDD"/>
    <w:rsid w:val="000831BA"/>
    <w:rsid w:val="000A42CC"/>
    <w:rsid w:val="000E7DD9"/>
    <w:rsid w:val="0010095E"/>
    <w:rsid w:val="001102CE"/>
    <w:rsid w:val="00125B37"/>
    <w:rsid w:val="00187494"/>
    <w:rsid w:val="001E41FD"/>
    <w:rsid w:val="001F32AE"/>
    <w:rsid w:val="002517FF"/>
    <w:rsid w:val="002767FF"/>
    <w:rsid w:val="002B18FE"/>
    <w:rsid w:val="002B5493"/>
    <w:rsid w:val="002E4984"/>
    <w:rsid w:val="002F34F6"/>
    <w:rsid w:val="00343214"/>
    <w:rsid w:val="00361C00"/>
    <w:rsid w:val="00373823"/>
    <w:rsid w:val="00395FA1"/>
    <w:rsid w:val="003E15D4"/>
    <w:rsid w:val="003F37F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1D9"/>
    <w:rsid w:val="00545827"/>
    <w:rsid w:val="00560270"/>
    <w:rsid w:val="005C2568"/>
    <w:rsid w:val="005F1B17"/>
    <w:rsid w:val="006037C0"/>
    <w:rsid w:val="006375E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6F05"/>
    <w:rsid w:val="00787A05"/>
    <w:rsid w:val="007D1690"/>
    <w:rsid w:val="007E22AD"/>
    <w:rsid w:val="00801C19"/>
    <w:rsid w:val="008046B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DF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DCC"/>
    <w:rsid w:val="00BD48FE"/>
    <w:rsid w:val="00BD7BD8"/>
    <w:rsid w:val="00BE6ADC"/>
    <w:rsid w:val="00C05BFE"/>
    <w:rsid w:val="00C23CD4"/>
    <w:rsid w:val="00C5308C"/>
    <w:rsid w:val="00C61C0C"/>
    <w:rsid w:val="00C941CB"/>
    <w:rsid w:val="00CC2357"/>
    <w:rsid w:val="00CF071A"/>
    <w:rsid w:val="00D058B8"/>
    <w:rsid w:val="00D40F65"/>
    <w:rsid w:val="00D56C11"/>
    <w:rsid w:val="00D834A0"/>
    <w:rsid w:val="00D872DF"/>
    <w:rsid w:val="00D91E21"/>
    <w:rsid w:val="00DA7FCD"/>
    <w:rsid w:val="00E365E1"/>
    <w:rsid w:val="00E4259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F27"/>
  </w:rsids>
  <w:docVars>
    <w:docVar w:name="dvdocse" w:val="A10-0094/2026"/>
    <w:docVar w:name="dvlangue" w:val="FI"/>
    <w:docVar w:name="dvnumam" w:val="0"/>
    <w:docVar w:name="dvpe" w:val="786.759"/>
    <w:docVar w:name="dvrapporteur" w:val="Esittelijä: "/>
    <w:docVar w:name="dvstar" w:val="***I"/>
    <w:docVar w:name="dvtitre" w:val="Euroopan parlamentin lainsäädäntöpäätöslauselma xx. huhtikuuta 2026 ehdotuksesta Euroopan parlamentin ja neuvoston asetukseksi asetuksen (EU) N:o 528/2012 muuttamisesta tiettyjen tietojen suoja-ajan jatkamiseksi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82CC831"/>
  <w15:chartTrackingRefBased/>
  <w15:docId w15:val="{FB470FB8-A156-4977-BD9E-EE02190B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82DD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82DDD"/>
    <w:pPr>
      <w:spacing w:before="480" w:after="240"/>
    </w:pPr>
  </w:style>
  <w:style w:type="paragraph" w:customStyle="1" w:styleId="PageHeading">
    <w:name w:val="PageHeading"/>
    <w:basedOn w:val="Normal"/>
    <w:rsid w:val="00082DD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82DDD"/>
    <w:rPr>
      <w:b/>
    </w:rPr>
  </w:style>
  <w:style w:type="paragraph" w:customStyle="1" w:styleId="NormalHanging12a">
    <w:name w:val="NormalHanging12a"/>
    <w:basedOn w:val="Normal"/>
    <w:rsid w:val="00082DD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82D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82DDD"/>
    <w:rPr>
      <w:sz w:val="24"/>
      <w:lang w:val="fi-FI"/>
    </w:rPr>
  </w:style>
  <w:style w:type="paragraph" w:customStyle="1" w:styleId="EPFooter">
    <w:name w:val="EPFooter"/>
    <w:basedOn w:val="Normal"/>
    <w:rsid w:val="00082DD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082DDD"/>
    <w:pPr>
      <w:spacing w:after="480"/>
    </w:pPr>
  </w:style>
  <w:style w:type="character" w:styleId="Hyperlink">
    <w:name w:val="Hyperlink"/>
    <w:basedOn w:val="DefaultParagraphFont"/>
    <w:rsid w:val="00082DDD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082DDD"/>
    <w:pPr>
      <w:spacing w:after="240"/>
    </w:pPr>
  </w:style>
  <w:style w:type="paragraph" w:customStyle="1" w:styleId="RollCallVotes">
    <w:name w:val="RollCallVotes"/>
    <w:basedOn w:val="Normal"/>
    <w:rsid w:val="00082DD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82DD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82DD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82DDD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2517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517FF"/>
    <w:rPr>
      <w:sz w:val="24"/>
      <w:lang w:val="fi-FI"/>
    </w:rPr>
  </w:style>
  <w:style w:type="paragraph" w:styleId="Revision">
    <w:name w:val="Revision"/>
    <w:hidden/>
    <w:uiPriority w:val="99"/>
    <w:semiHidden/>
    <w:rsid w:val="005221D9"/>
    <w:rPr>
      <w:sz w:val="24"/>
      <w:lang w:val="fi-FI"/>
    </w:rPr>
  </w:style>
  <w:style w:type="character" w:styleId="CommentReference">
    <w:name w:val="annotation reference"/>
    <w:basedOn w:val="DefaultParagraphFont"/>
    <w:rsid w:val="00FF3F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3F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F3F27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FF3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3F27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2026-09-03T08:10:00Z</dcterms:created>
  <dcterms:modified xsi:type="dcterms:W3CDTF">2026-09-03T08:10:00Z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