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689FA1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04EAF" w:rsidP="0010095E" w14:paraId="41CAB270" w14:textId="77777777">
            <w:pPr>
              <w:pStyle w:val="EPName"/>
            </w:pPr>
            <w:r w:rsidRPr="00704EAF">
              <w:t>Parlement européen</w:t>
            </w:r>
          </w:p>
          <w:p w:rsidR="00751A4A" w:rsidRPr="00704EAF" w:rsidP="005F1B17" w14:paraId="182C549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4EAF">
              <w:t>2024</w:t>
            </w:r>
            <w:r w:rsidRPr="00704EAF" w:rsidR="00817416">
              <w:t>-202</w:t>
            </w:r>
            <w:r w:rsidRPr="00704EA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04EAF" w:rsidP="0010095E" w14:paraId="77B71ABF" w14:textId="77777777">
            <w:pPr>
              <w:pStyle w:val="EPLogo"/>
            </w:pPr>
            <w:r w:rsidRPr="00704EA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04EAF" w:rsidP="004C5D52" w14:paraId="364B0836" w14:textId="77777777">
      <w:pPr>
        <w:pStyle w:val="LineTop"/>
      </w:pPr>
    </w:p>
    <w:p w:rsidR="00680577" w:rsidRPr="00704EAF" w:rsidP="00680577" w14:paraId="7786D5A2" w14:textId="77777777">
      <w:pPr>
        <w:pStyle w:val="EPBodyTA1"/>
      </w:pPr>
      <w:r w:rsidRPr="00704EAF">
        <w:t>TEXTES ADOPTÉS</w:t>
      </w:r>
    </w:p>
    <w:p w:rsidR="00D058B8" w:rsidRPr="00704EAF" w:rsidP="00D058B8" w14:paraId="0ABE95C6" w14:textId="77777777">
      <w:pPr>
        <w:pStyle w:val="LineBottom"/>
      </w:pPr>
    </w:p>
    <w:p w:rsidR="00782F11" w:rsidRPr="00704EAF" w:rsidP="00782F11" w14:paraId="4C849263" w14:textId="3E8E19B4">
      <w:pPr>
        <w:pStyle w:val="ATHeading1"/>
      </w:pPr>
      <w:bookmarkStart w:id="0" w:name="TANumber"/>
      <w:r w:rsidRPr="00704EAF">
        <w:t>P10_</w:t>
      </w:r>
      <w:r w:rsidRPr="00704EAF">
        <w:t>TA(</w:t>
      </w:r>
      <w:r w:rsidRPr="00704EAF">
        <w:t>2026)0</w:t>
      </w:r>
      <w:r w:rsidRPr="00704EAF" w:rsidR="00983871">
        <w:t>117</w:t>
      </w:r>
      <w:bookmarkEnd w:id="0"/>
    </w:p>
    <w:p w:rsidR="00782F11" w:rsidRPr="00704EAF" w:rsidP="00782F11" w14:paraId="14F0C86B" w14:textId="596341D8">
      <w:pPr>
        <w:pStyle w:val="ATHeading2"/>
      </w:pPr>
      <w:bookmarkStart w:id="1" w:name="title"/>
      <w:r w:rsidRPr="00704EAF">
        <w:t>Modification du règlement sur les produits biocides en ce qui concerne la pro</w:t>
      </w:r>
      <w:r w:rsidRPr="00704EAF" w:rsidR="00E40AE8">
        <w:t>lon</w:t>
      </w:r>
      <w:r w:rsidRPr="00704EAF">
        <w:t>gation de certaines périodes de protection des données</w:t>
      </w:r>
      <w:bookmarkEnd w:id="1"/>
    </w:p>
    <w:p w:rsidR="00782F11" w:rsidRPr="00704EAF" w:rsidP="00782F11" w14:paraId="74456C49" w14:textId="77777777">
      <w:pPr>
        <w:rPr>
          <w:i/>
          <w:vanish/>
        </w:rPr>
      </w:pPr>
      <w:r>
        <w:rPr>
          <w:i/>
        </w:rPr>
        <w:fldChar w:fldCharType="begin"/>
      </w:r>
      <w:r w:rsidRPr="00704EAF">
        <w:rPr>
          <w:i/>
        </w:rPr>
        <w:instrText xml:space="preserve"> TC"(</w:instrText>
      </w:r>
      <w:bookmarkStart w:id="2" w:name="DocNumber"/>
      <w:r w:rsidRPr="00704EAF">
        <w:rPr>
          <w:i/>
        </w:rPr>
        <w:instrText>A10-0094/2026</w:instrText>
      </w:r>
      <w:bookmarkEnd w:id="2"/>
      <w:r w:rsidRPr="00704EAF">
        <w:rPr>
          <w:i/>
        </w:rPr>
        <w:instrText xml:space="preserve"> - Rapporteur: Pierfrancesco Maran)"\l3 \n&gt; \* MERGEFORMAT </w:instrText>
      </w:r>
      <w:r>
        <w:rPr>
          <w:i/>
        </w:rPr>
        <w:fldChar w:fldCharType="end"/>
      </w:r>
    </w:p>
    <w:p w:rsidR="00782F11" w:rsidRPr="00704EAF" w:rsidP="00782F11" w14:paraId="26582E4C" w14:textId="77777777">
      <w:pPr>
        <w:rPr>
          <w:vanish/>
        </w:rPr>
      </w:pPr>
      <w:bookmarkStart w:id="3" w:name="Commission"/>
      <w:r w:rsidRPr="00704EAF">
        <w:rPr>
          <w:vanish/>
        </w:rPr>
        <w:t>Commission de l’environnement, du climat et de la sécurité alimentaire</w:t>
      </w:r>
      <w:bookmarkEnd w:id="3"/>
    </w:p>
    <w:p w:rsidR="00782F11" w:rsidRPr="00704EAF" w:rsidP="00782F11" w14:paraId="1FF4E42A" w14:textId="77777777">
      <w:pPr>
        <w:rPr>
          <w:vanish/>
        </w:rPr>
      </w:pPr>
      <w:bookmarkStart w:id="4" w:name="PE"/>
      <w:r w:rsidRPr="00704EAF">
        <w:rPr>
          <w:vanish/>
        </w:rPr>
        <w:t>PE786.759</w:t>
      </w:r>
      <w:bookmarkEnd w:id="4"/>
    </w:p>
    <w:p w:rsidR="00782F11" w:rsidRPr="00704EAF" w:rsidP="00782F11" w14:paraId="10E1EED6" w14:textId="4D4AAA65">
      <w:pPr>
        <w:pStyle w:val="ATHeading3"/>
      </w:pPr>
      <w:bookmarkStart w:id="5" w:name="Sujet"/>
      <w:r w:rsidRPr="00704EAF">
        <w:t xml:space="preserve">Résolution législative du Parlement européen du </w:t>
      </w:r>
      <w:r w:rsidRPr="00704EAF" w:rsidR="00A16273">
        <w:t>28 avril</w:t>
      </w:r>
      <w:r w:rsidRPr="00704EAF">
        <w:t xml:space="preserve"> 2026 sur la proposition de règlement du Parlement européen et du Conseil modifiant le règlement (UE) nº 528/2012 en ce qui concerne la prorogation de certaines périodes de protection des données</w:t>
      </w:r>
      <w:bookmarkEnd w:id="5"/>
      <w:r w:rsidRPr="00704EAF">
        <w:t xml:space="preserve"> </w:t>
      </w:r>
      <w:bookmarkStart w:id="6" w:name="References"/>
      <w:r w:rsidRPr="00704EAF">
        <w:t>(</w:t>
      </w:r>
      <w:r w:rsidRPr="00704EAF">
        <w:t>COM(</w:t>
      </w:r>
      <w:r w:rsidRPr="00704EAF">
        <w:t>2025)1020 – C10-0362/2025 – 2025/0408(COD))</w:t>
      </w:r>
      <w:bookmarkEnd w:id="6"/>
    </w:p>
    <w:p w:rsidR="00782F11" w:rsidRPr="00704EAF" w:rsidP="00782F11" w14:paraId="46943779" w14:textId="77777777"/>
    <w:p w:rsidR="0017795D" w:rsidRPr="00704EAF" w:rsidP="0017795D" w14:paraId="798EB812" w14:textId="77777777">
      <w:pPr>
        <w:pStyle w:val="NormalBold"/>
      </w:pPr>
      <w:bookmarkStart w:id="7" w:name="TextBodyBegin"/>
      <w:bookmarkEnd w:id="7"/>
      <w:r w:rsidRPr="00704EAF">
        <w:t xml:space="preserve">(Procédure législative </w:t>
      </w:r>
      <w:r w:rsidRPr="00704EAF">
        <w:t>ordinaire:</w:t>
      </w:r>
      <w:r w:rsidRPr="00704EAF">
        <w:t xml:space="preserve"> première lecture)</w:t>
      </w:r>
    </w:p>
    <w:p w:rsidR="0017795D" w:rsidRPr="00704EAF" w:rsidP="0017795D" w14:paraId="73388B7D" w14:textId="77777777">
      <w:pPr>
        <w:pStyle w:val="EPComma"/>
      </w:pPr>
      <w:r w:rsidRPr="00704EAF">
        <w:rPr>
          <w:i/>
        </w:rPr>
        <w:t>Le Parlement européen</w:t>
      </w:r>
      <w:r w:rsidRPr="00704EAF">
        <w:t>,</w:t>
      </w:r>
    </w:p>
    <w:p w:rsidR="0017795D" w:rsidRPr="00704EAF" w:rsidP="0017795D" w14:paraId="5B4C2B7A" w14:textId="71A5F884">
      <w:pPr>
        <w:pStyle w:val="NormalHanging12a"/>
      </w:pPr>
      <w:r w:rsidRPr="00704EAF">
        <w:t>–</w:t>
      </w:r>
      <w:r w:rsidRPr="00704EAF">
        <w:tab/>
        <w:t xml:space="preserve">vu la proposition de la Commission au Parlement </w:t>
      </w:r>
      <w:r w:rsidRPr="00704EAF" w:rsidR="00277D73">
        <w:t xml:space="preserve">européen </w:t>
      </w:r>
      <w:r w:rsidRPr="00704EAF">
        <w:t>et au Conseil (</w:t>
      </w:r>
      <w:r w:rsidRPr="00704EAF">
        <w:t>COM(</w:t>
      </w:r>
      <w:r w:rsidRPr="00704EAF">
        <w:t>2025)1020),</w:t>
      </w:r>
    </w:p>
    <w:p w:rsidR="0017795D" w:rsidRPr="00704EAF" w:rsidP="0017795D" w14:paraId="142CC4E9" w14:textId="77777777">
      <w:pPr>
        <w:pStyle w:val="NormalHanging12a"/>
      </w:pPr>
      <w:r w:rsidRPr="00704EAF">
        <w:t>–</w:t>
      </w:r>
      <w:r w:rsidRPr="00704EAF">
        <w:tab/>
        <w:t>vu l’article 294, paragraphe 2, et l’article 114 du traité sur le fonctionnement de l’Union européenne, conformément auxquels la proposition lui a été présentée par la Commission (C10</w:t>
      </w:r>
      <w:r w:rsidRPr="00704EAF">
        <w:noBreakHyphen/>
        <w:t>0362/2025),</w:t>
      </w:r>
    </w:p>
    <w:p w:rsidR="0017795D" w:rsidRPr="00704EAF" w:rsidP="0017795D" w14:paraId="148ACD1A" w14:textId="77777777">
      <w:pPr>
        <w:pStyle w:val="NormalHanging12a"/>
      </w:pPr>
      <w:r w:rsidRPr="00704EAF">
        <w:t>–</w:t>
      </w:r>
      <w:r w:rsidRPr="00704EAF">
        <w:tab/>
        <w:t>vu l’article 294, paragraphe 3, du traité sur le fonctionnement de l’Union européenne,</w:t>
      </w:r>
    </w:p>
    <w:p w:rsidR="0017795D" w:rsidRPr="00704EAF" w:rsidP="0017795D" w14:paraId="2BEB299A" w14:textId="77777777">
      <w:pPr>
        <w:pStyle w:val="NormalHanging12a"/>
      </w:pPr>
      <w:r w:rsidRPr="00704EAF">
        <w:t>–</w:t>
      </w:r>
      <w:r w:rsidRPr="00704EAF">
        <w:tab/>
        <w:t>vu l’avis du Comité économique et social européen du 21 janvier 2026</w:t>
      </w:r>
      <w:r>
        <w:rPr>
          <w:rStyle w:val="FootnoteReference"/>
        </w:rPr>
        <w:footnoteReference w:id="2"/>
      </w:r>
      <w:r w:rsidRPr="00704EAF">
        <w:t>,</w:t>
      </w:r>
    </w:p>
    <w:p w:rsidR="0017795D" w:rsidRPr="00704EAF" w:rsidP="0017795D" w14:paraId="77A7B389" w14:textId="77777777">
      <w:pPr>
        <w:pStyle w:val="NormalHanging12a"/>
      </w:pPr>
      <w:r w:rsidRPr="00704EAF">
        <w:t>–</w:t>
      </w:r>
      <w:r w:rsidRPr="00704EAF">
        <w:tab/>
        <w:t>vu l’article 60 de son règlement intérieur,</w:t>
      </w:r>
    </w:p>
    <w:p w:rsidR="0017795D" w:rsidRPr="00704EAF" w:rsidP="0017795D" w14:paraId="779F909E" w14:textId="77777777">
      <w:pPr>
        <w:pStyle w:val="NormalHanging12a"/>
      </w:pPr>
      <w:r w:rsidRPr="00704EAF">
        <w:t>–</w:t>
      </w:r>
      <w:r w:rsidRPr="00704EAF">
        <w:tab/>
        <w:t>vu le rapport de la commission de l’environnement, du climat et de la sécurité alimentaire (A10</w:t>
      </w:r>
      <w:r w:rsidRPr="00704EAF">
        <w:noBreakHyphen/>
        <w:t>0094/2026),</w:t>
      </w:r>
    </w:p>
    <w:p w:rsidR="0017795D" w:rsidRPr="00704EAF" w:rsidP="0017795D" w14:paraId="3F7BF55C" w14:textId="1D19470B">
      <w:pPr>
        <w:pStyle w:val="NormalHanging12a"/>
      </w:pPr>
      <w:r w:rsidRPr="00704EAF">
        <w:t>1.</w:t>
      </w:r>
      <w:r w:rsidRPr="00704EAF">
        <w:tab/>
        <w:t xml:space="preserve">arrête </w:t>
      </w:r>
      <w:r w:rsidRPr="00704EAF" w:rsidR="00277D73">
        <w:t>l</w:t>
      </w:r>
      <w:r w:rsidRPr="00704EAF">
        <w:t xml:space="preserve">a position en première lecture </w:t>
      </w:r>
      <w:r w:rsidRPr="00704EAF" w:rsidR="00A16273">
        <w:t>figurant ci-</w:t>
      </w:r>
      <w:r w:rsidRPr="00704EAF" w:rsidR="00A16273">
        <w:t>après</w:t>
      </w:r>
      <w:r w:rsidRPr="00704EAF">
        <w:t>;</w:t>
      </w:r>
    </w:p>
    <w:p w:rsidR="0017795D" w:rsidRPr="00704EAF" w:rsidP="0017795D" w14:paraId="11809CEC" w14:textId="77777777">
      <w:pPr>
        <w:pStyle w:val="NormalHanging12a"/>
      </w:pPr>
      <w:r w:rsidRPr="00704EAF">
        <w:t>2.</w:t>
      </w:r>
      <w:r w:rsidRPr="00704EAF">
        <w:tab/>
        <w:t xml:space="preserve">demande à la Commission de le saisir à nouveau, si elle remplace, modifie de manière substantielle ou entend modifier de manière substantielle sa </w:t>
      </w:r>
      <w:r w:rsidRPr="00704EAF">
        <w:t>proposition;</w:t>
      </w:r>
    </w:p>
    <w:p w:rsidR="00007BA9" w:rsidRPr="00704EAF" w:rsidP="00806971" w14:paraId="30195649" w14:textId="77777777">
      <w:pPr>
        <w:pStyle w:val="NormalHanging12a"/>
        <w:sectPr w:rsidSect="00F9232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04EAF">
        <w:t>3.</w:t>
      </w:r>
      <w:r w:rsidRPr="00704EAF">
        <w:tab/>
        <w:t xml:space="preserve">charge sa Présidente de transmettre la position du Parlement au Conseil et à la </w:t>
      </w:r>
      <w:r w:rsidRPr="00704EAF">
        <w:t>Commission ainsi qu’aux parlements nationaux.</w:t>
      </w:r>
    </w:p>
    <w:p w:rsidR="00007BA9" w:rsidRPr="00704EAF" w:rsidP="00007BA9" w14:paraId="0D0B0063" w14:textId="62BC3058">
      <w:pPr>
        <w:widowControl/>
        <w:spacing w:after="240"/>
        <w:jc w:val="both"/>
        <w:rPr>
          <w:b/>
          <w:szCs w:val="24"/>
        </w:rPr>
      </w:pPr>
      <w:r w:rsidRPr="00704EAF">
        <w:rPr>
          <w:b/>
          <w:szCs w:val="24"/>
        </w:rPr>
        <w:t>P10_TC1-</w:t>
      </w:r>
      <w:r w:rsidRPr="00704EAF">
        <w:rPr>
          <w:b/>
          <w:szCs w:val="24"/>
        </w:rPr>
        <w:t>COD(</w:t>
      </w:r>
      <w:r w:rsidRPr="00704EAF">
        <w:rPr>
          <w:b/>
          <w:szCs w:val="24"/>
        </w:rPr>
        <w:t>2025)0408</w:t>
      </w:r>
    </w:p>
    <w:p w:rsidR="00007BA9" w:rsidP="00007BA9" w14:paraId="57292AFA" w14:textId="77777777">
      <w:pPr>
        <w:pStyle w:val="NormalHanging12a"/>
        <w:ind w:left="0" w:firstLine="0"/>
        <w:rPr>
          <w:b/>
          <w:szCs w:val="24"/>
        </w:rPr>
      </w:pPr>
      <w:r w:rsidRPr="00704EAF">
        <w:rPr>
          <w:b/>
          <w:szCs w:val="24"/>
        </w:rPr>
        <w:t>Position du Parlement européen arrêtée en première lecture le 28 avril 2026 en vue de l’adoption du règlement (UE) 2026/... du Parlement européen et du Conseil modifiant le règlement (UE) nº 528/2012 en ce qui concerne la prolongation de certaines périodes de protection des données</w:t>
      </w:r>
    </w:p>
    <w:p w:rsidR="000546BB" w:rsidRPr="0070765D" w:rsidP="000546BB" w14:paraId="7C432866" w14:textId="4DE78BD8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</w:t>
      </w:r>
      <w:r>
        <w:rPr>
          <w:b w:val="0"/>
          <w:i/>
          <w:szCs w:val="24"/>
        </w:rPr>
        <w:t>6</w:t>
      </w:r>
      <w:r w:rsidRPr="0070765D">
        <w:rPr>
          <w:b w:val="0"/>
          <w:i/>
          <w:szCs w:val="24"/>
        </w:rPr>
        <w:t>/</w:t>
      </w:r>
      <w:r>
        <w:rPr>
          <w:b w:val="0"/>
          <w:i/>
          <w:szCs w:val="24"/>
        </w:rPr>
        <w:t>1165</w:t>
      </w:r>
      <w:r w:rsidRPr="0070765D">
        <w:rPr>
          <w:b w:val="0"/>
          <w:i/>
          <w:szCs w:val="24"/>
        </w:rPr>
        <w:t>.)</w:t>
      </w:r>
    </w:p>
    <w:sectPr w:rsidSect="00F9232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9232E" w14:paraId="4C94E4D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9232E" w14:paraId="7FD1119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9232E" w14:paraId="3550737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82F11" w:rsidRPr="00F9232E" w14:paraId="626BE417" w14:textId="77777777">
      <w:r w:rsidRPr="00F9232E">
        <w:separator/>
      </w:r>
    </w:p>
  </w:footnote>
  <w:footnote w:type="continuationSeparator" w:id="1">
    <w:p w:rsidR="00782F11" w:rsidRPr="00F9232E" w14:paraId="6A1A78BE" w14:textId="77777777">
      <w:r w:rsidRPr="00F9232E">
        <w:continuationSeparator/>
      </w:r>
    </w:p>
  </w:footnote>
  <w:footnote w:id="2">
    <w:p w:rsidR="0017795D" w:rsidRPr="006B305F" w:rsidP="00F9232E" w14:paraId="33237332" w14:textId="1DFA5AD0">
      <w:pPr>
        <w:pStyle w:val="FootnoteText"/>
        <w:ind w:left="567" w:hanging="567"/>
        <w:rPr>
          <w:sz w:val="24"/>
          <w:szCs w:val="24"/>
          <w:lang w:val="fi-FI"/>
        </w:rPr>
      </w:pPr>
      <w:r w:rsidRPr="00F9232E">
        <w:rPr>
          <w:rStyle w:val="FootnoteReference"/>
          <w:sz w:val="24"/>
          <w:szCs w:val="24"/>
        </w:rPr>
        <w:footnoteRef/>
      </w:r>
      <w:r w:rsidRPr="006B305F" w:rsidR="00F9232E">
        <w:rPr>
          <w:sz w:val="24"/>
          <w:lang w:val="fi-FI"/>
        </w:rPr>
        <w:t xml:space="preserve"> </w:t>
      </w:r>
      <w:r w:rsidRPr="006B305F" w:rsidR="00F9232E">
        <w:rPr>
          <w:sz w:val="24"/>
          <w:lang w:val="fi-FI"/>
        </w:rPr>
        <w:tab/>
      </w:r>
      <w:r w:rsidRPr="006B305F" w:rsidR="00E068A2">
        <w:rPr>
          <w:sz w:val="24"/>
          <w:lang w:val="fi-FI"/>
        </w:rPr>
        <w:t>JO C, C/2026/1969, 28.4.2026, ELI: </w:t>
      </w:r>
      <w:hyperlink r:id="rId1" w:history="1">
        <w:r w:rsidRPr="006B305F" w:rsidR="00E068A2">
          <w:rPr>
            <w:rStyle w:val="Hyperlink"/>
            <w:sz w:val="24"/>
            <w:lang w:val="fi-FI"/>
          </w:rPr>
          <w:t>http://data.europa.eu/eli/C/2026/1969/oj</w:t>
        </w:r>
      </w:hyperlink>
      <w:r w:rsidRPr="006B305F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9232E" w14:paraId="3D634A8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9232E" w14:paraId="7D53272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9232E" w14:paraId="0CA97AE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8322928">
    <w:abstractNumId w:val="9"/>
  </w:num>
  <w:num w:numId="2" w16cid:durableId="612631476">
    <w:abstractNumId w:val="9"/>
  </w:num>
  <w:num w:numId="3" w16cid:durableId="2112581206">
    <w:abstractNumId w:val="7"/>
  </w:num>
  <w:num w:numId="4" w16cid:durableId="24186154">
    <w:abstractNumId w:val="7"/>
  </w:num>
  <w:num w:numId="5" w16cid:durableId="141967773">
    <w:abstractNumId w:val="6"/>
  </w:num>
  <w:num w:numId="6" w16cid:durableId="526989307">
    <w:abstractNumId w:val="6"/>
  </w:num>
  <w:num w:numId="7" w16cid:durableId="1458841217">
    <w:abstractNumId w:val="5"/>
  </w:num>
  <w:num w:numId="8" w16cid:durableId="1896894349">
    <w:abstractNumId w:val="5"/>
  </w:num>
  <w:num w:numId="9" w16cid:durableId="1945529380">
    <w:abstractNumId w:val="4"/>
  </w:num>
  <w:num w:numId="10" w16cid:durableId="1509559998">
    <w:abstractNumId w:val="4"/>
  </w:num>
  <w:num w:numId="11" w16cid:durableId="354887840">
    <w:abstractNumId w:val="8"/>
  </w:num>
  <w:num w:numId="12" w16cid:durableId="1294478247">
    <w:abstractNumId w:val="8"/>
  </w:num>
  <w:num w:numId="13" w16cid:durableId="947732741">
    <w:abstractNumId w:val="3"/>
  </w:num>
  <w:num w:numId="14" w16cid:durableId="677149034">
    <w:abstractNumId w:val="3"/>
  </w:num>
  <w:num w:numId="15" w16cid:durableId="180821335">
    <w:abstractNumId w:val="2"/>
  </w:num>
  <w:num w:numId="16" w16cid:durableId="1160928209">
    <w:abstractNumId w:val="2"/>
  </w:num>
  <w:num w:numId="17" w16cid:durableId="1519738890">
    <w:abstractNumId w:val="1"/>
  </w:num>
  <w:num w:numId="18" w16cid:durableId="1635407374">
    <w:abstractNumId w:val="1"/>
  </w:num>
  <w:num w:numId="19" w16cid:durableId="496043188">
    <w:abstractNumId w:val="0"/>
  </w:num>
  <w:num w:numId="20" w16cid:durableId="1204637292">
    <w:abstractNumId w:val="0"/>
  </w:num>
  <w:num w:numId="21" w16cid:durableId="1508056478">
    <w:abstractNumId w:val="9"/>
  </w:num>
  <w:num w:numId="22" w16cid:durableId="339044858">
    <w:abstractNumId w:val="7"/>
  </w:num>
  <w:num w:numId="23" w16cid:durableId="2077317513">
    <w:abstractNumId w:val="6"/>
  </w:num>
  <w:num w:numId="24" w16cid:durableId="603419470">
    <w:abstractNumId w:val="5"/>
  </w:num>
  <w:num w:numId="25" w16cid:durableId="1672758956">
    <w:abstractNumId w:val="4"/>
  </w:num>
  <w:num w:numId="26" w16cid:durableId="196431061">
    <w:abstractNumId w:val="8"/>
  </w:num>
  <w:num w:numId="27" w16cid:durableId="759372442">
    <w:abstractNumId w:val="3"/>
  </w:num>
  <w:num w:numId="28" w16cid:durableId="152063637">
    <w:abstractNumId w:val="2"/>
  </w:num>
  <w:num w:numId="29" w16cid:durableId="1589070493">
    <w:abstractNumId w:val="1"/>
  </w:num>
  <w:num w:numId="30" w16cid:durableId="727340945">
    <w:abstractNumId w:val="0"/>
  </w:num>
  <w:num w:numId="31" w16cid:durableId="6101066">
    <w:abstractNumId w:val="9"/>
  </w:num>
  <w:num w:numId="32" w16cid:durableId="1518304495">
    <w:abstractNumId w:val="7"/>
  </w:num>
  <w:num w:numId="33" w16cid:durableId="1024554813">
    <w:abstractNumId w:val="6"/>
  </w:num>
  <w:num w:numId="34" w16cid:durableId="908002614">
    <w:abstractNumId w:val="5"/>
  </w:num>
  <w:num w:numId="35" w16cid:durableId="89933396">
    <w:abstractNumId w:val="4"/>
  </w:num>
  <w:num w:numId="36" w16cid:durableId="1522822218">
    <w:abstractNumId w:val="8"/>
  </w:num>
  <w:num w:numId="37" w16cid:durableId="386032421">
    <w:abstractNumId w:val="3"/>
  </w:num>
  <w:num w:numId="38" w16cid:durableId="2134321558">
    <w:abstractNumId w:val="2"/>
  </w:num>
  <w:num w:numId="39" w16cid:durableId="681736201">
    <w:abstractNumId w:val="1"/>
  </w:num>
  <w:num w:numId="40" w16cid:durableId="201674462">
    <w:abstractNumId w:val="0"/>
  </w:num>
  <w:num w:numId="41" w16cid:durableId="2100058310">
    <w:abstractNumId w:val="10"/>
  </w:num>
  <w:num w:numId="42" w16cid:durableId="1871720698">
    <w:abstractNumId w:val="10"/>
  </w:num>
  <w:num w:numId="43" w16cid:durableId="193810428">
    <w:abstractNumId w:val="10"/>
  </w:num>
  <w:num w:numId="44" w16cid:durableId="11849006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11"/>
    <w:rsid w:val="00002272"/>
    <w:rsid w:val="00004FB2"/>
    <w:rsid w:val="00007BA9"/>
    <w:rsid w:val="000546BB"/>
    <w:rsid w:val="00064002"/>
    <w:rsid w:val="000677B9"/>
    <w:rsid w:val="000831BA"/>
    <w:rsid w:val="000A42CC"/>
    <w:rsid w:val="000B70DB"/>
    <w:rsid w:val="000E03E8"/>
    <w:rsid w:val="000E7DD9"/>
    <w:rsid w:val="0010095E"/>
    <w:rsid w:val="00125B37"/>
    <w:rsid w:val="0017795D"/>
    <w:rsid w:val="00187494"/>
    <w:rsid w:val="001F2736"/>
    <w:rsid w:val="001F32AE"/>
    <w:rsid w:val="002767FF"/>
    <w:rsid w:val="00277D7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B35"/>
    <w:rsid w:val="00560270"/>
    <w:rsid w:val="005C2568"/>
    <w:rsid w:val="005F1B17"/>
    <w:rsid w:val="006037C0"/>
    <w:rsid w:val="006631B6"/>
    <w:rsid w:val="00680577"/>
    <w:rsid w:val="006B305F"/>
    <w:rsid w:val="006F74FA"/>
    <w:rsid w:val="00704EAF"/>
    <w:rsid w:val="0070765D"/>
    <w:rsid w:val="00731ADD"/>
    <w:rsid w:val="00734777"/>
    <w:rsid w:val="00746F88"/>
    <w:rsid w:val="00747932"/>
    <w:rsid w:val="00751A4A"/>
    <w:rsid w:val="00756632"/>
    <w:rsid w:val="00762C74"/>
    <w:rsid w:val="00782F11"/>
    <w:rsid w:val="00786EC0"/>
    <w:rsid w:val="007D1690"/>
    <w:rsid w:val="007E22AD"/>
    <w:rsid w:val="0080697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907"/>
    <w:rsid w:val="009509D8"/>
    <w:rsid w:val="00950B64"/>
    <w:rsid w:val="00981893"/>
    <w:rsid w:val="00983871"/>
    <w:rsid w:val="00A162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65BA"/>
    <w:rsid w:val="00BC6BE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FE2"/>
    <w:rsid w:val="00D56C11"/>
    <w:rsid w:val="00D834A0"/>
    <w:rsid w:val="00D872DF"/>
    <w:rsid w:val="00D91E21"/>
    <w:rsid w:val="00DA7FCD"/>
    <w:rsid w:val="00E068A2"/>
    <w:rsid w:val="00E365E1"/>
    <w:rsid w:val="00E40AE8"/>
    <w:rsid w:val="00E50C6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32E"/>
    <w:rsid w:val="00FB4360"/>
    <w:rsid w:val="00FD0C70"/>
  </w:rsids>
  <w:docVars>
    <w:docVar w:name="dvdocse" w:val="A10-0094/2026"/>
    <w:docVar w:name="dvlangue" w:val="FR"/>
    <w:docVar w:name="dvnumam" w:val="0"/>
    <w:docVar w:name="dvpe" w:val="786.759"/>
    <w:docVar w:name="dvrapporteur" w:val="Rapporteur: "/>
    <w:docVar w:name="dvstar" w:val="***I"/>
    <w:docVar w:name="dvtitre" w:val="Résolution législative du Parlement européen du ... 2026 sur la proposition de règlement du Parlement européen et du Conseil modifiant le règlement (UE) nº 528/2012 en ce qui concerne la prorogation de certaines périodes de protection des données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21E7CF"/>
  <w15:chartTrackingRefBased/>
  <w15:docId w15:val="{D4DDB3BC-E994-41D6-87E7-4C8D7DFCC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7795D"/>
    <w:pPr>
      <w:spacing w:before="480" w:after="240"/>
    </w:pPr>
  </w:style>
  <w:style w:type="paragraph" w:customStyle="1" w:styleId="NormalBold">
    <w:name w:val="NormalBold"/>
    <w:basedOn w:val="Normal"/>
    <w:rsid w:val="0017795D"/>
    <w:rPr>
      <w:b/>
    </w:rPr>
  </w:style>
  <w:style w:type="paragraph" w:customStyle="1" w:styleId="NormalHanging12a">
    <w:name w:val="NormalHanging12a"/>
    <w:basedOn w:val="Normal"/>
    <w:rsid w:val="0017795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16273"/>
    <w:rPr>
      <w:sz w:val="24"/>
      <w:lang w:val="fr-FR"/>
    </w:rPr>
  </w:style>
  <w:style w:type="character" w:styleId="Hyperlink">
    <w:name w:val="Hyperlink"/>
    <w:uiPriority w:val="99"/>
    <w:rsid w:val="00007BA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8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068A2"/>
    <w:rPr>
      <w:color w:val="954F72" w:themeColor="followedHyperlink"/>
      <w:u w:val="single"/>
    </w:rPr>
  </w:style>
  <w:style w:type="paragraph" w:customStyle="1" w:styleId="Datedadoption">
    <w:name w:val="Date d'adoption"/>
    <w:basedOn w:val="Normal"/>
    <w:next w:val="Normal"/>
    <w:rsid w:val="000546BB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2026-08-25T13:19:00Z</dcterms:created>
  <dcterms:modified xsi:type="dcterms:W3CDTF">2026-08-25T13:19:00Z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