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422A5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6C2D" w:rsidP="0010095E" w14:paraId="2A6150FF" w14:textId="77777777">
            <w:pPr>
              <w:pStyle w:val="EPName"/>
            </w:pPr>
            <w:r w:rsidRPr="001A6C2D">
              <w:t>Eiropas Parlaments</w:t>
            </w:r>
          </w:p>
          <w:p w:rsidR="00751A4A" w:rsidRPr="001A6C2D" w:rsidP="005F1B17" w14:paraId="726D1B3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C2D">
              <w:t>2024</w:t>
            </w:r>
            <w:r w:rsidRPr="001A6C2D" w:rsidR="00817416">
              <w:t>-202</w:t>
            </w:r>
            <w:r w:rsidRPr="001A6C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6C2D" w:rsidP="0010095E" w14:paraId="5EBA830B" w14:textId="77777777">
            <w:pPr>
              <w:pStyle w:val="EPLogo"/>
            </w:pPr>
            <w:r w:rsidRPr="001A6C2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6C2D" w:rsidP="004C5D52" w14:paraId="695E3FC9" w14:textId="77777777">
      <w:pPr>
        <w:pStyle w:val="LineTop"/>
      </w:pPr>
    </w:p>
    <w:p w:rsidR="00680577" w:rsidRPr="001A6C2D" w:rsidP="00680577" w14:paraId="5FC20478" w14:textId="77777777">
      <w:pPr>
        <w:pStyle w:val="EPBodyTA1"/>
      </w:pPr>
      <w:r w:rsidRPr="001A6C2D">
        <w:t>PIEŅEMTIE TEKSTI</w:t>
      </w:r>
    </w:p>
    <w:p w:rsidR="00D058B8" w:rsidRPr="001A6C2D" w:rsidP="00D058B8" w14:paraId="31325280" w14:textId="77777777">
      <w:pPr>
        <w:pStyle w:val="LineBottom"/>
      </w:pPr>
    </w:p>
    <w:p w:rsidR="00C47D3D" w:rsidRPr="001A6C2D" w:rsidP="00C47D3D" w14:paraId="7293C958" w14:textId="083F3138">
      <w:pPr>
        <w:pStyle w:val="ATHeading1"/>
      </w:pPr>
      <w:bookmarkStart w:id="0" w:name="TANumber"/>
      <w:r w:rsidRPr="001A6C2D">
        <w:t>P10_TA(2026)0</w:t>
      </w:r>
      <w:r w:rsidRPr="001A6C2D" w:rsidR="001A6C2D">
        <w:t>117</w:t>
      </w:r>
      <w:bookmarkEnd w:id="0"/>
    </w:p>
    <w:p w:rsidR="00C47D3D" w:rsidRPr="001A6C2D" w:rsidP="00C47D3D" w14:paraId="2AA034CC" w14:textId="45618CBF">
      <w:pPr>
        <w:pStyle w:val="ATHeading2"/>
      </w:pPr>
      <w:bookmarkStart w:id="1" w:name="title"/>
      <w:r w:rsidRPr="001A6C2D">
        <w:rPr>
          <w:bCs/>
        </w:rPr>
        <w:t>Biocīdu regulas grozīšana attiecībā uz dažu datu aizsardzības periodu pagarināšanu</w:t>
      </w:r>
      <w:bookmarkEnd w:id="1"/>
    </w:p>
    <w:p w:rsidR="00C47D3D" w:rsidRPr="001A6C2D" w:rsidP="00C47D3D" w14:paraId="5F164B73" w14:textId="77777777">
      <w:pPr>
        <w:rPr>
          <w:i/>
          <w:vanish/>
        </w:rPr>
      </w:pPr>
      <w:r>
        <w:rPr>
          <w:i/>
        </w:rPr>
        <w:fldChar w:fldCharType="begin"/>
      </w:r>
      <w:r w:rsidRPr="001A6C2D">
        <w:rPr>
          <w:i/>
        </w:rPr>
        <w:instrText xml:space="preserve"> TC"(</w:instrText>
      </w:r>
      <w:bookmarkStart w:id="2" w:name="DocNumber"/>
      <w:r w:rsidRPr="001A6C2D">
        <w:rPr>
          <w:i/>
        </w:rPr>
        <w:instrText>A10-0094/2026</w:instrText>
      </w:r>
      <w:bookmarkEnd w:id="2"/>
      <w:r w:rsidRPr="001A6C2D">
        <w:rPr>
          <w:i/>
        </w:rPr>
        <w:instrText xml:space="preserve"> - Referents: Pierfrancesco Maran)"\l3 \n&gt; \* MERGEFORMAT </w:instrText>
      </w:r>
      <w:r>
        <w:rPr>
          <w:i/>
        </w:rPr>
        <w:fldChar w:fldCharType="end"/>
      </w:r>
    </w:p>
    <w:p w:rsidR="00C47D3D" w:rsidRPr="001A6C2D" w:rsidP="00C47D3D" w14:paraId="755976B5" w14:textId="77777777">
      <w:pPr>
        <w:rPr>
          <w:vanish/>
        </w:rPr>
      </w:pPr>
      <w:bookmarkStart w:id="3" w:name="Commission"/>
      <w:r w:rsidRPr="001A6C2D">
        <w:rPr>
          <w:vanish/>
        </w:rPr>
        <w:t>Vides, klimata un pārtikas nekaitīguma komiteja</w:t>
      </w:r>
      <w:bookmarkEnd w:id="3"/>
    </w:p>
    <w:p w:rsidR="00C47D3D" w:rsidRPr="001A6C2D" w:rsidP="00C47D3D" w14:paraId="042BE83B" w14:textId="77777777">
      <w:pPr>
        <w:rPr>
          <w:vanish/>
        </w:rPr>
      </w:pPr>
      <w:bookmarkStart w:id="4" w:name="PE"/>
      <w:r w:rsidRPr="001A6C2D">
        <w:rPr>
          <w:vanish/>
        </w:rPr>
        <w:t>PE786.759</w:t>
      </w:r>
      <w:bookmarkEnd w:id="4"/>
    </w:p>
    <w:p w:rsidR="00C47D3D" w:rsidRPr="001A6C2D" w:rsidP="00C47D3D" w14:paraId="2378D742" w14:textId="6DDB9436">
      <w:pPr>
        <w:pStyle w:val="ATHeading3"/>
      </w:pPr>
      <w:bookmarkStart w:id="5" w:name="Sujet"/>
      <w:r w:rsidRPr="001A6C2D">
        <w:t xml:space="preserve">Eiropas Parlamenta 2026. gada </w:t>
      </w:r>
      <w:r w:rsidRPr="001A6C2D" w:rsidR="0043540D">
        <w:t>28</w:t>
      </w:r>
      <w:r w:rsidRPr="001A6C2D">
        <w:t xml:space="preserve">. </w:t>
      </w:r>
      <w:r w:rsidRPr="001A6C2D" w:rsidR="00982BB4">
        <w:t xml:space="preserve">aprīļa </w:t>
      </w:r>
      <w:r w:rsidRPr="001A6C2D">
        <w:t>normatīvā rezolūcija par priekšlikumu Eiropas Parlamenta un Padomes regulai, ar ko attiecībā uz dažu datu aizsardzības periodu pagarināšanu groza Regulu (ES) Nr. 528/2012</w:t>
      </w:r>
      <w:bookmarkEnd w:id="5"/>
      <w:r w:rsidRPr="001A6C2D">
        <w:t xml:space="preserve"> </w:t>
      </w:r>
      <w:bookmarkStart w:id="6" w:name="References"/>
      <w:r w:rsidRPr="001A6C2D">
        <w:t>(COM(2025)1020 – C10-0362/2025 – 2025/0408(COD))</w:t>
      </w:r>
      <w:bookmarkEnd w:id="6"/>
    </w:p>
    <w:p w:rsidR="00196B87" w:rsidRPr="001A6C2D" w:rsidP="00196B87" w14:paraId="5410F77C" w14:textId="77777777">
      <w:pPr>
        <w:pStyle w:val="NormalBold"/>
      </w:pPr>
      <w:bookmarkStart w:id="7" w:name="TextBodyBegin"/>
      <w:bookmarkEnd w:id="7"/>
      <w:r w:rsidRPr="001A6C2D">
        <w:t>(Parastā likumdošanas procedūra: pirmais lasījums)</w:t>
      </w:r>
    </w:p>
    <w:p w:rsidR="00196B87" w:rsidRPr="001A6C2D" w:rsidP="00196B87" w14:paraId="29F33C05" w14:textId="77777777">
      <w:pPr>
        <w:pStyle w:val="EPComma"/>
      </w:pPr>
      <w:r w:rsidRPr="001A6C2D">
        <w:rPr>
          <w:i/>
          <w:iCs/>
        </w:rPr>
        <w:t>Eiropas Parlaments</w:t>
      </w:r>
      <w:r w:rsidRPr="001A6C2D">
        <w:t>,</w:t>
      </w:r>
    </w:p>
    <w:p w:rsidR="00196B87" w:rsidRPr="001A6C2D" w:rsidP="00196B87" w14:paraId="73525BD6" w14:textId="77777777">
      <w:pPr>
        <w:pStyle w:val="NormalHanging12a"/>
      </w:pPr>
      <w:r w:rsidRPr="001A6C2D">
        <w:t>–</w:t>
      </w:r>
      <w:r w:rsidRPr="001A6C2D">
        <w:tab/>
        <w:t>ņemot vērā Komisijas priekšlikumu Eiropas Parlamentam un Padomei (COM(2025)1020),</w:t>
      </w:r>
    </w:p>
    <w:p w:rsidR="00196B87" w:rsidRPr="001A6C2D" w:rsidP="00196B87" w14:paraId="399A20A5" w14:textId="77777777">
      <w:pPr>
        <w:pStyle w:val="NormalHanging12a"/>
      </w:pPr>
      <w:r w:rsidRPr="001A6C2D">
        <w:t>–</w:t>
      </w:r>
      <w:r w:rsidRPr="001A6C2D">
        <w:tab/>
        <w:t>ņemot vērā Līguma par Eiropas Savienības darbību 294. panta 2. punktu un 114. pantu, saskaņā ar kuriem Komisija tam ir iesniegusi priekšlikumu (C10</w:t>
      </w:r>
      <w:r w:rsidRPr="001A6C2D">
        <w:noBreakHyphen/>
        <w:t>0362/2025),</w:t>
      </w:r>
    </w:p>
    <w:p w:rsidR="00196B87" w:rsidRPr="001A6C2D" w:rsidP="00196B87" w14:paraId="68E3362D" w14:textId="77777777">
      <w:pPr>
        <w:pStyle w:val="NormalHanging12a"/>
      </w:pPr>
      <w:r w:rsidRPr="001A6C2D">
        <w:t>–</w:t>
      </w:r>
      <w:r w:rsidRPr="001A6C2D">
        <w:tab/>
        <w:t>ņemot vērā Līguma par Eiropas Savienības darbību 294. panta 3. punktu,</w:t>
      </w:r>
    </w:p>
    <w:p w:rsidR="00196B87" w:rsidRPr="001A6C2D" w:rsidP="00196B87" w14:paraId="6FA24D30" w14:textId="77777777">
      <w:pPr>
        <w:pStyle w:val="NormalHanging12a"/>
      </w:pPr>
      <w:r w:rsidRPr="001A6C2D">
        <w:t>–</w:t>
      </w:r>
      <w:r w:rsidRPr="001A6C2D">
        <w:tab/>
        <w:t>ņemot vērā Eiropas Ekonomikas un sociālo lietu komitejas 2026. gada 21. janvāra atzinumu</w:t>
      </w:r>
      <w:r>
        <w:rPr>
          <w:rStyle w:val="FootnoteReference"/>
        </w:rPr>
        <w:footnoteReference w:id="2"/>
      </w:r>
      <w:r w:rsidRPr="001A6C2D">
        <w:t>,</w:t>
      </w:r>
    </w:p>
    <w:p w:rsidR="00196B87" w:rsidRPr="001A6C2D" w:rsidP="00196B87" w14:paraId="40781968" w14:textId="77777777">
      <w:pPr>
        <w:pStyle w:val="NormalHanging12a"/>
      </w:pPr>
      <w:r w:rsidRPr="001A6C2D">
        <w:t>–</w:t>
      </w:r>
      <w:r w:rsidRPr="001A6C2D">
        <w:tab/>
        <w:t>ņemot vērā Reglamenta 60. pantu,</w:t>
      </w:r>
    </w:p>
    <w:p w:rsidR="00196B87" w:rsidRPr="001A6C2D" w:rsidP="00196B87" w14:paraId="5A738512" w14:textId="77777777">
      <w:pPr>
        <w:pStyle w:val="NormalHanging12a"/>
      </w:pPr>
      <w:r w:rsidRPr="001A6C2D">
        <w:t>–</w:t>
      </w:r>
      <w:r w:rsidRPr="001A6C2D">
        <w:tab/>
        <w:t>ņemot vērā Vides, klimata un pārtikas nekaitīguma komitejas ziņojumu (A10-0094/2026),</w:t>
      </w:r>
    </w:p>
    <w:p w:rsidR="00196B87" w:rsidRPr="001A6C2D" w:rsidP="00196B87" w14:paraId="1CC4D8A9" w14:textId="28533ED7">
      <w:pPr>
        <w:pStyle w:val="NormalHanging12a"/>
      </w:pPr>
      <w:r w:rsidRPr="001A6C2D">
        <w:t>1.</w:t>
      </w:r>
      <w:r w:rsidRPr="001A6C2D">
        <w:tab/>
        <w:t xml:space="preserve">pieņem </w:t>
      </w:r>
      <w:r w:rsidRPr="001A6C2D" w:rsidR="0043540D">
        <w:t>pirmajā lasījumā turpmāk izklāstīto nostāju</w:t>
      </w:r>
      <w:r w:rsidRPr="001A6C2D">
        <w:t>;</w:t>
      </w:r>
    </w:p>
    <w:p w:rsidR="00196B87" w:rsidRPr="001A6C2D" w:rsidP="00196B87" w14:paraId="46B88C0F" w14:textId="77777777">
      <w:pPr>
        <w:pStyle w:val="NormalHanging12a"/>
      </w:pPr>
      <w:r w:rsidRPr="001A6C2D">
        <w:t>2.</w:t>
      </w:r>
      <w:r w:rsidRPr="001A6C2D">
        <w:tab/>
        <w:t>prasa Komisijai priekšlikumu Parlamentam iesniegt vēlreiz, ja tā savu priekšlikumu aizstāj, būtiski groza vai ir paredzējusi to būtiski grozīt;</w:t>
      </w:r>
    </w:p>
    <w:p w:rsidR="0043540D" w:rsidRPr="001A6C2D" w:rsidP="00982BB4" w14:paraId="2EAD3FA0" w14:textId="77777777">
      <w:pPr>
        <w:ind w:left="567" w:hanging="567"/>
        <w:sectPr w:rsidSect="00AC3E7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A6C2D">
        <w:t>3.</w:t>
      </w:r>
      <w:r w:rsidRPr="001A6C2D">
        <w:tab/>
        <w:t>uzdod priekšsēdētājai Parlamenta nostāju nosūtīt Padomei un Komisijai, kā arī dalībvalstu parlamentiem.</w:t>
      </w:r>
    </w:p>
    <w:p w:rsidR="0043540D" w:rsidRPr="001A6C2D" w:rsidP="0043540D" w14:paraId="28BA999A" w14:textId="0ACF7947">
      <w:pPr>
        <w:pStyle w:val="Normal12Hanging"/>
        <w:tabs>
          <w:tab w:val="left" w:pos="357"/>
        </w:tabs>
        <w:rPr>
          <w:b/>
        </w:rPr>
      </w:pPr>
      <w:r w:rsidRPr="001A6C2D">
        <w:rPr>
          <w:b/>
        </w:rPr>
        <w:t>P10_TC1-COD(2025)0408</w:t>
      </w:r>
    </w:p>
    <w:p w:rsidR="0043540D" w:rsidP="0043540D" w14:paraId="1A2D4DDB" w14:textId="3F97D465">
      <w:pPr>
        <w:rPr>
          <w:b/>
          <w:bCs/>
        </w:rPr>
      </w:pPr>
      <w:r w:rsidRPr="001A6C2D">
        <w:rPr>
          <w:b/>
        </w:rPr>
        <w:t xml:space="preserve">Eiropas Parlamenta nostāja, pieņemta pirmajā lasījumā 2026. gada 28. aprīlī, lai pieņemtu Eiropas Parlamenta un Padomes Regulu (ES) 2026/..., ar </w:t>
      </w:r>
      <w:r w:rsidRPr="001A6C2D">
        <w:rPr>
          <w:b/>
          <w:bCs/>
        </w:rPr>
        <w:t>ko groza Regulu (ES) Nr. 528/2012 attiecībā uz dažu datu aizsardzības periodu pagarināšanu</w:t>
      </w:r>
    </w:p>
    <w:p w:rsidR="00393B1C" w:rsidP="0043540D" w14:paraId="7B4E5C8B" w14:textId="77777777">
      <w:pPr>
        <w:rPr>
          <w:b/>
          <w:bCs/>
        </w:rPr>
      </w:pPr>
    </w:p>
    <w:p w:rsidR="00393B1C" w:rsidP="00393B1C" w14:paraId="21384F54" w14:textId="5C1A44EC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393B1C">
        <w:rPr>
          <w:i/>
        </w:rPr>
        <w:t>Regulai (ES) 202</w:t>
      </w:r>
      <w:r>
        <w:rPr>
          <w:i/>
        </w:rPr>
        <w:t>6</w:t>
      </w:r>
      <w:r w:rsidRPr="00393B1C">
        <w:rPr>
          <w:i/>
        </w:rPr>
        <w:t>/</w:t>
      </w:r>
      <w:r>
        <w:rPr>
          <w:i/>
        </w:rPr>
        <w:t>1165</w:t>
      </w:r>
      <w:r w:rsidRPr="00393B1C">
        <w:rPr>
          <w:i/>
        </w:rPr>
        <w:t>.)</w:t>
      </w:r>
    </w:p>
    <w:p w:rsidR="00393B1C" w:rsidRPr="001A6C2D" w:rsidP="0043540D" w14:paraId="48989927" w14:textId="77777777">
      <w:pPr>
        <w:rPr>
          <w:b/>
          <w:bCs/>
        </w:rPr>
      </w:pPr>
    </w:p>
    <w:sectPr w:rsidSect="00AC3E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124A870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039E959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43B1473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47D3D" w:rsidRPr="00AC3E73" w14:paraId="4534729A" w14:textId="77777777">
      <w:r w:rsidRPr="00AC3E73">
        <w:separator/>
      </w:r>
    </w:p>
  </w:footnote>
  <w:footnote w:type="continuationSeparator" w:id="1">
    <w:p w:rsidR="00C47D3D" w:rsidRPr="00AC3E73" w14:paraId="6A2D7B23" w14:textId="77777777">
      <w:r w:rsidRPr="00AC3E73">
        <w:continuationSeparator/>
      </w:r>
    </w:p>
  </w:footnote>
  <w:footnote w:id="2">
    <w:p w:rsidR="00196B87" w:rsidRPr="00AC3E73" w:rsidP="00AC3E73" w14:paraId="662499B8" w14:textId="0B20F1A0">
      <w:pPr>
        <w:pStyle w:val="FootnoteText"/>
        <w:ind w:left="567" w:hanging="567"/>
        <w:rPr>
          <w:sz w:val="24"/>
          <w:szCs w:val="24"/>
          <w:lang w:val="lv-LV"/>
        </w:rPr>
      </w:pPr>
      <w:r w:rsidRPr="00AC3E73">
        <w:rPr>
          <w:rStyle w:val="FootnoteReference"/>
          <w:sz w:val="24"/>
          <w:szCs w:val="24"/>
          <w:lang w:val="lv-LV"/>
        </w:rPr>
        <w:footnoteRef/>
      </w:r>
      <w:r w:rsidRPr="00AC3E73" w:rsidR="00AC3E73">
        <w:rPr>
          <w:i/>
          <w:iCs/>
          <w:sz w:val="24"/>
          <w:lang w:val="lv-LV"/>
        </w:rPr>
        <w:t xml:space="preserve"> </w:t>
      </w:r>
      <w:r w:rsidRPr="00AC3E73" w:rsidR="00AC3E73">
        <w:rPr>
          <w:i/>
          <w:iCs/>
          <w:sz w:val="24"/>
          <w:lang w:val="lv-LV"/>
        </w:rPr>
        <w:tab/>
      </w:r>
      <w:r w:rsidRPr="001A6C2D" w:rsidR="00D638E1">
        <w:rPr>
          <w:sz w:val="24"/>
          <w:szCs w:val="24"/>
          <w:lang w:val="da-DK"/>
        </w:rPr>
        <w:t>OV C, C/2026/1969, 28.4.2026., ELI: </w:t>
      </w:r>
      <w:hyperlink r:id="rId1" w:history="1">
        <w:r w:rsidRPr="001A6C2D" w:rsidR="00D638E1">
          <w:rPr>
            <w:rStyle w:val="Hyperlink"/>
            <w:lang w:val="da-DK"/>
          </w:rPr>
          <w:t>http://data.europa.eu/eli/C/2026/1969/oj</w:t>
        </w:r>
      </w:hyperlink>
      <w:r w:rsidRPr="00D638E1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2FC5DE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5BDAC6A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3E73" w14:paraId="4470A5A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9913714">
    <w:abstractNumId w:val="9"/>
  </w:num>
  <w:num w:numId="2" w16cid:durableId="1787773018">
    <w:abstractNumId w:val="9"/>
  </w:num>
  <w:num w:numId="3" w16cid:durableId="779178313">
    <w:abstractNumId w:val="7"/>
  </w:num>
  <w:num w:numId="4" w16cid:durableId="342627800">
    <w:abstractNumId w:val="7"/>
  </w:num>
  <w:num w:numId="5" w16cid:durableId="1360275219">
    <w:abstractNumId w:val="6"/>
  </w:num>
  <w:num w:numId="6" w16cid:durableId="1317489175">
    <w:abstractNumId w:val="6"/>
  </w:num>
  <w:num w:numId="7" w16cid:durableId="1766530413">
    <w:abstractNumId w:val="5"/>
  </w:num>
  <w:num w:numId="8" w16cid:durableId="1203522869">
    <w:abstractNumId w:val="5"/>
  </w:num>
  <w:num w:numId="9" w16cid:durableId="105083542">
    <w:abstractNumId w:val="4"/>
  </w:num>
  <w:num w:numId="10" w16cid:durableId="1930579710">
    <w:abstractNumId w:val="4"/>
  </w:num>
  <w:num w:numId="11" w16cid:durableId="1813937155">
    <w:abstractNumId w:val="8"/>
  </w:num>
  <w:num w:numId="12" w16cid:durableId="592667842">
    <w:abstractNumId w:val="8"/>
  </w:num>
  <w:num w:numId="13" w16cid:durableId="360908471">
    <w:abstractNumId w:val="3"/>
  </w:num>
  <w:num w:numId="14" w16cid:durableId="1542476917">
    <w:abstractNumId w:val="3"/>
  </w:num>
  <w:num w:numId="15" w16cid:durableId="1642297956">
    <w:abstractNumId w:val="2"/>
  </w:num>
  <w:num w:numId="16" w16cid:durableId="1530951458">
    <w:abstractNumId w:val="2"/>
  </w:num>
  <w:num w:numId="17" w16cid:durableId="1434202760">
    <w:abstractNumId w:val="1"/>
  </w:num>
  <w:num w:numId="18" w16cid:durableId="1371799981">
    <w:abstractNumId w:val="1"/>
  </w:num>
  <w:num w:numId="19" w16cid:durableId="779109683">
    <w:abstractNumId w:val="0"/>
  </w:num>
  <w:num w:numId="20" w16cid:durableId="1763914356">
    <w:abstractNumId w:val="0"/>
  </w:num>
  <w:num w:numId="21" w16cid:durableId="1382171796">
    <w:abstractNumId w:val="9"/>
  </w:num>
  <w:num w:numId="22" w16cid:durableId="1489056096">
    <w:abstractNumId w:val="7"/>
  </w:num>
  <w:num w:numId="23" w16cid:durableId="1663007333">
    <w:abstractNumId w:val="6"/>
  </w:num>
  <w:num w:numId="24" w16cid:durableId="193537855">
    <w:abstractNumId w:val="5"/>
  </w:num>
  <w:num w:numId="25" w16cid:durableId="1130561939">
    <w:abstractNumId w:val="4"/>
  </w:num>
  <w:num w:numId="26" w16cid:durableId="1200435475">
    <w:abstractNumId w:val="8"/>
  </w:num>
  <w:num w:numId="27" w16cid:durableId="73863777">
    <w:abstractNumId w:val="3"/>
  </w:num>
  <w:num w:numId="28" w16cid:durableId="1433894305">
    <w:abstractNumId w:val="2"/>
  </w:num>
  <w:num w:numId="29" w16cid:durableId="779766514">
    <w:abstractNumId w:val="1"/>
  </w:num>
  <w:num w:numId="30" w16cid:durableId="554004793">
    <w:abstractNumId w:val="0"/>
  </w:num>
  <w:num w:numId="31" w16cid:durableId="1749962987">
    <w:abstractNumId w:val="9"/>
  </w:num>
  <w:num w:numId="32" w16cid:durableId="1549872214">
    <w:abstractNumId w:val="7"/>
  </w:num>
  <w:num w:numId="33" w16cid:durableId="205410278">
    <w:abstractNumId w:val="6"/>
  </w:num>
  <w:num w:numId="34" w16cid:durableId="538588385">
    <w:abstractNumId w:val="5"/>
  </w:num>
  <w:num w:numId="35" w16cid:durableId="745542072">
    <w:abstractNumId w:val="4"/>
  </w:num>
  <w:num w:numId="36" w16cid:durableId="1276600072">
    <w:abstractNumId w:val="8"/>
  </w:num>
  <w:num w:numId="37" w16cid:durableId="696541045">
    <w:abstractNumId w:val="3"/>
  </w:num>
  <w:num w:numId="38" w16cid:durableId="868684304">
    <w:abstractNumId w:val="2"/>
  </w:num>
  <w:num w:numId="39" w16cid:durableId="368918943">
    <w:abstractNumId w:val="1"/>
  </w:num>
  <w:num w:numId="40" w16cid:durableId="814302503">
    <w:abstractNumId w:val="0"/>
  </w:num>
  <w:num w:numId="41" w16cid:durableId="383452285">
    <w:abstractNumId w:val="10"/>
  </w:num>
  <w:num w:numId="42" w16cid:durableId="1982691022">
    <w:abstractNumId w:val="10"/>
  </w:num>
  <w:num w:numId="43" w16cid:durableId="1806509786">
    <w:abstractNumId w:val="10"/>
  </w:num>
  <w:num w:numId="44" w16cid:durableId="17733522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B87"/>
    <w:rsid w:val="001A6C2D"/>
    <w:rsid w:val="001F32AE"/>
    <w:rsid w:val="002767FF"/>
    <w:rsid w:val="002B18FE"/>
    <w:rsid w:val="002B5493"/>
    <w:rsid w:val="00343214"/>
    <w:rsid w:val="00361C00"/>
    <w:rsid w:val="00393B1C"/>
    <w:rsid w:val="00395FA1"/>
    <w:rsid w:val="003E15D4"/>
    <w:rsid w:val="003E6639"/>
    <w:rsid w:val="00411CCE"/>
    <w:rsid w:val="0041666E"/>
    <w:rsid w:val="00421060"/>
    <w:rsid w:val="0043540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0AC"/>
    <w:rsid w:val="00731ADD"/>
    <w:rsid w:val="00734777"/>
    <w:rsid w:val="00747932"/>
    <w:rsid w:val="00751A4A"/>
    <w:rsid w:val="00756632"/>
    <w:rsid w:val="00762C74"/>
    <w:rsid w:val="00786EC0"/>
    <w:rsid w:val="007B12F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BB4"/>
    <w:rsid w:val="00A1687D"/>
    <w:rsid w:val="00A43E52"/>
    <w:rsid w:val="00A4678D"/>
    <w:rsid w:val="00A778C7"/>
    <w:rsid w:val="00AB441E"/>
    <w:rsid w:val="00AB6293"/>
    <w:rsid w:val="00AC3E7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D3D"/>
    <w:rsid w:val="00C61C0C"/>
    <w:rsid w:val="00C941CB"/>
    <w:rsid w:val="00CB61A3"/>
    <w:rsid w:val="00CC2357"/>
    <w:rsid w:val="00CF071A"/>
    <w:rsid w:val="00D058B8"/>
    <w:rsid w:val="00D56C11"/>
    <w:rsid w:val="00D638E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059"/>
    <w:rsid w:val="00F149E9"/>
    <w:rsid w:val="00F5134D"/>
    <w:rsid w:val="00F70966"/>
    <w:rsid w:val="00F74202"/>
    <w:rsid w:val="00F87713"/>
    <w:rsid w:val="00FB4360"/>
    <w:rsid w:val="00FD0C70"/>
  </w:rsids>
  <w:docVars>
    <w:docVar w:name="dvdocse" w:val="A10-0094/2026"/>
    <w:docVar w:name="dvlangue" w:val="LV"/>
    <w:docVar w:name="dvnumam" w:val="0"/>
    <w:docVar w:name="dvpe" w:val="786.759"/>
    <w:docVar w:name="dvrapporteur" w:val="Referents: "/>
    <w:docVar w:name="dvstar" w:val="***I"/>
    <w:docVar w:name="dvtitre" w:val="Eiropas Parlamenta 2026. gada XX. XXX normatīvā rezolūcija par priekšlikumu Eiropas Parlamenta un Padomes regulai, ar ko attiecībā uz dažu datu aizsardzības periodu pagarināšanu groza Regulu (ES) Nr. 528/2012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A2E9D4"/>
  <w15:chartTrackingRefBased/>
  <w15:docId w15:val="{8BA6468F-3E05-4940-B7F7-C6B0C77F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6B87"/>
    <w:pPr>
      <w:spacing w:before="480" w:after="240"/>
    </w:pPr>
  </w:style>
  <w:style w:type="paragraph" w:customStyle="1" w:styleId="NormalBold">
    <w:name w:val="NormalBold"/>
    <w:basedOn w:val="Normal"/>
    <w:rsid w:val="00196B87"/>
    <w:rPr>
      <w:b/>
    </w:rPr>
  </w:style>
  <w:style w:type="paragraph" w:customStyle="1" w:styleId="NormalBold12a">
    <w:name w:val="NormalBold12a"/>
    <w:basedOn w:val="Normal"/>
    <w:rsid w:val="00196B8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96B8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82BB4"/>
    <w:rPr>
      <w:sz w:val="24"/>
      <w:lang w:val="lv-LV"/>
    </w:rPr>
  </w:style>
  <w:style w:type="character" w:styleId="Hyperlink">
    <w:name w:val="Hyperlink"/>
    <w:rsid w:val="0043540D"/>
    <w:rPr>
      <w:color w:val="0000FF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43540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43540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3540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3540D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3540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3540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3540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3540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3540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3540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3540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3540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Normal12Hanging">
    <w:name w:val="Normal12Hanging"/>
    <w:basedOn w:val="Normal"/>
    <w:link w:val="Normal12HangingChar"/>
    <w:rsid w:val="0043540D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43540D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2026-08-26T08:52:00Z</dcterms:created>
  <dcterms:modified xsi:type="dcterms:W3CDTF">2026-08-26T08:52:00Z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