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5D8B0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4D71" w:rsidP="0010095E" w14:paraId="4165E4F5" w14:textId="77777777">
            <w:pPr>
              <w:pStyle w:val="EPName"/>
            </w:pPr>
            <w:r w:rsidRPr="001D4D71">
              <w:t>Evropski parlament</w:t>
            </w:r>
          </w:p>
          <w:p w:rsidR="00751A4A" w:rsidRPr="001D4D71" w:rsidP="005F1B17" w14:paraId="7D0D750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4D71">
              <w:t>2024</w:t>
            </w:r>
            <w:r w:rsidRPr="001D4D71" w:rsidR="00817416">
              <w:t>-202</w:t>
            </w:r>
            <w:r w:rsidRPr="001D4D7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D4D71" w:rsidP="0010095E" w14:paraId="084F6836" w14:textId="77777777">
            <w:pPr>
              <w:pStyle w:val="EPLogo"/>
            </w:pPr>
            <w:r w:rsidRPr="001D4D7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4D71" w:rsidP="004C5D52" w14:paraId="44AA5F5C" w14:textId="77777777">
      <w:pPr>
        <w:pStyle w:val="LineTop"/>
      </w:pPr>
    </w:p>
    <w:p w:rsidR="00680577" w:rsidRPr="001D4D71" w:rsidP="00680577" w14:paraId="57191686" w14:textId="77777777">
      <w:pPr>
        <w:pStyle w:val="EPBodyTA1"/>
      </w:pPr>
      <w:r w:rsidRPr="001D4D71">
        <w:t>SPREJETA BESEDILA</w:t>
      </w:r>
    </w:p>
    <w:p w:rsidR="00D058B8" w:rsidRPr="001D4D71" w:rsidP="00D058B8" w14:paraId="7882052B" w14:textId="77777777">
      <w:pPr>
        <w:pStyle w:val="LineBottom"/>
      </w:pPr>
    </w:p>
    <w:p w:rsidR="00E54F2A" w:rsidRPr="001D4D71" w:rsidP="00E54F2A" w14:paraId="2F0D3171" w14:textId="2CE04923">
      <w:pPr>
        <w:pStyle w:val="ATHeading1"/>
      </w:pPr>
      <w:bookmarkStart w:id="0" w:name="TANumber"/>
      <w:r w:rsidRPr="001D4D71">
        <w:t>P10_TA(2026)</w:t>
      </w:r>
      <w:bookmarkEnd w:id="0"/>
      <w:r w:rsidRPr="001D4D71" w:rsidR="00B00FF4">
        <w:t>0117</w:t>
      </w:r>
    </w:p>
    <w:p w:rsidR="00E54F2A" w:rsidRPr="001D4D71" w:rsidP="00E54F2A" w14:paraId="282E8868" w14:textId="77777777">
      <w:pPr>
        <w:pStyle w:val="ATHeading2"/>
      </w:pPr>
      <w:bookmarkStart w:id="1" w:name="title"/>
      <w:r w:rsidRPr="001D4D71">
        <w:t xml:space="preserve">Sprememba uredbe o </w:t>
      </w:r>
      <w:r w:rsidRPr="001D4D71">
        <w:t>biocidnih</w:t>
      </w:r>
      <w:r w:rsidRPr="001D4D71">
        <w:t xml:space="preserve"> proizvodih glede podaljšanja nekaterih obdobij varstva podatkov</w:t>
      </w:r>
      <w:bookmarkEnd w:id="1"/>
    </w:p>
    <w:p w:rsidR="00E54F2A" w:rsidRPr="001D4D71" w:rsidP="00E54F2A" w14:paraId="1C33B4C8" w14:textId="77777777">
      <w:pPr>
        <w:rPr>
          <w:i/>
          <w:vanish/>
        </w:rPr>
      </w:pPr>
      <w:r>
        <w:rPr>
          <w:i/>
        </w:rPr>
        <w:fldChar w:fldCharType="begin"/>
      </w:r>
      <w:r w:rsidRPr="001D4D71">
        <w:rPr>
          <w:i/>
        </w:rPr>
        <w:instrText xml:space="preserve"> TC"(</w:instrText>
      </w:r>
      <w:bookmarkStart w:id="2" w:name="DocNumber"/>
      <w:r w:rsidRPr="001D4D71">
        <w:rPr>
          <w:i/>
        </w:rPr>
        <w:instrText>A10-0094/2026</w:instrText>
      </w:r>
      <w:bookmarkEnd w:id="2"/>
      <w:r w:rsidRPr="001D4D71">
        <w:rPr>
          <w:i/>
        </w:rPr>
        <w:instrText xml:space="preserve"> - Poročevalec: </w:instrText>
      </w:r>
      <w:r w:rsidRPr="001D4D71">
        <w:rPr>
          <w:i/>
        </w:rPr>
        <w:instrText>Pierfrancesco</w:instrText>
      </w:r>
      <w:r w:rsidRPr="001D4D71">
        <w:rPr>
          <w:i/>
        </w:rPr>
        <w:instrText xml:space="preserve"> Maran)"\l3 \n&gt; \* MERGEFORMAT </w:instrText>
      </w:r>
      <w:r>
        <w:rPr>
          <w:i/>
        </w:rPr>
        <w:fldChar w:fldCharType="end"/>
      </w:r>
    </w:p>
    <w:p w:rsidR="00E54F2A" w:rsidRPr="001D4D71" w:rsidP="00E54F2A" w14:paraId="06AB1C93" w14:textId="77777777">
      <w:pPr>
        <w:rPr>
          <w:vanish/>
        </w:rPr>
      </w:pPr>
      <w:bookmarkStart w:id="3" w:name="Commission"/>
      <w:r w:rsidRPr="001D4D71">
        <w:rPr>
          <w:vanish/>
        </w:rPr>
        <w:t>Odbor za okolje, podnebje in varnost hrane</w:t>
      </w:r>
      <w:bookmarkEnd w:id="3"/>
    </w:p>
    <w:p w:rsidR="00E54F2A" w:rsidRPr="001D4D71" w:rsidP="00E54F2A" w14:paraId="6D73E48E" w14:textId="77777777">
      <w:pPr>
        <w:rPr>
          <w:vanish/>
        </w:rPr>
      </w:pPr>
      <w:bookmarkStart w:id="4" w:name="PE"/>
      <w:r w:rsidRPr="001D4D71">
        <w:rPr>
          <w:vanish/>
        </w:rPr>
        <w:t>PE786.759</w:t>
      </w:r>
      <w:bookmarkEnd w:id="4"/>
    </w:p>
    <w:p w:rsidR="00E54F2A" w:rsidRPr="001D4D71" w:rsidP="00E54F2A" w14:paraId="1213FB6C" w14:textId="4A98C533">
      <w:pPr>
        <w:pStyle w:val="ATHeading3"/>
      </w:pPr>
      <w:bookmarkStart w:id="5" w:name="Sujet"/>
      <w:r w:rsidRPr="001D4D71">
        <w:t xml:space="preserve">Zakonodajna resolucija Evropskega parlamenta z dne </w:t>
      </w:r>
      <w:r w:rsidRPr="001D4D71" w:rsidR="003C275F">
        <w:t>28</w:t>
      </w:r>
      <w:r w:rsidRPr="001D4D71">
        <w:t>.</w:t>
      </w:r>
      <w:r w:rsidRPr="001D4D71" w:rsidR="00BE467B">
        <w:t> </w:t>
      </w:r>
      <w:r w:rsidRPr="001D4D71">
        <w:t>aprila 2026 o predlogu uredbe Evropskega parlamenta in Sveta o spremembi Uredbe (EU) št. 528/2012 glede podaljšanja nekaterih obdobij varstva podatkov</w:t>
      </w:r>
      <w:bookmarkEnd w:id="5"/>
      <w:r w:rsidRPr="001D4D71">
        <w:t xml:space="preserve"> </w:t>
      </w:r>
      <w:bookmarkStart w:id="6" w:name="References"/>
      <w:r w:rsidRPr="001D4D71">
        <w:t>(COM(2025)1020 – C10-0362/2025 – 2025/0408(COD))</w:t>
      </w:r>
      <w:bookmarkEnd w:id="6"/>
    </w:p>
    <w:p w:rsidR="00E54F2A" w:rsidRPr="001D4D71" w:rsidP="00E54F2A" w14:paraId="23A11E00" w14:textId="77777777"/>
    <w:p w:rsidR="006A5D18" w:rsidRPr="001D4D71" w:rsidP="006A5D18" w14:paraId="47795CCB" w14:textId="77777777">
      <w:pPr>
        <w:pStyle w:val="NormalBold"/>
      </w:pPr>
      <w:bookmarkStart w:id="7" w:name="TextBodyBegin"/>
      <w:bookmarkEnd w:id="7"/>
      <w:r w:rsidRPr="001D4D71">
        <w:t>(Redni zakonodajni postopek: prva obravnava)</w:t>
      </w:r>
    </w:p>
    <w:p w:rsidR="006A5D18" w:rsidRPr="001D4D71" w:rsidP="006A5D18" w14:paraId="15E9A334" w14:textId="77777777">
      <w:pPr>
        <w:pStyle w:val="EPComma"/>
      </w:pPr>
      <w:r w:rsidRPr="001D4D71">
        <w:rPr>
          <w:i/>
        </w:rPr>
        <w:t>Evropski parlament</w:t>
      </w:r>
      <w:r w:rsidRPr="001D4D71">
        <w:t>,</w:t>
      </w:r>
    </w:p>
    <w:p w:rsidR="006A5D18" w:rsidRPr="001D4D71" w:rsidP="006A5D18" w14:paraId="3F26B1FF" w14:textId="77777777">
      <w:pPr>
        <w:pStyle w:val="NormalHanging12a"/>
      </w:pPr>
      <w:r w:rsidRPr="001D4D71">
        <w:t>–</w:t>
      </w:r>
      <w:r w:rsidRPr="001D4D71">
        <w:tab/>
        <w:t>ob upoštevanju predloga Komisije Evropskemu parlamentu in Svetu (COM(2025)1020),</w:t>
      </w:r>
    </w:p>
    <w:p w:rsidR="006A5D18" w:rsidRPr="001D4D71" w:rsidP="006A5D18" w14:paraId="4A874EA4" w14:textId="51B8A56D">
      <w:pPr>
        <w:pStyle w:val="NormalHanging12a"/>
      </w:pPr>
      <w:r w:rsidRPr="001D4D71">
        <w:t>–</w:t>
      </w:r>
      <w:r w:rsidRPr="001D4D71">
        <w:tab/>
        <w:t>ob upoštevanju člena 294(2) in člena 114 Pogodbe o delovanju Evropske unije, na podlagi katerih je Komisija podala predlog Parlamentu (C10</w:t>
      </w:r>
      <w:r w:rsidRPr="001D4D71" w:rsidR="00BE467B">
        <w:t>-</w:t>
      </w:r>
      <w:r w:rsidRPr="001D4D71">
        <w:t>0362/2025),</w:t>
      </w:r>
    </w:p>
    <w:p w:rsidR="006A5D18" w:rsidRPr="001D4D71" w:rsidP="006A5D18" w14:paraId="43E0BC99" w14:textId="77777777">
      <w:pPr>
        <w:pStyle w:val="NormalHanging12a"/>
      </w:pPr>
      <w:r w:rsidRPr="001D4D71">
        <w:t>–</w:t>
      </w:r>
      <w:r w:rsidRPr="001D4D71">
        <w:tab/>
        <w:t>ob upoštevanju člena 294(3) Pogodbe o delovanju Evropske unije,</w:t>
      </w:r>
    </w:p>
    <w:p w:rsidR="006A5D18" w:rsidRPr="001D4D71" w:rsidP="006A5D18" w14:paraId="1FB01D50" w14:textId="77777777">
      <w:pPr>
        <w:pStyle w:val="NormalHanging12a"/>
      </w:pPr>
      <w:r w:rsidRPr="001D4D71">
        <w:t>–</w:t>
      </w:r>
      <w:r w:rsidRPr="001D4D71">
        <w:tab/>
        <w:t>ob upoštevanju mnenja Evropskega ekonomsko-socialnega odbora z dne 21. januarja 2026</w:t>
      </w:r>
      <w:r>
        <w:rPr>
          <w:rStyle w:val="FootnoteReference"/>
        </w:rPr>
        <w:footnoteReference w:id="2"/>
      </w:r>
      <w:r w:rsidRPr="001D4D71">
        <w:t>,</w:t>
      </w:r>
    </w:p>
    <w:p w:rsidR="006A5D18" w:rsidRPr="001D4D71" w:rsidP="006A5D18" w14:paraId="426156D6" w14:textId="77777777">
      <w:pPr>
        <w:pStyle w:val="NormalHanging12a"/>
      </w:pPr>
      <w:r w:rsidRPr="001D4D71">
        <w:t>–</w:t>
      </w:r>
      <w:r w:rsidRPr="001D4D71">
        <w:tab/>
        <w:t>ob upoštevanju člena 60 Poslovnika,</w:t>
      </w:r>
    </w:p>
    <w:p w:rsidR="006A5D18" w:rsidRPr="001D4D71" w:rsidP="006A5D18" w14:paraId="2B4D223D" w14:textId="5F5147CF">
      <w:pPr>
        <w:pStyle w:val="NormalHanging12a"/>
      </w:pPr>
      <w:r w:rsidRPr="001D4D71">
        <w:t>–</w:t>
      </w:r>
      <w:r w:rsidRPr="001D4D71">
        <w:tab/>
        <w:t>ob upoštevanju poročila Odbora za okolje, podnebje in varnost hrane (A10</w:t>
      </w:r>
      <w:r w:rsidRPr="001D4D71" w:rsidR="00BE467B">
        <w:t>-</w:t>
      </w:r>
      <w:r w:rsidRPr="001D4D71">
        <w:t>0094/2026),</w:t>
      </w:r>
    </w:p>
    <w:p w:rsidR="006A5D18" w:rsidRPr="001D4D71" w:rsidP="006A5D18" w14:paraId="49275779" w14:textId="44A4C447">
      <w:pPr>
        <w:pStyle w:val="NormalHanging12a"/>
      </w:pPr>
      <w:r w:rsidRPr="001D4D71">
        <w:t>1.</w:t>
      </w:r>
      <w:r w:rsidRPr="001D4D71">
        <w:tab/>
      </w:r>
      <w:r w:rsidRPr="001D4D71" w:rsidR="003C275F">
        <w:t>sprejme stališče v prvi obravnavi, kakor je določeno v nadaljevanju;</w:t>
      </w:r>
    </w:p>
    <w:p w:rsidR="006A5D18" w:rsidRPr="001D4D71" w:rsidP="006A5D18" w14:paraId="0553AA95" w14:textId="77777777">
      <w:pPr>
        <w:pStyle w:val="NormalHanging12a"/>
      </w:pPr>
      <w:r w:rsidRPr="001D4D71">
        <w:t>2.</w:t>
      </w:r>
      <w:r w:rsidRPr="001D4D71">
        <w:tab/>
        <w:t>poziva Komisijo, naj mu zadevo ponovno predloži, če svoj predlog nadomesti, ga bistveno spremeni ali ga namerava bistveno spremeniti;</w:t>
      </w:r>
    </w:p>
    <w:p w:rsidR="003C275F" w:rsidRPr="001D4D71" w:rsidP="001338A3" w14:paraId="71413CEF" w14:textId="36335B2E">
      <w:pPr>
        <w:ind w:left="567" w:hanging="567"/>
        <w:sectPr w:rsidSect="004343B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D4D71">
        <w:t>3.</w:t>
      </w:r>
      <w:r w:rsidRPr="001D4D71">
        <w:tab/>
        <w:t>naroči svoji predsednici, naj stališče Parlamenta posreduje Svetu</w:t>
      </w:r>
      <w:r w:rsidRPr="001D4D71" w:rsidR="00C059FC">
        <w:t>,</w:t>
      </w:r>
      <w:r w:rsidRPr="001D4D71">
        <w:t xml:space="preserve"> Komisiji </w:t>
      </w:r>
      <w:r w:rsidRPr="001D4D71" w:rsidR="00C059FC">
        <w:t>in</w:t>
      </w:r>
      <w:r w:rsidRPr="001D4D71">
        <w:t xml:space="preserve"> nacionalnim parlamentom.</w:t>
      </w:r>
    </w:p>
    <w:p w:rsidR="003C275F" w:rsidRPr="001D4D71" w:rsidP="003C275F" w14:paraId="0A374D52" w14:textId="0D6E5C61">
      <w:pPr>
        <w:spacing w:after="240"/>
        <w:rPr>
          <w:b/>
        </w:rPr>
      </w:pPr>
      <w:r w:rsidRPr="001D4D71">
        <w:rPr>
          <w:b/>
        </w:rPr>
        <w:t>P10_TC1-COD(2025)0408</w:t>
      </w:r>
    </w:p>
    <w:p w:rsidR="00C059FC" w:rsidP="00C059FC" w14:paraId="6D54AA76" w14:textId="7FA0071A">
      <w:pPr>
        <w:spacing w:after="200"/>
        <w:rPr>
          <w:rFonts w:eastAsia="Calibri"/>
          <w:b/>
          <w:szCs w:val="22"/>
          <w:lang w:eastAsia="en-US"/>
        </w:rPr>
      </w:pPr>
      <w:r w:rsidRPr="001D4D71">
        <w:rPr>
          <w:b/>
        </w:rPr>
        <w:t xml:space="preserve">Stališče Evropskega parlamenta, sprejeto v prvi obravnavi 28. aprila 2026 z namenom sprejetja Uredbe (EU) 2026/... Evropskega parlamenta in Sveta </w:t>
      </w:r>
      <w:r w:rsidRPr="001D4D71">
        <w:rPr>
          <w:rFonts w:eastAsia="Calibri"/>
          <w:b/>
          <w:szCs w:val="22"/>
          <w:lang w:eastAsia="en-US"/>
        </w:rPr>
        <w:t>o spremembi Uredbe (EU) št. 528/2012 glede podaljšanja nekaterih obdobij varstva podatkov</w:t>
      </w:r>
    </w:p>
    <w:p w:rsidR="00C804AC" w:rsidRPr="001D4D71" w:rsidP="00C059FC" w14:paraId="26A50C60" w14:textId="1CA5652D">
      <w:pPr>
        <w:spacing w:after="200"/>
        <w:rPr>
          <w:rFonts w:eastAsia="Calibri"/>
          <w:b/>
          <w:szCs w:val="22"/>
          <w:lang w:eastAsia="en-US"/>
        </w:rPr>
      </w:pPr>
      <w:r>
        <w:rPr>
          <w:rFonts w:eastAsia="Calibri"/>
          <w:bCs/>
          <w:i/>
          <w:iCs/>
          <w:color w:val="000000"/>
          <w:szCs w:val="22"/>
          <w:lang w:eastAsia="en-US"/>
        </w:rPr>
        <w:t>(Ker je bil dosežen sporazum med Parlamentom in Svetom, je stališče Parlamenta enako končnemu zakonodajnemu aktu, Uredbi (EU) 2026/11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65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Sect="004343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54F2A" w:rsidRPr="004343BD" w14:paraId="429E37F0" w14:textId="77777777">
      <w:r w:rsidRPr="004343BD">
        <w:separator/>
      </w:r>
    </w:p>
  </w:footnote>
  <w:footnote w:type="continuationSeparator" w:id="1">
    <w:p w:rsidR="00E54F2A" w:rsidRPr="004343BD" w14:paraId="63055ECC" w14:textId="77777777">
      <w:r w:rsidRPr="004343BD">
        <w:continuationSeparator/>
      </w:r>
    </w:p>
  </w:footnote>
  <w:footnote w:id="2">
    <w:p w:rsidR="006A5D18" w:rsidRPr="00B6080E" w:rsidP="004343BD" w14:paraId="719BC22E" w14:textId="086110D6">
      <w:pPr>
        <w:pStyle w:val="FootnoteText"/>
        <w:ind w:left="567" w:hanging="567"/>
        <w:rPr>
          <w:sz w:val="24"/>
          <w:szCs w:val="24"/>
          <w:lang w:val="sl-SI"/>
        </w:rPr>
      </w:pPr>
      <w:r w:rsidRPr="00B6080E">
        <w:rPr>
          <w:rStyle w:val="FootnoteReference"/>
          <w:sz w:val="24"/>
          <w:szCs w:val="24"/>
          <w:lang w:val="sl-SI"/>
        </w:rPr>
        <w:footnoteRef/>
      </w:r>
      <w:r w:rsidRPr="00B6080E" w:rsidR="004343BD">
        <w:rPr>
          <w:sz w:val="24"/>
          <w:szCs w:val="24"/>
          <w:lang w:val="sl-SI"/>
        </w:rPr>
        <w:tab/>
      </w:r>
      <w:r w:rsidR="00EF3523">
        <w:rPr>
          <w:sz w:val="24"/>
          <w:szCs w:val="24"/>
          <w:lang w:val="sl-SI"/>
        </w:rPr>
        <w:t>UL</w:t>
      </w:r>
      <w:r w:rsidRPr="00EF3523" w:rsidR="00EF3523">
        <w:rPr>
          <w:sz w:val="24"/>
          <w:szCs w:val="24"/>
          <w:lang w:val="sl-SI"/>
        </w:rPr>
        <w:t xml:space="preserve"> C, C/2026/1969, 28.4.2026, ELI: </w:t>
      </w:r>
      <w:hyperlink r:id="rId1" w:history="1">
        <w:r w:rsidRPr="00EF3523" w:rsidR="00EF3523">
          <w:rPr>
            <w:rStyle w:val="Hyperlink"/>
            <w:sz w:val="24"/>
            <w:szCs w:val="24"/>
            <w:lang w:val="sl-SI"/>
          </w:rPr>
          <w:t>http://data.europa.eu/eli/C/2026/1969/oj</w:t>
        </w:r>
      </w:hyperlink>
      <w:r w:rsidRPr="00EF3523" w:rsidR="00EF3523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2721307">
    <w:abstractNumId w:val="9"/>
  </w:num>
  <w:num w:numId="2" w16cid:durableId="84039358">
    <w:abstractNumId w:val="9"/>
  </w:num>
  <w:num w:numId="3" w16cid:durableId="1681081542">
    <w:abstractNumId w:val="7"/>
  </w:num>
  <w:num w:numId="4" w16cid:durableId="1251234095">
    <w:abstractNumId w:val="7"/>
  </w:num>
  <w:num w:numId="5" w16cid:durableId="1611930996">
    <w:abstractNumId w:val="6"/>
  </w:num>
  <w:num w:numId="6" w16cid:durableId="1363632417">
    <w:abstractNumId w:val="6"/>
  </w:num>
  <w:num w:numId="7" w16cid:durableId="1613127884">
    <w:abstractNumId w:val="5"/>
  </w:num>
  <w:num w:numId="8" w16cid:durableId="1791849942">
    <w:abstractNumId w:val="5"/>
  </w:num>
  <w:num w:numId="9" w16cid:durableId="960234679">
    <w:abstractNumId w:val="4"/>
  </w:num>
  <w:num w:numId="10" w16cid:durableId="1295450551">
    <w:abstractNumId w:val="4"/>
  </w:num>
  <w:num w:numId="11" w16cid:durableId="404109798">
    <w:abstractNumId w:val="8"/>
  </w:num>
  <w:num w:numId="12" w16cid:durableId="804274277">
    <w:abstractNumId w:val="8"/>
  </w:num>
  <w:num w:numId="13" w16cid:durableId="1493064297">
    <w:abstractNumId w:val="3"/>
  </w:num>
  <w:num w:numId="14" w16cid:durableId="1094783096">
    <w:abstractNumId w:val="3"/>
  </w:num>
  <w:num w:numId="15" w16cid:durableId="1822426298">
    <w:abstractNumId w:val="2"/>
  </w:num>
  <w:num w:numId="16" w16cid:durableId="35352987">
    <w:abstractNumId w:val="2"/>
  </w:num>
  <w:num w:numId="17" w16cid:durableId="40593903">
    <w:abstractNumId w:val="1"/>
  </w:num>
  <w:num w:numId="18" w16cid:durableId="810557945">
    <w:abstractNumId w:val="1"/>
  </w:num>
  <w:num w:numId="19" w16cid:durableId="1500803693">
    <w:abstractNumId w:val="0"/>
  </w:num>
  <w:num w:numId="20" w16cid:durableId="327636443">
    <w:abstractNumId w:val="0"/>
  </w:num>
  <w:num w:numId="21" w16cid:durableId="191961929">
    <w:abstractNumId w:val="9"/>
  </w:num>
  <w:num w:numId="22" w16cid:durableId="396589980">
    <w:abstractNumId w:val="7"/>
  </w:num>
  <w:num w:numId="23" w16cid:durableId="1263338751">
    <w:abstractNumId w:val="6"/>
  </w:num>
  <w:num w:numId="24" w16cid:durableId="138885961">
    <w:abstractNumId w:val="5"/>
  </w:num>
  <w:num w:numId="25" w16cid:durableId="2028754574">
    <w:abstractNumId w:val="4"/>
  </w:num>
  <w:num w:numId="26" w16cid:durableId="830873535">
    <w:abstractNumId w:val="8"/>
  </w:num>
  <w:num w:numId="27" w16cid:durableId="114296577">
    <w:abstractNumId w:val="3"/>
  </w:num>
  <w:num w:numId="28" w16cid:durableId="572161314">
    <w:abstractNumId w:val="2"/>
  </w:num>
  <w:num w:numId="29" w16cid:durableId="1555265604">
    <w:abstractNumId w:val="1"/>
  </w:num>
  <w:num w:numId="30" w16cid:durableId="216861785">
    <w:abstractNumId w:val="0"/>
  </w:num>
  <w:num w:numId="31" w16cid:durableId="1266966023">
    <w:abstractNumId w:val="9"/>
  </w:num>
  <w:num w:numId="32" w16cid:durableId="555506291">
    <w:abstractNumId w:val="7"/>
  </w:num>
  <w:num w:numId="33" w16cid:durableId="1872181903">
    <w:abstractNumId w:val="6"/>
  </w:num>
  <w:num w:numId="34" w16cid:durableId="359265">
    <w:abstractNumId w:val="5"/>
  </w:num>
  <w:num w:numId="35" w16cid:durableId="2092307467">
    <w:abstractNumId w:val="4"/>
  </w:num>
  <w:num w:numId="36" w16cid:durableId="1180238949">
    <w:abstractNumId w:val="8"/>
  </w:num>
  <w:num w:numId="37" w16cid:durableId="1090547807">
    <w:abstractNumId w:val="3"/>
  </w:num>
  <w:num w:numId="38" w16cid:durableId="395931054">
    <w:abstractNumId w:val="2"/>
  </w:num>
  <w:num w:numId="39" w16cid:durableId="1649703162">
    <w:abstractNumId w:val="1"/>
  </w:num>
  <w:num w:numId="40" w16cid:durableId="2118090701">
    <w:abstractNumId w:val="0"/>
  </w:num>
  <w:num w:numId="41" w16cid:durableId="2026245835">
    <w:abstractNumId w:val="10"/>
  </w:num>
  <w:num w:numId="42" w16cid:durableId="1201287783">
    <w:abstractNumId w:val="10"/>
  </w:num>
  <w:num w:numId="43" w16cid:durableId="1218202217">
    <w:abstractNumId w:val="10"/>
  </w:num>
  <w:num w:numId="44" w16cid:durableId="264001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2A"/>
    <w:rsid w:val="00002272"/>
    <w:rsid w:val="00064002"/>
    <w:rsid w:val="000677B9"/>
    <w:rsid w:val="000831BA"/>
    <w:rsid w:val="000A42CC"/>
    <w:rsid w:val="000E7DD9"/>
    <w:rsid w:val="0010095E"/>
    <w:rsid w:val="00125B37"/>
    <w:rsid w:val="001338A3"/>
    <w:rsid w:val="00187494"/>
    <w:rsid w:val="00196086"/>
    <w:rsid w:val="001D4D71"/>
    <w:rsid w:val="001F32AE"/>
    <w:rsid w:val="002767FF"/>
    <w:rsid w:val="002B18FE"/>
    <w:rsid w:val="002B5493"/>
    <w:rsid w:val="00343214"/>
    <w:rsid w:val="00361C00"/>
    <w:rsid w:val="00395FA1"/>
    <w:rsid w:val="003C275F"/>
    <w:rsid w:val="003E15D4"/>
    <w:rsid w:val="00411CCE"/>
    <w:rsid w:val="0041666E"/>
    <w:rsid w:val="00421060"/>
    <w:rsid w:val="004343B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619"/>
    <w:rsid w:val="005C2568"/>
    <w:rsid w:val="005F1B17"/>
    <w:rsid w:val="006037C0"/>
    <w:rsid w:val="006631B6"/>
    <w:rsid w:val="00680577"/>
    <w:rsid w:val="006A124B"/>
    <w:rsid w:val="006A5D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A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EB2"/>
    <w:rsid w:val="00A778C7"/>
    <w:rsid w:val="00AB441E"/>
    <w:rsid w:val="00AB6293"/>
    <w:rsid w:val="00AE0928"/>
    <w:rsid w:val="00AF3B82"/>
    <w:rsid w:val="00B00FF4"/>
    <w:rsid w:val="00B12E95"/>
    <w:rsid w:val="00B22876"/>
    <w:rsid w:val="00B558F0"/>
    <w:rsid w:val="00B6080E"/>
    <w:rsid w:val="00BD48FE"/>
    <w:rsid w:val="00BD7BD8"/>
    <w:rsid w:val="00BE467B"/>
    <w:rsid w:val="00BE6ADC"/>
    <w:rsid w:val="00C059FC"/>
    <w:rsid w:val="00C05BFE"/>
    <w:rsid w:val="00C23CD4"/>
    <w:rsid w:val="00C61C0C"/>
    <w:rsid w:val="00C804A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184"/>
    <w:rsid w:val="00E365E1"/>
    <w:rsid w:val="00E54F2A"/>
    <w:rsid w:val="00E820A4"/>
    <w:rsid w:val="00EB006A"/>
    <w:rsid w:val="00EB4772"/>
    <w:rsid w:val="00ED169E"/>
    <w:rsid w:val="00ED4235"/>
    <w:rsid w:val="00EF3523"/>
    <w:rsid w:val="00F04346"/>
    <w:rsid w:val="00F075DC"/>
    <w:rsid w:val="00F149E9"/>
    <w:rsid w:val="00F40A8E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SL"/>
    <w:docVar w:name="dvnumam" w:val="0"/>
    <w:docVar w:name="dvpe" w:val="786.759"/>
    <w:docVar w:name="dvrapporteur" w:val="Poročevalec: "/>
    <w:docVar w:name="dvstar" w:val="***I"/>
    <w:docVar w:name="dvtitre" w:val="Zakonodajna resolucija Evropskega parlamenta z dne xx. aprila 2026 o predlogu uredbe Evropskega parlamenta in Sveta o spremembi Uredbe (EU) št. 528/2012 glede podaljšanja nekaterih obdobij varstva podatkov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ED9B48"/>
  <w15:chartTrackingRefBased/>
  <w15:docId w15:val="{0EA3E0ED-53AC-42B0-9F75-2A7AEE50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5D18"/>
    <w:pPr>
      <w:spacing w:before="480" w:after="240"/>
    </w:pPr>
  </w:style>
  <w:style w:type="paragraph" w:customStyle="1" w:styleId="NormalBold">
    <w:name w:val="NormalBold"/>
    <w:basedOn w:val="Normal"/>
    <w:rsid w:val="006A5D18"/>
    <w:rPr>
      <w:b/>
    </w:rPr>
  </w:style>
  <w:style w:type="paragraph" w:customStyle="1" w:styleId="NormalHanging12a">
    <w:name w:val="NormalHanging12a"/>
    <w:basedOn w:val="Normal"/>
    <w:rsid w:val="006A5D1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C275F"/>
    <w:rPr>
      <w:sz w:val="24"/>
      <w:lang w:val="sl-SI"/>
    </w:rPr>
  </w:style>
  <w:style w:type="character" w:styleId="Hyperlink">
    <w:name w:val="Hyperlink"/>
    <w:uiPriority w:val="99"/>
    <w:rsid w:val="00C059FC"/>
    <w:rPr>
      <w:color w:val="0000FF"/>
      <w:u w:val="single"/>
    </w:rPr>
  </w:style>
  <w:style w:type="character" w:styleId="CommentReference">
    <w:name w:val="annotation reference"/>
    <w:basedOn w:val="DefaultParagraphFont"/>
    <w:rsid w:val="00C059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59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59F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C059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59FC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C059F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B608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6080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2026-09-02T13:49:00Z</dcterms:created>
  <dcterms:modified xsi:type="dcterms:W3CDTF">2026-09-02T13:49:00Z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