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6E122D81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8A3EF1" w:rsidP="0010095E" w14:paraId="2F2BDA52" w14:textId="77777777">
            <w:pPr>
              <w:pStyle w:val="EPName"/>
            </w:pPr>
            <w:r w:rsidRPr="008A3EF1">
              <w:t>European Parliament</w:t>
            </w:r>
          </w:p>
          <w:p w:rsidR="00751A4A" w:rsidRPr="008A3EF1" w:rsidP="005F1B17" w14:paraId="40633E2D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A3EF1">
              <w:t>2024</w:t>
            </w:r>
            <w:r w:rsidRPr="008A3EF1" w:rsidR="00817416">
              <w:t>-202</w:t>
            </w:r>
            <w:r w:rsidRPr="008A3EF1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8A3EF1" w:rsidP="0010095E" w14:paraId="3A551BA4" w14:textId="77777777">
            <w:pPr>
              <w:pStyle w:val="EPLogo"/>
            </w:pPr>
            <w:r w:rsidRPr="008A3EF1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8A3EF1" w:rsidP="004C5D52" w14:paraId="4A68A047" w14:textId="77777777">
      <w:pPr>
        <w:pStyle w:val="LineTop"/>
      </w:pPr>
    </w:p>
    <w:p w:rsidR="00680577" w:rsidRPr="008A3EF1" w:rsidP="00680577" w14:paraId="2AD9ABB8" w14:textId="77777777">
      <w:pPr>
        <w:pStyle w:val="EPBodyTA1"/>
      </w:pPr>
      <w:r w:rsidRPr="008A3EF1">
        <w:t>TEXTS ADOPTED</w:t>
      </w:r>
    </w:p>
    <w:p w:rsidR="00D058B8" w:rsidRPr="008A3EF1" w:rsidP="00D058B8" w14:paraId="7B9D8935" w14:textId="77777777">
      <w:pPr>
        <w:pStyle w:val="LineBottom"/>
      </w:pPr>
    </w:p>
    <w:p w:rsidR="00763B7B" w:rsidRPr="008A3EF1" w:rsidP="00763B7B" w14:paraId="65A5AE83" w14:textId="14851338">
      <w:pPr>
        <w:pStyle w:val="ATHeading1"/>
      </w:pPr>
      <w:bookmarkStart w:id="0" w:name="TANumber"/>
      <w:r w:rsidRPr="008A3EF1">
        <w:t>P10_TA(2026)</w:t>
      </w:r>
      <w:bookmarkEnd w:id="0"/>
      <w:r w:rsidR="002B29F5">
        <w:t>0118</w:t>
      </w:r>
    </w:p>
    <w:p w:rsidR="00763B7B" w:rsidRPr="008A3EF1" w:rsidP="00763B7B" w14:paraId="2024C5F6" w14:textId="77777777">
      <w:pPr>
        <w:pStyle w:val="ATHeading2"/>
      </w:pPr>
      <w:bookmarkStart w:id="1" w:name="title"/>
      <w:r w:rsidRPr="008A3EF1">
        <w:t>Amendments to Parliament's Rules of Procedure concerning appointments to Union agencies and bodies (Rule 135)</w:t>
      </w:r>
      <w:bookmarkEnd w:id="1"/>
    </w:p>
    <w:p w:rsidR="00763B7B" w:rsidRPr="008A3EF1" w:rsidP="00763B7B" w14:paraId="3DCB3733" w14:textId="77777777">
      <w:pPr>
        <w:rPr>
          <w:i/>
          <w:vanish/>
        </w:rPr>
      </w:pPr>
      <w:r>
        <w:rPr>
          <w:i/>
        </w:rPr>
        <w:fldChar w:fldCharType="begin"/>
      </w:r>
      <w:r w:rsidRPr="008A3EF1">
        <w:rPr>
          <w:i/>
        </w:rPr>
        <w:instrText xml:space="preserve"> TC"(</w:instrText>
      </w:r>
      <w:bookmarkStart w:id="2" w:name="DocNumber"/>
      <w:r w:rsidRPr="008A3EF1">
        <w:rPr>
          <w:i/>
        </w:rPr>
        <w:instrText>A10-0064/2026</w:instrText>
      </w:r>
      <w:bookmarkEnd w:id="2"/>
      <w:r w:rsidRPr="008A3EF1">
        <w:rPr>
          <w:i/>
        </w:rPr>
        <w:instrText xml:space="preserve"> - Rapporteur: Sven Simon)"\l3 \n&gt; \* MERGEFORMAT </w:instrText>
      </w:r>
      <w:r>
        <w:rPr>
          <w:i/>
        </w:rPr>
        <w:fldChar w:fldCharType="end"/>
      </w:r>
    </w:p>
    <w:p w:rsidR="00763B7B" w:rsidRPr="008A3EF1" w:rsidP="00763B7B" w14:paraId="38116849" w14:textId="77777777">
      <w:pPr>
        <w:rPr>
          <w:vanish/>
        </w:rPr>
      </w:pPr>
      <w:bookmarkStart w:id="3" w:name="Commission"/>
      <w:r w:rsidRPr="008A3EF1">
        <w:rPr>
          <w:vanish/>
        </w:rPr>
        <w:t>Committee on Constitutional Affairs</w:t>
      </w:r>
      <w:bookmarkEnd w:id="3"/>
    </w:p>
    <w:p w:rsidR="00763B7B" w:rsidRPr="008A3EF1" w:rsidP="00763B7B" w14:paraId="0EDA7A4F" w14:textId="77777777">
      <w:pPr>
        <w:rPr>
          <w:vanish/>
        </w:rPr>
      </w:pPr>
      <w:bookmarkStart w:id="4" w:name="PE"/>
      <w:r w:rsidRPr="008A3EF1">
        <w:rPr>
          <w:vanish/>
        </w:rPr>
        <w:t>PE781.408</w:t>
      </w:r>
      <w:bookmarkEnd w:id="4"/>
    </w:p>
    <w:p w:rsidR="00763B7B" w:rsidRPr="008A3EF1" w:rsidP="00763B7B" w14:paraId="6E92EE9B" w14:textId="348F1703">
      <w:pPr>
        <w:pStyle w:val="ATHeading3"/>
      </w:pPr>
      <w:bookmarkStart w:id="5" w:name="Sujet"/>
      <w:r w:rsidRPr="008A3EF1">
        <w:t xml:space="preserve">European Parliament decision of </w:t>
      </w:r>
      <w:r w:rsidRPr="008A3EF1" w:rsidR="008A3EF1">
        <w:t>28</w:t>
      </w:r>
      <w:r w:rsidRPr="008A3EF1">
        <w:t xml:space="preserve"> April 2026 on amendments to Parliament's Rules of Procedure concerning appointments to Union agencies and bodies (Rule 135)</w:t>
      </w:r>
      <w:bookmarkEnd w:id="5"/>
      <w:r w:rsidRPr="008A3EF1">
        <w:t xml:space="preserve"> </w:t>
      </w:r>
      <w:bookmarkStart w:id="6" w:name="References"/>
      <w:r w:rsidRPr="008A3EF1">
        <w:t>(2025/2262(REG))</w:t>
      </w:r>
      <w:bookmarkEnd w:id="6"/>
    </w:p>
    <w:p w:rsidR="00B25059" w:rsidRPr="008A3EF1" w:rsidP="00B25059" w14:paraId="17CE5CA1" w14:textId="77777777">
      <w:pPr>
        <w:pStyle w:val="EPComma"/>
      </w:pPr>
      <w:bookmarkStart w:id="7" w:name="TextBodyBegin"/>
      <w:bookmarkEnd w:id="7"/>
      <w:r w:rsidRPr="008A3EF1">
        <w:rPr>
          <w:i/>
        </w:rPr>
        <w:t>The European Parliament</w:t>
      </w:r>
      <w:r w:rsidRPr="008A3EF1">
        <w:t>,</w:t>
      </w:r>
    </w:p>
    <w:p w:rsidR="00B25059" w:rsidRPr="008A3EF1" w:rsidP="000518FB" w14:paraId="62C43E64" w14:textId="77777777">
      <w:pPr>
        <w:pStyle w:val="NormalHanging12a"/>
        <w:widowControl/>
      </w:pPr>
      <w:r w:rsidRPr="008A3EF1">
        <w:t>–</w:t>
      </w:r>
      <w:r w:rsidRPr="008A3EF1">
        <w:tab/>
        <w:t>having regard to the letter from its President of 7 November 2025,</w:t>
      </w:r>
    </w:p>
    <w:p w:rsidR="00B25059" w:rsidRPr="008A3EF1" w:rsidP="000518FB" w14:paraId="1D9A5B1F" w14:textId="77777777">
      <w:pPr>
        <w:pStyle w:val="NormalHanging12a"/>
        <w:widowControl/>
      </w:pPr>
      <w:r w:rsidRPr="008A3EF1">
        <w:t>–</w:t>
      </w:r>
      <w:r w:rsidRPr="008A3EF1">
        <w:tab/>
        <w:t>having regard to Rules 242 and 243 of its Rules of Procedure,</w:t>
      </w:r>
    </w:p>
    <w:p w:rsidR="00B25059" w:rsidRPr="008A3EF1" w:rsidP="000518FB" w14:paraId="45A6711A" w14:textId="77777777">
      <w:pPr>
        <w:pStyle w:val="NormalHanging12a"/>
        <w:widowControl/>
      </w:pPr>
      <w:r w:rsidRPr="008A3EF1">
        <w:t>–</w:t>
      </w:r>
      <w:r w:rsidRPr="008A3EF1">
        <w:tab/>
        <w:t>having regard to the report of the Committee on Constitutional Affairs (A10-0064/2026),</w:t>
      </w:r>
    </w:p>
    <w:p w:rsidR="00B25059" w:rsidRPr="008A3EF1" w:rsidP="000518FB" w14:paraId="1D4DDF2B" w14:textId="77777777">
      <w:pPr>
        <w:pStyle w:val="NormalHanging12a"/>
        <w:widowControl/>
      </w:pPr>
      <w:r w:rsidRPr="008A3EF1">
        <w:t>1.</w:t>
      </w:r>
      <w:r w:rsidRPr="008A3EF1">
        <w:tab/>
        <w:t xml:space="preserve">Decides to amend its Rules of Procedure as shown </w:t>
      </w:r>
      <w:r w:rsidRPr="008A3EF1">
        <w:t>below;</w:t>
      </w:r>
    </w:p>
    <w:p w:rsidR="00B25059" w:rsidRPr="008A3EF1" w:rsidP="000518FB" w14:paraId="4F773D9A" w14:textId="77777777">
      <w:pPr>
        <w:pStyle w:val="NormalHanging12a"/>
        <w:widowControl/>
      </w:pPr>
      <w:bookmarkStart w:id="8" w:name="_Hlk216707647"/>
      <w:r w:rsidRPr="008A3EF1">
        <w:t>2.</w:t>
      </w:r>
      <w:r w:rsidRPr="008A3EF1">
        <w:tab/>
        <w:t>Points out that the amendments will enter into force on the first day of the next part-</w:t>
      </w:r>
      <w:r w:rsidRPr="008A3EF1">
        <w:t>session;</w:t>
      </w:r>
      <w:bookmarkEnd w:id="8"/>
    </w:p>
    <w:p w:rsidR="00B25059" w:rsidRPr="008A3EF1" w:rsidP="000518FB" w14:paraId="2C8313A4" w14:textId="77777777">
      <w:pPr>
        <w:pStyle w:val="NormalHanging12a"/>
        <w:widowControl/>
      </w:pPr>
      <w:r w:rsidRPr="008A3EF1">
        <w:t>3.</w:t>
      </w:r>
      <w:r w:rsidRPr="008A3EF1">
        <w:tab/>
        <w:t>Instructs its President to forward this decision to the Council and the Commission, for information.</w:t>
      </w:r>
    </w:p>
    <w:p w:rsidR="00B25059" w:rsidRPr="008A3EF1" w:rsidP="00B25059" w14:paraId="3B953420" w14:textId="77777777">
      <w:pPr>
        <w:pStyle w:val="NormalHanging12a"/>
      </w:pPr>
    </w:p>
    <w:p w:rsidR="00B25059" w:rsidRPr="008A3EF1" w:rsidP="00B25059" w14:paraId="65FD7648" w14:textId="77777777">
      <w:pPr>
        <w:pStyle w:val="NormalHanging12a"/>
      </w:pPr>
    </w:p>
    <w:p w:rsidR="00B25059" w:rsidRPr="008A3EF1" w:rsidP="00B25059" w14:paraId="47AF8D02" w14:textId="77777777">
      <w:pPr>
        <w:pStyle w:val="AmNumberTabs"/>
        <w:keepNext/>
      </w:pPr>
      <w:r w:rsidRPr="008A3EF1">
        <w:t>Amendment</w:t>
      </w:r>
      <w:r w:rsidRPr="008A3EF1">
        <w:tab/>
      </w:r>
      <w:r w:rsidRPr="008A3EF1">
        <w:tab/>
        <w:t>1</w:t>
      </w:r>
    </w:p>
    <w:p w:rsidR="00B25059" w:rsidRPr="008A3EF1" w:rsidP="00B25059" w14:paraId="34C1724C" w14:textId="77777777">
      <w:pPr>
        <w:pStyle w:val="NormalBold12b"/>
        <w:keepNext/>
      </w:pPr>
      <w:r w:rsidRPr="008A3EF1">
        <w:t>Parliament's Rules of Procedure</w:t>
      </w:r>
    </w:p>
    <w:p w:rsidR="00B25059" w:rsidRPr="008A3EF1" w:rsidP="00B25059" w14:paraId="7C4AAF03" w14:textId="77777777">
      <w:pPr>
        <w:pStyle w:val="NormalBold"/>
      </w:pPr>
      <w:r w:rsidRPr="008A3EF1">
        <w:t>Rule 135 – title</w:t>
      </w:r>
    </w:p>
    <w:tbl>
      <w:tblPr>
        <w:tblW w:w="9752" w:type="dxa"/>
        <w:jc w:val="center"/>
        <w:tblLayout w:type="fixed"/>
        <w:tblCellMar>
          <w:left w:w="340" w:type="dxa"/>
          <w:right w:w="340" w:type="dxa"/>
        </w:tblCellMar>
        <w:tblLook w:val="0000"/>
      </w:tblPr>
      <w:tblGrid>
        <w:gridCol w:w="4876"/>
        <w:gridCol w:w="4876"/>
      </w:tblGrid>
      <w:tr w14:paraId="39A6B433" w14:textId="77777777" w:rsidTr="00E966EA">
        <w:tblPrEx>
          <w:tblW w:w="9752" w:type="dxa"/>
          <w:jc w:val="center"/>
          <w:tblLayout w:type="fixed"/>
          <w:tblLook w:val="0000"/>
        </w:tblPrEx>
        <w:trPr>
          <w:jc w:val="center"/>
        </w:trPr>
        <w:tc>
          <w:tcPr>
            <w:tcW w:w="9752" w:type="dxa"/>
            <w:gridSpan w:val="2"/>
          </w:tcPr>
          <w:p w:rsidR="00B25059" w:rsidRPr="008A3EF1" w:rsidP="00E966EA" w14:paraId="58290B63" w14:textId="77777777">
            <w:pPr>
              <w:keepNext/>
            </w:pPr>
          </w:p>
        </w:tc>
      </w:tr>
      <w:tr w14:paraId="58402439" w14:textId="77777777" w:rsidTr="00E966EA">
        <w:tblPrEx>
          <w:tblW w:w="9752" w:type="dxa"/>
          <w:jc w:val="center"/>
          <w:tblLayout w:type="fixed"/>
          <w:tblLook w:val="0000"/>
        </w:tblPrEx>
        <w:trPr>
          <w:jc w:val="center"/>
        </w:trPr>
        <w:tc>
          <w:tcPr>
            <w:tcW w:w="4876" w:type="dxa"/>
          </w:tcPr>
          <w:p w:rsidR="00B25059" w:rsidRPr="008A3EF1" w:rsidP="00E966EA" w14:paraId="4B5BDD32" w14:textId="77777777">
            <w:pPr>
              <w:pStyle w:val="AmColumnHeading"/>
              <w:keepNext/>
            </w:pPr>
            <w:r w:rsidRPr="008A3EF1">
              <w:t>Present text</w:t>
            </w:r>
          </w:p>
        </w:tc>
        <w:tc>
          <w:tcPr>
            <w:tcW w:w="4876" w:type="dxa"/>
          </w:tcPr>
          <w:p w:rsidR="00B25059" w:rsidRPr="008A3EF1" w:rsidP="00E966EA" w14:paraId="1E41AABF" w14:textId="77777777">
            <w:pPr>
              <w:pStyle w:val="AmColumnHeading"/>
              <w:keepNext/>
            </w:pPr>
            <w:r w:rsidRPr="008A3EF1">
              <w:t>Amendment</w:t>
            </w:r>
          </w:p>
        </w:tc>
      </w:tr>
      <w:tr w14:paraId="51FD857C" w14:textId="77777777" w:rsidTr="00E966EA">
        <w:tblPrEx>
          <w:tblW w:w="9752" w:type="dxa"/>
          <w:jc w:val="center"/>
          <w:tblLayout w:type="fixed"/>
          <w:tblLook w:val="0000"/>
        </w:tblPrEx>
        <w:trPr>
          <w:jc w:val="center"/>
        </w:trPr>
        <w:tc>
          <w:tcPr>
            <w:tcW w:w="4876" w:type="dxa"/>
          </w:tcPr>
          <w:p w:rsidR="00B25059" w:rsidRPr="008A3EF1" w:rsidP="00E966EA" w14:paraId="2FBA7972" w14:textId="77777777">
            <w:pPr>
              <w:pStyle w:val="Normal6a"/>
            </w:pPr>
            <w:r w:rsidRPr="008A3EF1">
              <w:rPr>
                <w:szCs w:val="24"/>
              </w:rPr>
              <w:t xml:space="preserve">Appointments to </w:t>
            </w:r>
            <w:r w:rsidRPr="008A3EF1">
              <w:rPr>
                <w:b/>
                <w:bCs/>
                <w:i/>
                <w:iCs/>
                <w:szCs w:val="24"/>
              </w:rPr>
              <w:t>the economic governance</w:t>
            </w:r>
            <w:r w:rsidRPr="008A3EF1">
              <w:rPr>
                <w:szCs w:val="24"/>
              </w:rPr>
              <w:t xml:space="preserve"> </w:t>
            </w:r>
            <w:r w:rsidRPr="008A3EF1">
              <w:rPr>
                <w:szCs w:val="24"/>
              </w:rPr>
              <w:t>bodies</w:t>
            </w:r>
          </w:p>
        </w:tc>
        <w:tc>
          <w:tcPr>
            <w:tcW w:w="4876" w:type="dxa"/>
          </w:tcPr>
          <w:p w:rsidR="00B25059" w:rsidRPr="008A3EF1" w:rsidP="00E966EA" w14:paraId="1FD1E2FB" w14:textId="77777777">
            <w:pPr>
              <w:pStyle w:val="Normal6a"/>
              <w:rPr>
                <w:szCs w:val="24"/>
              </w:rPr>
            </w:pPr>
            <w:r w:rsidRPr="008A3EF1">
              <w:t xml:space="preserve">Appointments to </w:t>
            </w:r>
            <w:r w:rsidRPr="008A3EF1">
              <w:rPr>
                <w:b/>
                <w:bCs/>
                <w:i/>
                <w:iCs/>
              </w:rPr>
              <w:t>Union agencies and</w:t>
            </w:r>
            <w:r w:rsidRPr="008A3EF1">
              <w:t xml:space="preserve"> </w:t>
            </w:r>
            <w:r w:rsidRPr="008A3EF1">
              <w:t>bodies</w:t>
            </w:r>
          </w:p>
        </w:tc>
      </w:tr>
    </w:tbl>
    <w:p w:rsidR="00B25059" w:rsidRPr="008A3EF1" w:rsidP="00B25059" w14:paraId="05F6B8C6" w14:textId="77777777"/>
    <w:p w:rsidR="00B25059" w:rsidRPr="008A3EF1" w:rsidP="00B25059" w14:paraId="651B256C" w14:textId="77777777">
      <w:pPr>
        <w:pStyle w:val="AmNumberTabs"/>
        <w:keepNext/>
      </w:pPr>
      <w:r w:rsidRPr="008A3EF1">
        <w:t>Amendment</w:t>
      </w:r>
      <w:r w:rsidRPr="008A3EF1">
        <w:tab/>
      </w:r>
      <w:r w:rsidRPr="008A3EF1">
        <w:tab/>
        <w:t>2</w:t>
      </w:r>
    </w:p>
    <w:p w:rsidR="00B25059" w:rsidRPr="008A3EF1" w:rsidP="00B25059" w14:paraId="5D77817D" w14:textId="77777777">
      <w:pPr>
        <w:pStyle w:val="NormalBold12b"/>
        <w:keepNext/>
      </w:pPr>
      <w:r w:rsidRPr="008A3EF1">
        <w:t>Parliament's Rules of Procedure</w:t>
      </w:r>
    </w:p>
    <w:p w:rsidR="00B25059" w:rsidRPr="008A3EF1" w:rsidP="00B25059" w14:paraId="4CAF8FC5" w14:textId="77777777">
      <w:pPr>
        <w:pStyle w:val="NormalBold"/>
      </w:pPr>
      <w:r w:rsidRPr="008A3EF1">
        <w:t>Rule 135 – paragraph 1</w:t>
      </w:r>
    </w:p>
    <w:tbl>
      <w:tblPr>
        <w:tblW w:w="9752" w:type="dxa"/>
        <w:jc w:val="center"/>
        <w:tblLayout w:type="fixed"/>
        <w:tblCellMar>
          <w:left w:w="340" w:type="dxa"/>
          <w:right w:w="340" w:type="dxa"/>
        </w:tblCellMar>
        <w:tblLook w:val="0000"/>
      </w:tblPr>
      <w:tblGrid>
        <w:gridCol w:w="4876"/>
        <w:gridCol w:w="4876"/>
      </w:tblGrid>
      <w:tr w14:paraId="490D7A0B" w14:textId="77777777" w:rsidTr="00E966EA">
        <w:tblPrEx>
          <w:tblW w:w="9752" w:type="dxa"/>
          <w:jc w:val="center"/>
          <w:tblLayout w:type="fixed"/>
          <w:tblLook w:val="0000"/>
        </w:tblPrEx>
        <w:trPr>
          <w:jc w:val="center"/>
        </w:trPr>
        <w:tc>
          <w:tcPr>
            <w:tcW w:w="9752" w:type="dxa"/>
            <w:gridSpan w:val="2"/>
          </w:tcPr>
          <w:p w:rsidR="00B25059" w:rsidRPr="008A3EF1" w:rsidP="00E966EA" w14:paraId="062B5FF9" w14:textId="77777777">
            <w:pPr>
              <w:keepNext/>
            </w:pPr>
          </w:p>
        </w:tc>
      </w:tr>
      <w:tr w14:paraId="0892B365" w14:textId="77777777" w:rsidTr="00E966EA">
        <w:tblPrEx>
          <w:tblW w:w="9752" w:type="dxa"/>
          <w:jc w:val="center"/>
          <w:tblLayout w:type="fixed"/>
          <w:tblLook w:val="0000"/>
        </w:tblPrEx>
        <w:trPr>
          <w:jc w:val="center"/>
        </w:trPr>
        <w:tc>
          <w:tcPr>
            <w:tcW w:w="4876" w:type="dxa"/>
          </w:tcPr>
          <w:p w:rsidR="00B25059" w:rsidRPr="008A3EF1" w:rsidP="00E966EA" w14:paraId="250FE6BE" w14:textId="77777777">
            <w:pPr>
              <w:pStyle w:val="AmColumnHeading"/>
              <w:keepNext/>
            </w:pPr>
            <w:r w:rsidRPr="008A3EF1">
              <w:t>Present text</w:t>
            </w:r>
          </w:p>
        </w:tc>
        <w:tc>
          <w:tcPr>
            <w:tcW w:w="4876" w:type="dxa"/>
          </w:tcPr>
          <w:p w:rsidR="00B25059" w:rsidRPr="008A3EF1" w:rsidP="00E966EA" w14:paraId="6E13CC54" w14:textId="77777777">
            <w:pPr>
              <w:pStyle w:val="AmColumnHeading"/>
              <w:keepNext/>
            </w:pPr>
            <w:r w:rsidRPr="008A3EF1">
              <w:t>Amendment</w:t>
            </w:r>
          </w:p>
        </w:tc>
      </w:tr>
      <w:tr w14:paraId="28014B2C" w14:textId="77777777" w:rsidTr="00E966EA">
        <w:tblPrEx>
          <w:tblW w:w="9752" w:type="dxa"/>
          <w:jc w:val="center"/>
          <w:tblLayout w:type="fixed"/>
          <w:tblLook w:val="0000"/>
        </w:tblPrEx>
        <w:trPr>
          <w:jc w:val="center"/>
        </w:trPr>
        <w:tc>
          <w:tcPr>
            <w:tcW w:w="4876" w:type="dxa"/>
          </w:tcPr>
          <w:p w:rsidR="00B25059" w:rsidRPr="008A3EF1" w:rsidP="00E966EA" w14:paraId="7EF8ED59" w14:textId="77777777">
            <w:pPr>
              <w:pStyle w:val="Normal6a"/>
              <w:rPr>
                <w:szCs w:val="24"/>
              </w:rPr>
            </w:pPr>
            <w:r w:rsidRPr="008A3EF1">
              <w:rPr>
                <w:szCs w:val="24"/>
              </w:rPr>
              <w:t xml:space="preserve">1. This Rule shall apply to </w:t>
            </w:r>
            <w:r w:rsidRPr="008A3EF1">
              <w:rPr>
                <w:b/>
                <w:bCs/>
                <w:i/>
                <w:iCs/>
                <w:szCs w:val="24"/>
              </w:rPr>
              <w:t>the</w:t>
            </w:r>
            <w:r w:rsidRPr="008A3EF1">
              <w:rPr>
                <w:szCs w:val="24"/>
              </w:rPr>
              <w:t xml:space="preserve"> </w:t>
            </w:r>
            <w:r w:rsidRPr="008A3EF1">
              <w:rPr>
                <w:b/>
                <w:bCs/>
                <w:i/>
                <w:iCs/>
                <w:szCs w:val="24"/>
              </w:rPr>
              <w:t xml:space="preserve">appointment </w:t>
            </w:r>
            <w:r w:rsidRPr="008A3EF1">
              <w:rPr>
                <w:szCs w:val="24"/>
              </w:rPr>
              <w:t>of:</w:t>
            </w:r>
          </w:p>
        </w:tc>
        <w:tc>
          <w:tcPr>
            <w:tcW w:w="4876" w:type="dxa"/>
          </w:tcPr>
          <w:p w:rsidR="00B25059" w:rsidRPr="008A3EF1" w:rsidP="00E966EA" w14:paraId="2EB6705C" w14:textId="77777777">
            <w:pPr>
              <w:pStyle w:val="Normal6a"/>
            </w:pPr>
            <w:r w:rsidRPr="008A3EF1">
              <w:rPr>
                <w:szCs w:val="24"/>
              </w:rPr>
              <w:t xml:space="preserve">1. This Rule shall apply to </w:t>
            </w:r>
            <w:r w:rsidRPr="008A3EF1">
              <w:rPr>
                <w:b/>
                <w:bCs/>
                <w:i/>
                <w:iCs/>
                <w:szCs w:val="24"/>
              </w:rPr>
              <w:t>appointments</w:t>
            </w:r>
            <w:r w:rsidRPr="008A3EF1">
              <w:rPr>
                <w:szCs w:val="24"/>
              </w:rPr>
              <w:t xml:space="preserve"> of</w:t>
            </w:r>
            <w:r w:rsidRPr="008A3EF1">
              <w:rPr>
                <w:b/>
                <w:bCs/>
                <w:i/>
                <w:iCs/>
              </w:rPr>
              <w:t xml:space="preserve"> Chairs, Vice-Chairs and members of the management boards of Union agencies and bodies, as well as to appointments to other positions in those agencies and bodies, where</w:t>
            </w:r>
            <w:r w:rsidRPr="008A3EF1">
              <w:t>:</w:t>
            </w:r>
          </w:p>
        </w:tc>
      </w:tr>
      <w:tr w14:paraId="07475E04" w14:textId="77777777" w:rsidTr="00E966EA">
        <w:tblPrEx>
          <w:tblW w:w="9752" w:type="dxa"/>
          <w:jc w:val="center"/>
          <w:tblLayout w:type="fixed"/>
          <w:tblLook w:val="0000"/>
        </w:tblPrEx>
        <w:trPr>
          <w:jc w:val="center"/>
        </w:trPr>
        <w:tc>
          <w:tcPr>
            <w:tcW w:w="4876" w:type="dxa"/>
          </w:tcPr>
          <w:p w:rsidR="00B25059" w:rsidRPr="008A3EF1" w:rsidP="00E966EA" w14:paraId="54AD90FA" w14:textId="77777777">
            <w:pPr>
              <w:pStyle w:val="Normal6a"/>
              <w:rPr>
                <w:szCs w:val="24"/>
              </w:rPr>
            </w:pPr>
            <w:r w:rsidRPr="008A3EF1">
              <w:rPr>
                <w:b/>
                <w:bCs/>
                <w:i/>
                <w:iCs/>
                <w:szCs w:val="24"/>
              </w:rPr>
              <w:t>– the Chair and the Vice-Chair of the Supervisory Board of the European Central Bank;</w:t>
            </w:r>
          </w:p>
        </w:tc>
        <w:tc>
          <w:tcPr>
            <w:tcW w:w="4876" w:type="dxa"/>
          </w:tcPr>
          <w:p w:rsidR="00B25059" w:rsidRPr="008A3EF1" w:rsidP="00E966EA" w14:paraId="219FB74A" w14:textId="77777777">
            <w:pPr>
              <w:pStyle w:val="Normal6a"/>
            </w:pPr>
          </w:p>
        </w:tc>
      </w:tr>
      <w:tr w14:paraId="60A8891B" w14:textId="77777777" w:rsidTr="00E966EA">
        <w:tblPrEx>
          <w:tblW w:w="9752" w:type="dxa"/>
          <w:jc w:val="center"/>
          <w:tblLayout w:type="fixed"/>
          <w:tblLook w:val="0000"/>
        </w:tblPrEx>
        <w:trPr>
          <w:jc w:val="center"/>
        </w:trPr>
        <w:tc>
          <w:tcPr>
            <w:tcW w:w="4876" w:type="dxa"/>
          </w:tcPr>
          <w:p w:rsidR="00B25059" w:rsidRPr="008A3EF1" w:rsidP="00E966EA" w14:paraId="57EE618B" w14:textId="77777777">
            <w:pPr>
              <w:pStyle w:val="Normal6a"/>
              <w:rPr>
                <w:szCs w:val="24"/>
              </w:rPr>
            </w:pPr>
            <w:r w:rsidRPr="008A3EF1">
              <w:rPr>
                <w:b/>
                <w:bCs/>
                <w:i/>
                <w:iCs/>
                <w:szCs w:val="24"/>
              </w:rPr>
              <w:t>– the Chair, the Vice-Chair and the full-time members of the Single Resolution Board of the Single Resolution Mechanism;</w:t>
            </w:r>
          </w:p>
        </w:tc>
        <w:tc>
          <w:tcPr>
            <w:tcW w:w="4876" w:type="dxa"/>
          </w:tcPr>
          <w:p w:rsidR="00B25059" w:rsidRPr="008A3EF1" w:rsidP="00E966EA" w14:paraId="6F210422" w14:textId="77777777">
            <w:pPr>
              <w:pStyle w:val="Normal6a"/>
            </w:pPr>
          </w:p>
        </w:tc>
      </w:tr>
      <w:tr w14:paraId="3EE0EAF0" w14:textId="77777777" w:rsidTr="00E966EA">
        <w:tblPrEx>
          <w:tblW w:w="9752" w:type="dxa"/>
          <w:jc w:val="center"/>
          <w:tblLayout w:type="fixed"/>
          <w:tblLook w:val="0000"/>
        </w:tblPrEx>
        <w:trPr>
          <w:jc w:val="center"/>
        </w:trPr>
        <w:tc>
          <w:tcPr>
            <w:tcW w:w="4876" w:type="dxa"/>
          </w:tcPr>
          <w:p w:rsidR="00B25059" w:rsidRPr="008A3EF1" w:rsidP="00E966EA" w14:paraId="3CA0BB48" w14:textId="77777777">
            <w:pPr>
              <w:pStyle w:val="Normal6a"/>
              <w:rPr>
                <w:szCs w:val="24"/>
              </w:rPr>
            </w:pPr>
            <w:r w:rsidRPr="008A3EF1">
              <w:rPr>
                <w:b/>
                <w:bCs/>
                <w:i/>
                <w:iCs/>
                <w:szCs w:val="24"/>
              </w:rPr>
              <w:t>– the Chairs and Executive Directors of the European Supervisory Authority (European Banking Authority, European Securities and Markets Authority, European Insurance and Occupational Pensions Authority); and</w:t>
            </w:r>
          </w:p>
        </w:tc>
        <w:tc>
          <w:tcPr>
            <w:tcW w:w="4876" w:type="dxa"/>
          </w:tcPr>
          <w:p w:rsidR="00B25059" w:rsidRPr="008A3EF1" w:rsidP="00E966EA" w14:paraId="7D3D9743" w14:textId="77777777">
            <w:pPr>
              <w:pStyle w:val="Normal6a"/>
            </w:pPr>
          </w:p>
        </w:tc>
      </w:tr>
      <w:tr w14:paraId="553447CE" w14:textId="77777777" w:rsidTr="00E966EA">
        <w:tblPrEx>
          <w:tblW w:w="9752" w:type="dxa"/>
          <w:jc w:val="center"/>
          <w:tblLayout w:type="fixed"/>
          <w:tblLook w:val="0000"/>
        </w:tblPrEx>
        <w:trPr>
          <w:jc w:val="center"/>
        </w:trPr>
        <w:tc>
          <w:tcPr>
            <w:tcW w:w="4876" w:type="dxa"/>
          </w:tcPr>
          <w:p w:rsidR="00B25059" w:rsidRPr="008A3EF1" w:rsidP="00E966EA" w14:paraId="55A1CDEE" w14:textId="77777777">
            <w:pPr>
              <w:pStyle w:val="Normal6a"/>
              <w:rPr>
                <w:szCs w:val="24"/>
              </w:rPr>
            </w:pPr>
            <w:r w:rsidRPr="008A3EF1">
              <w:rPr>
                <w:b/>
                <w:bCs/>
                <w:i/>
                <w:iCs/>
                <w:szCs w:val="24"/>
              </w:rPr>
              <w:t>– the Managing Director and Deputy Managing Director of the European Fund for Strategic Investments.</w:t>
            </w:r>
          </w:p>
        </w:tc>
        <w:tc>
          <w:tcPr>
            <w:tcW w:w="4876" w:type="dxa"/>
          </w:tcPr>
          <w:p w:rsidR="00B25059" w:rsidRPr="008A3EF1" w:rsidP="00E966EA" w14:paraId="3B660E02" w14:textId="77777777">
            <w:pPr>
              <w:pStyle w:val="Normal6a"/>
            </w:pPr>
          </w:p>
        </w:tc>
      </w:tr>
      <w:tr w14:paraId="75BDB0D8" w14:textId="77777777" w:rsidTr="00E966EA">
        <w:tblPrEx>
          <w:tblW w:w="9752" w:type="dxa"/>
          <w:jc w:val="center"/>
          <w:tblLayout w:type="fixed"/>
          <w:tblLook w:val="0000"/>
        </w:tblPrEx>
        <w:trPr>
          <w:jc w:val="center"/>
        </w:trPr>
        <w:tc>
          <w:tcPr>
            <w:tcW w:w="4876" w:type="dxa"/>
          </w:tcPr>
          <w:p w:rsidR="00B25059" w:rsidRPr="008A3EF1" w:rsidP="00E966EA" w14:paraId="51B384F3" w14:textId="77777777">
            <w:pPr>
              <w:pStyle w:val="Normal6a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4876" w:type="dxa"/>
          </w:tcPr>
          <w:p w:rsidR="00B25059" w:rsidRPr="008A3EF1" w:rsidP="00E966EA" w14:paraId="6F003352" w14:textId="77777777">
            <w:pPr>
              <w:pStyle w:val="Normal6a"/>
            </w:pPr>
            <w:r w:rsidRPr="008A3EF1">
              <w:rPr>
                <w:b/>
                <w:bCs/>
                <w:i/>
                <w:iCs/>
              </w:rPr>
              <w:t>– the Union agency or body is of a regulatory nature; and</w:t>
            </w:r>
          </w:p>
        </w:tc>
      </w:tr>
      <w:tr w14:paraId="6D300D39" w14:textId="77777777" w:rsidTr="00E966EA">
        <w:tblPrEx>
          <w:tblW w:w="9752" w:type="dxa"/>
          <w:jc w:val="center"/>
          <w:tblLayout w:type="fixed"/>
          <w:tblLook w:val="0000"/>
        </w:tblPrEx>
        <w:trPr>
          <w:jc w:val="center"/>
        </w:trPr>
        <w:tc>
          <w:tcPr>
            <w:tcW w:w="4876" w:type="dxa"/>
          </w:tcPr>
          <w:p w:rsidR="00B25059" w:rsidRPr="008A3EF1" w:rsidP="00E966EA" w14:paraId="09364994" w14:textId="77777777">
            <w:pPr>
              <w:pStyle w:val="Normal6a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4876" w:type="dxa"/>
          </w:tcPr>
          <w:p w:rsidR="00B25059" w:rsidRPr="008A3EF1" w:rsidP="00E966EA" w14:paraId="02B17708" w14:textId="77777777">
            <w:pPr>
              <w:pStyle w:val="Normal6a"/>
            </w:pPr>
            <w:r w:rsidRPr="008A3EF1">
              <w:rPr>
                <w:b/>
                <w:bCs/>
                <w:i/>
                <w:iCs/>
              </w:rPr>
              <w:t xml:space="preserve">– Parliament either has the power to </w:t>
            </w:r>
            <w:r w:rsidRPr="008A3EF1">
              <w:rPr>
                <w:b/>
                <w:bCs/>
                <w:i/>
                <w:iCs/>
              </w:rPr>
              <w:t>decide,</w:t>
            </w:r>
            <w:r w:rsidRPr="008A3EF1">
              <w:rPr>
                <w:b/>
                <w:bCs/>
                <w:i/>
                <w:iCs/>
              </w:rPr>
              <w:t xml:space="preserve"> on its own or by common accord with other institutions, on the appointment, or is requested to give its consent to the appointment.</w:t>
            </w:r>
          </w:p>
        </w:tc>
      </w:tr>
    </w:tbl>
    <w:p w:rsidR="00B25059" w:rsidRPr="008A3EF1" w:rsidP="00B25059" w14:paraId="67784110" w14:textId="77777777"/>
    <w:p w:rsidR="00B25059" w:rsidRPr="008A3EF1" w:rsidP="00B25059" w14:paraId="0B64EF3D" w14:textId="77777777">
      <w:pPr>
        <w:pStyle w:val="AmNumberTabs"/>
        <w:keepNext/>
      </w:pPr>
      <w:r w:rsidRPr="008A3EF1">
        <w:t>Amendment</w:t>
      </w:r>
      <w:r w:rsidRPr="008A3EF1">
        <w:tab/>
      </w:r>
      <w:r w:rsidRPr="008A3EF1">
        <w:tab/>
        <w:t>3</w:t>
      </w:r>
    </w:p>
    <w:p w:rsidR="00B25059" w:rsidRPr="008A3EF1" w:rsidP="00B25059" w14:paraId="3A3AA445" w14:textId="77777777">
      <w:pPr>
        <w:pStyle w:val="NormalBold12b"/>
        <w:keepNext/>
      </w:pPr>
      <w:r w:rsidRPr="008A3EF1">
        <w:t>Parliament's Rules of Procedure</w:t>
      </w:r>
    </w:p>
    <w:p w:rsidR="00B25059" w:rsidRPr="008A3EF1" w:rsidP="00B25059" w14:paraId="76BCABE0" w14:textId="77777777">
      <w:pPr>
        <w:pStyle w:val="NormalBold"/>
      </w:pPr>
      <w:r w:rsidRPr="008A3EF1">
        <w:t>Rule 135 – paragraph 1 a (new)</w:t>
      </w:r>
    </w:p>
    <w:tbl>
      <w:tblPr>
        <w:tblW w:w="9752" w:type="dxa"/>
        <w:jc w:val="center"/>
        <w:tblLayout w:type="fixed"/>
        <w:tblCellMar>
          <w:left w:w="340" w:type="dxa"/>
          <w:right w:w="340" w:type="dxa"/>
        </w:tblCellMar>
        <w:tblLook w:val="0000"/>
      </w:tblPr>
      <w:tblGrid>
        <w:gridCol w:w="4876"/>
        <w:gridCol w:w="4876"/>
      </w:tblGrid>
      <w:tr w14:paraId="7EA4478C" w14:textId="77777777" w:rsidTr="00E966EA">
        <w:tblPrEx>
          <w:tblW w:w="9752" w:type="dxa"/>
          <w:jc w:val="center"/>
          <w:tblLayout w:type="fixed"/>
          <w:tblLook w:val="0000"/>
        </w:tblPrEx>
        <w:trPr>
          <w:jc w:val="center"/>
        </w:trPr>
        <w:tc>
          <w:tcPr>
            <w:tcW w:w="9752" w:type="dxa"/>
            <w:gridSpan w:val="2"/>
          </w:tcPr>
          <w:p w:rsidR="00B25059" w:rsidRPr="008A3EF1" w:rsidP="00E966EA" w14:paraId="3F1AB526" w14:textId="77777777">
            <w:pPr>
              <w:keepNext/>
            </w:pPr>
          </w:p>
        </w:tc>
      </w:tr>
      <w:tr w14:paraId="330314DA" w14:textId="77777777" w:rsidTr="00E966EA">
        <w:tblPrEx>
          <w:tblW w:w="9752" w:type="dxa"/>
          <w:jc w:val="center"/>
          <w:tblLayout w:type="fixed"/>
          <w:tblLook w:val="0000"/>
        </w:tblPrEx>
        <w:trPr>
          <w:jc w:val="center"/>
        </w:trPr>
        <w:tc>
          <w:tcPr>
            <w:tcW w:w="4876" w:type="dxa"/>
          </w:tcPr>
          <w:p w:rsidR="00B25059" w:rsidRPr="008A3EF1" w:rsidP="00E966EA" w14:paraId="7F59B067" w14:textId="77777777">
            <w:pPr>
              <w:pStyle w:val="AmColumnHeading"/>
              <w:keepNext/>
            </w:pPr>
            <w:r w:rsidRPr="008A3EF1">
              <w:t>Present text</w:t>
            </w:r>
          </w:p>
        </w:tc>
        <w:tc>
          <w:tcPr>
            <w:tcW w:w="4876" w:type="dxa"/>
          </w:tcPr>
          <w:p w:rsidR="00B25059" w:rsidRPr="008A3EF1" w:rsidP="00E966EA" w14:paraId="2ED16B03" w14:textId="77777777">
            <w:pPr>
              <w:pStyle w:val="AmColumnHeading"/>
              <w:keepNext/>
            </w:pPr>
            <w:r w:rsidRPr="008A3EF1">
              <w:t>Amendment</w:t>
            </w:r>
          </w:p>
        </w:tc>
      </w:tr>
      <w:tr w14:paraId="34E888CC" w14:textId="77777777" w:rsidTr="00E966EA">
        <w:tblPrEx>
          <w:tblW w:w="9752" w:type="dxa"/>
          <w:jc w:val="center"/>
          <w:tblLayout w:type="fixed"/>
          <w:tblLook w:val="0000"/>
        </w:tblPrEx>
        <w:trPr>
          <w:jc w:val="center"/>
        </w:trPr>
        <w:tc>
          <w:tcPr>
            <w:tcW w:w="4876" w:type="dxa"/>
          </w:tcPr>
          <w:p w:rsidR="00B25059" w:rsidRPr="008A3EF1" w:rsidP="00E966EA" w14:paraId="1843C2F8" w14:textId="77777777">
            <w:pPr>
              <w:pStyle w:val="Normal6a"/>
              <w:rPr>
                <w:szCs w:val="24"/>
              </w:rPr>
            </w:pPr>
          </w:p>
        </w:tc>
        <w:tc>
          <w:tcPr>
            <w:tcW w:w="4876" w:type="dxa"/>
          </w:tcPr>
          <w:p w:rsidR="00B25059" w:rsidRPr="0087300E" w:rsidP="00E966EA" w14:paraId="7A9B5A6A" w14:textId="518C3791">
            <w:pPr>
              <w:pStyle w:val="Normal6a"/>
            </w:pPr>
            <w:r w:rsidRPr="008A3EF1">
              <w:rPr>
                <w:b/>
                <w:bCs/>
                <w:i/>
                <w:iCs/>
              </w:rPr>
              <w:t>1a. The committee responsible shall consider the propos</w:t>
            </w:r>
            <w:r w:rsidRPr="008A3EF1" w:rsidR="00895D3F">
              <w:rPr>
                <w:b/>
                <w:bCs/>
                <w:i/>
                <w:iCs/>
              </w:rPr>
              <w:t>al for</w:t>
            </w:r>
            <w:r w:rsidRPr="008A3EF1">
              <w:rPr>
                <w:b/>
                <w:bCs/>
                <w:i/>
                <w:iCs/>
              </w:rPr>
              <w:t xml:space="preserve"> appointment in accordance with implementing provisions laid down by the Conference of Presidents.</w:t>
            </w:r>
          </w:p>
        </w:tc>
      </w:tr>
    </w:tbl>
    <w:p w:rsidR="00E365E1" w:rsidRPr="0087300E" w:rsidP="00763B7B" w14:paraId="7B7AC25B" w14:textId="2134D44A"/>
    <w:sectPr w:rsidSect="008730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87300E" w14:paraId="606201A2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87300E" w14:paraId="41DB8806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87300E" w14:paraId="2680E38D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87300E" w14:paraId="2824CD90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87300E" w14:paraId="318095E2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87300E" w14:paraId="3818F31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288047555">
    <w:abstractNumId w:val="9"/>
  </w:num>
  <w:num w:numId="2" w16cid:durableId="201065211">
    <w:abstractNumId w:val="9"/>
  </w:num>
  <w:num w:numId="3" w16cid:durableId="830607370">
    <w:abstractNumId w:val="7"/>
  </w:num>
  <w:num w:numId="4" w16cid:durableId="694772895">
    <w:abstractNumId w:val="7"/>
  </w:num>
  <w:num w:numId="5" w16cid:durableId="276448268">
    <w:abstractNumId w:val="6"/>
  </w:num>
  <w:num w:numId="6" w16cid:durableId="716247338">
    <w:abstractNumId w:val="6"/>
  </w:num>
  <w:num w:numId="7" w16cid:durableId="482432123">
    <w:abstractNumId w:val="5"/>
  </w:num>
  <w:num w:numId="8" w16cid:durableId="541475982">
    <w:abstractNumId w:val="5"/>
  </w:num>
  <w:num w:numId="9" w16cid:durableId="1825928390">
    <w:abstractNumId w:val="4"/>
  </w:num>
  <w:num w:numId="10" w16cid:durableId="295843056">
    <w:abstractNumId w:val="4"/>
  </w:num>
  <w:num w:numId="11" w16cid:durableId="2058704682">
    <w:abstractNumId w:val="8"/>
  </w:num>
  <w:num w:numId="12" w16cid:durableId="616647788">
    <w:abstractNumId w:val="8"/>
  </w:num>
  <w:num w:numId="13" w16cid:durableId="1492287410">
    <w:abstractNumId w:val="3"/>
  </w:num>
  <w:num w:numId="14" w16cid:durableId="1953441911">
    <w:abstractNumId w:val="3"/>
  </w:num>
  <w:num w:numId="15" w16cid:durableId="479270894">
    <w:abstractNumId w:val="2"/>
  </w:num>
  <w:num w:numId="16" w16cid:durableId="1956407324">
    <w:abstractNumId w:val="2"/>
  </w:num>
  <w:num w:numId="17" w16cid:durableId="1069233296">
    <w:abstractNumId w:val="1"/>
  </w:num>
  <w:num w:numId="18" w16cid:durableId="1271208574">
    <w:abstractNumId w:val="1"/>
  </w:num>
  <w:num w:numId="19" w16cid:durableId="319506300">
    <w:abstractNumId w:val="0"/>
  </w:num>
  <w:num w:numId="20" w16cid:durableId="263729230">
    <w:abstractNumId w:val="0"/>
  </w:num>
  <w:num w:numId="21" w16cid:durableId="173345023">
    <w:abstractNumId w:val="9"/>
  </w:num>
  <w:num w:numId="22" w16cid:durableId="1447574926">
    <w:abstractNumId w:val="7"/>
  </w:num>
  <w:num w:numId="23" w16cid:durableId="241721113">
    <w:abstractNumId w:val="6"/>
  </w:num>
  <w:num w:numId="24" w16cid:durableId="1265846869">
    <w:abstractNumId w:val="5"/>
  </w:num>
  <w:num w:numId="25" w16cid:durableId="854147790">
    <w:abstractNumId w:val="4"/>
  </w:num>
  <w:num w:numId="26" w16cid:durableId="548808374">
    <w:abstractNumId w:val="8"/>
  </w:num>
  <w:num w:numId="27" w16cid:durableId="583807608">
    <w:abstractNumId w:val="3"/>
  </w:num>
  <w:num w:numId="28" w16cid:durableId="175964817">
    <w:abstractNumId w:val="2"/>
  </w:num>
  <w:num w:numId="29" w16cid:durableId="1549487053">
    <w:abstractNumId w:val="1"/>
  </w:num>
  <w:num w:numId="30" w16cid:durableId="707727510">
    <w:abstractNumId w:val="0"/>
  </w:num>
  <w:num w:numId="31" w16cid:durableId="674382182">
    <w:abstractNumId w:val="9"/>
  </w:num>
  <w:num w:numId="32" w16cid:durableId="291448048">
    <w:abstractNumId w:val="7"/>
  </w:num>
  <w:num w:numId="33" w16cid:durableId="277298147">
    <w:abstractNumId w:val="6"/>
  </w:num>
  <w:num w:numId="34" w16cid:durableId="1752501809">
    <w:abstractNumId w:val="5"/>
  </w:num>
  <w:num w:numId="35" w16cid:durableId="2041543210">
    <w:abstractNumId w:val="4"/>
  </w:num>
  <w:num w:numId="36" w16cid:durableId="547763222">
    <w:abstractNumId w:val="8"/>
  </w:num>
  <w:num w:numId="37" w16cid:durableId="755203194">
    <w:abstractNumId w:val="3"/>
  </w:num>
  <w:num w:numId="38" w16cid:durableId="311719446">
    <w:abstractNumId w:val="2"/>
  </w:num>
  <w:num w:numId="39" w16cid:durableId="52657742">
    <w:abstractNumId w:val="1"/>
  </w:num>
  <w:num w:numId="40" w16cid:durableId="53283428">
    <w:abstractNumId w:val="0"/>
  </w:num>
  <w:num w:numId="41" w16cid:durableId="380062933">
    <w:abstractNumId w:val="10"/>
  </w:num>
  <w:num w:numId="42" w16cid:durableId="542600341">
    <w:abstractNumId w:val="10"/>
  </w:num>
  <w:num w:numId="43" w16cid:durableId="775760006">
    <w:abstractNumId w:val="10"/>
  </w:num>
  <w:num w:numId="44" w16cid:durableId="2640707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B7B"/>
    <w:rsid w:val="00002272"/>
    <w:rsid w:val="000518FB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420FB"/>
    <w:rsid w:val="002767FF"/>
    <w:rsid w:val="002B18FE"/>
    <w:rsid w:val="002B29F5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63B7B"/>
    <w:rsid w:val="00786EC0"/>
    <w:rsid w:val="007D1690"/>
    <w:rsid w:val="007E22AD"/>
    <w:rsid w:val="00817416"/>
    <w:rsid w:val="00842779"/>
    <w:rsid w:val="00865F67"/>
    <w:rsid w:val="0087300E"/>
    <w:rsid w:val="00881A7B"/>
    <w:rsid w:val="008840E5"/>
    <w:rsid w:val="00887B3E"/>
    <w:rsid w:val="00895D3F"/>
    <w:rsid w:val="008A3EF1"/>
    <w:rsid w:val="008C2AC6"/>
    <w:rsid w:val="009135B1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25059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966EA"/>
    <w:rsid w:val="00EB006A"/>
    <w:rsid w:val="00EB4772"/>
    <w:rsid w:val="00ED169E"/>
    <w:rsid w:val="00ED4235"/>
    <w:rsid w:val="00F04346"/>
    <w:rsid w:val="00F075DC"/>
    <w:rsid w:val="00F149E9"/>
    <w:rsid w:val="00F510A5"/>
    <w:rsid w:val="00F5134D"/>
    <w:rsid w:val="00F74202"/>
    <w:rsid w:val="00F87713"/>
    <w:rsid w:val="00FB4360"/>
    <w:rsid w:val="00FD0C70"/>
  </w:rsids>
  <w:docVars>
    <w:docVar w:name="dvdocse" w:val="A10-0064/2026"/>
    <w:docVar w:name="dvlangue" w:val="EN"/>
    <w:docVar w:name="dvnumam" w:val="3"/>
    <w:docVar w:name="dvpe" w:val="781.408"/>
    <w:docVar w:name="dvrapporteur" w:val="Rapporteur: "/>
    <w:docVar w:name="dvtitre" w:val="European Parliament decision of xx April 2026 on amendments to Parliament's Rules of Procedure concerning appointments to Union agencies and bodies (Rule 135)(2025/2262(REG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9896B99"/>
  <w15:chartTrackingRefBased/>
  <w15:docId w15:val="{EAC1A5C5-C7C9-41C4-834C-87DD7A82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B25059"/>
    <w:pPr>
      <w:spacing w:before="480" w:after="240"/>
    </w:pPr>
  </w:style>
  <w:style w:type="paragraph" w:customStyle="1" w:styleId="Normal6a">
    <w:name w:val="Normal6a"/>
    <w:basedOn w:val="Normal"/>
    <w:rsid w:val="00B25059"/>
    <w:pPr>
      <w:spacing w:after="120"/>
    </w:pPr>
  </w:style>
  <w:style w:type="paragraph" w:customStyle="1" w:styleId="NormalBold">
    <w:name w:val="NormalBold"/>
    <w:basedOn w:val="Normal"/>
    <w:rsid w:val="00B25059"/>
    <w:rPr>
      <w:b/>
    </w:rPr>
  </w:style>
  <w:style w:type="paragraph" w:customStyle="1" w:styleId="NormalHanging12a">
    <w:name w:val="NormalHanging12a"/>
    <w:basedOn w:val="Normal"/>
    <w:rsid w:val="00B25059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B2505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B2505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B25059"/>
    <w:pPr>
      <w:spacing w:before="240"/>
    </w:pPr>
    <w:rPr>
      <w:b/>
    </w:rPr>
  </w:style>
  <w:style w:type="paragraph" w:styleId="Revision">
    <w:name w:val="Revision"/>
    <w:hidden/>
    <w:uiPriority w:val="99"/>
    <w:semiHidden/>
    <w:rsid w:val="00895D3F"/>
    <w:rPr>
      <w:sz w:val="24"/>
    </w:rPr>
  </w:style>
  <w:style w:type="character" w:styleId="CommentReference">
    <w:name w:val="annotation reference"/>
    <w:basedOn w:val="DefaultParagraphFont"/>
    <w:rsid w:val="00895D3F"/>
    <w:rPr>
      <w:sz w:val="16"/>
      <w:szCs w:val="16"/>
    </w:rPr>
  </w:style>
  <w:style w:type="paragraph" w:styleId="CommentText">
    <w:name w:val="annotation text"/>
    <w:basedOn w:val="Normal"/>
    <w:link w:val="CommentTextChar"/>
    <w:rsid w:val="00895D3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95D3F"/>
  </w:style>
  <w:style w:type="paragraph" w:styleId="CommentSubject">
    <w:name w:val="annotation subject"/>
    <w:basedOn w:val="CommentText"/>
    <w:next w:val="CommentText"/>
    <w:link w:val="CommentSubjectChar"/>
    <w:rsid w:val="00895D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95D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359</Words>
  <Characters>2187</Characters>
  <Application>Microsoft Office Word</Application>
  <DocSecurity>0</DocSecurity>
  <Lines>36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2026-04-28T11:32:00Z</dcterms:created>
  <dcterms:modified xsi:type="dcterms:W3CDTF">2026-04-28T11:32:00Z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A10-0064/2026</vt:lpwstr>
  </property>
  <property fmtid="{D5CDD505-2E9C-101B-9397-08002B2CF9AE}" pid="4" name="&lt;Type&gt;">
    <vt:lpwstr>RR</vt:lpwstr>
  </property>
</Properties>
</file>