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0F27FA0B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C581C" w:rsidP="0010095E" w14:paraId="1765F9BC" w14:textId="77777777">
            <w:pPr>
              <w:pStyle w:val="EPName"/>
            </w:pPr>
            <w:r w:rsidRPr="00BC581C">
              <w:t>Evropský parlament</w:t>
            </w:r>
          </w:p>
          <w:p w:rsidR="00751A4A" w:rsidRPr="00BC581C" w:rsidP="005F1B17" w14:paraId="3E2A5659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C581C">
              <w:t>2024</w:t>
            </w:r>
            <w:r w:rsidRPr="00BC581C" w:rsidR="00817416">
              <w:t>-202</w:t>
            </w:r>
            <w:r w:rsidRPr="00BC581C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C581C" w:rsidP="0010095E" w14:paraId="793F5EE2" w14:textId="77777777">
            <w:pPr>
              <w:pStyle w:val="EPLogo"/>
            </w:pPr>
            <w:r w:rsidRPr="00BC581C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C581C" w:rsidP="004C5D52" w14:paraId="0BB027E1" w14:textId="77777777">
      <w:pPr>
        <w:pStyle w:val="LineTop"/>
      </w:pPr>
    </w:p>
    <w:p w:rsidR="00680577" w:rsidRPr="00BC581C" w:rsidP="00680577" w14:paraId="7FF698D5" w14:textId="77777777">
      <w:pPr>
        <w:pStyle w:val="EPBodyTA1"/>
      </w:pPr>
      <w:r w:rsidRPr="00BC581C">
        <w:t>PŘIJATÉ TEXTY</w:t>
      </w:r>
    </w:p>
    <w:p w:rsidR="00D058B8" w:rsidRPr="00BC581C" w:rsidP="00D058B8" w14:paraId="32522921" w14:textId="77777777">
      <w:pPr>
        <w:pStyle w:val="LineBottom"/>
      </w:pPr>
    </w:p>
    <w:p w:rsidR="0098406A" w:rsidRPr="00341AAE" w:rsidP="0098406A" w14:paraId="1500934F" w14:textId="4B03AE91">
      <w:pPr>
        <w:pStyle w:val="ATHeading1"/>
      </w:pPr>
      <w:bookmarkStart w:id="0" w:name="TANumber"/>
      <w:r w:rsidRPr="00341AAE">
        <w:t>P10_TA(2026)0</w:t>
      </w:r>
      <w:r w:rsidR="008C2F85">
        <w:t>119</w:t>
      </w:r>
      <w:bookmarkEnd w:id="0"/>
    </w:p>
    <w:p w:rsidR="0098406A" w:rsidRPr="00341AAE" w:rsidP="0098406A" w14:paraId="521FF9A4" w14:textId="77777777">
      <w:pPr>
        <w:pStyle w:val="ATHeading2"/>
      </w:pPr>
      <w:bookmarkStart w:id="1" w:name="title"/>
      <w:r w:rsidRPr="00341AAE">
        <w:t>Kontrola finanční činnosti skupiny Evropské investiční banky – výroční zpráva za rok 2024</w:t>
      </w:r>
      <w:bookmarkEnd w:id="1"/>
    </w:p>
    <w:p w:rsidR="0098406A" w:rsidRPr="00BC581C" w:rsidP="0098406A" w14:paraId="2FB8EE68" w14:textId="77777777">
      <w:pPr>
        <w:rPr>
          <w:i/>
          <w:vanish/>
        </w:rPr>
      </w:pPr>
      <w:r>
        <w:rPr>
          <w:i/>
        </w:rPr>
        <w:fldChar w:fldCharType="begin"/>
      </w:r>
      <w:r w:rsidRPr="00BC581C">
        <w:rPr>
          <w:i/>
        </w:rPr>
        <w:instrText xml:space="preserve"> TC"(</w:instrText>
      </w:r>
      <w:bookmarkStart w:id="2" w:name="DocNumber"/>
      <w:r w:rsidRPr="00BC581C">
        <w:rPr>
          <w:i/>
        </w:rPr>
        <w:instrText>A10-0086/2026</w:instrText>
      </w:r>
      <w:bookmarkEnd w:id="2"/>
      <w:r w:rsidRPr="00BC581C">
        <w:rPr>
          <w:i/>
        </w:rPr>
        <w:instrText xml:space="preserve"> - Zpravodaj: Dick Erixon)"\l3 \n&gt; \* MERGEFORMAT </w:instrText>
      </w:r>
      <w:r>
        <w:rPr>
          <w:i/>
        </w:rPr>
        <w:fldChar w:fldCharType="end"/>
      </w:r>
    </w:p>
    <w:p w:rsidR="0098406A" w:rsidRPr="00BC581C" w:rsidP="0098406A" w14:paraId="649EDFD9" w14:textId="77777777">
      <w:pPr>
        <w:rPr>
          <w:vanish/>
        </w:rPr>
      </w:pPr>
      <w:bookmarkStart w:id="3" w:name="Commission"/>
      <w:r w:rsidRPr="00BC581C">
        <w:rPr>
          <w:vanish/>
        </w:rPr>
        <w:t>Výbor pro rozpočtovou kontrolu</w:t>
      </w:r>
      <w:bookmarkEnd w:id="3"/>
    </w:p>
    <w:p w:rsidR="0098406A" w:rsidRPr="00BC581C" w:rsidP="0098406A" w14:paraId="3DFE8064" w14:textId="77777777">
      <w:pPr>
        <w:rPr>
          <w:vanish/>
        </w:rPr>
      </w:pPr>
      <w:bookmarkStart w:id="4" w:name="PE"/>
      <w:r w:rsidRPr="00BC581C">
        <w:rPr>
          <w:vanish/>
        </w:rPr>
        <w:t>PE784.237</w:t>
      </w:r>
      <w:bookmarkEnd w:id="4"/>
    </w:p>
    <w:p w:rsidR="0098406A" w:rsidRPr="00341AAE" w:rsidP="0098406A" w14:paraId="67906021" w14:textId="77777777">
      <w:pPr>
        <w:pStyle w:val="ATHeading3"/>
      </w:pPr>
      <w:bookmarkStart w:id="5" w:name="Sujet"/>
      <w:r w:rsidRPr="00341AAE">
        <w:t>Usnesení Evropského parlamentu ze dne 28. dubna 2026 o kontrole finanční činnosti skupiny Evropské investiční banky – výroční zpráva za rok 2024</w:t>
      </w:r>
      <w:bookmarkEnd w:id="5"/>
      <w:r w:rsidRPr="00341AAE">
        <w:t xml:space="preserve"> </w:t>
      </w:r>
      <w:bookmarkStart w:id="6" w:name="References"/>
      <w:r w:rsidRPr="00341AAE">
        <w:t>(2025/2237(INI))</w:t>
      </w:r>
      <w:bookmarkEnd w:id="6"/>
    </w:p>
    <w:p w:rsidR="00C316A7" w:rsidRPr="00BC581C" w:rsidP="00BC581C" w14:paraId="11DC782B" w14:textId="77777777">
      <w:pPr>
        <w:pStyle w:val="Normal12"/>
        <w:spacing w:before="480"/>
      </w:pPr>
      <w:r w:rsidRPr="00BC581C">
        <w:rPr>
          <w:i/>
        </w:rPr>
        <w:t>Evropský parlament</w:t>
      </w:r>
      <w:r w:rsidRPr="00BC581C">
        <w:t>,</w:t>
      </w:r>
    </w:p>
    <w:p w:rsidR="00C316A7" w:rsidRPr="00BC581C" w:rsidP="00BC581C" w14:paraId="51FACF61" w14:textId="32C5B30E">
      <w:pPr>
        <w:pStyle w:val="NormalHanging"/>
      </w:pPr>
      <w:r w:rsidRPr="00BC581C">
        <w:t>–</w:t>
      </w:r>
      <w:r w:rsidRPr="00BC581C">
        <w:tab/>
        <w:t xml:space="preserve">s ohledem na zprávu o činnosti skupiny Evropské investiční banky (EIB) za rok 2024 ze dne 30. ledna 2025 </w:t>
      </w:r>
      <w:r w:rsidR="00915860">
        <w:t>nazvanou</w:t>
      </w:r>
      <w:r w:rsidRPr="00BC581C">
        <w:t xml:space="preserve"> „Priority pro prosperitu“,</w:t>
      </w:r>
    </w:p>
    <w:p w:rsidR="00C316A7" w:rsidRPr="00BC581C" w:rsidP="00BC581C" w14:paraId="1DF29A33" w14:textId="6572F86D">
      <w:pPr>
        <w:pStyle w:val="NormalHanging"/>
      </w:pPr>
      <w:r w:rsidRPr="00BC581C">
        <w:t>–</w:t>
      </w:r>
      <w:r w:rsidRPr="00BC581C">
        <w:tab/>
        <w:t xml:space="preserve">s ohledem na investiční zprávu EIB 2024/2025 ze dne 5. března 2025 </w:t>
      </w:r>
      <w:r w:rsidR="005438D3">
        <w:t>nazvanou</w:t>
      </w:r>
      <w:r w:rsidRPr="00BC581C">
        <w:t xml:space="preserve"> „Inovace, integrace a zjednodušení v Evropě“ a na investiční zprávu EIB 2023/2024 ze dne 7. února 2024 s názvem „Transformací ke konkurenceschopnosti“,</w:t>
      </w:r>
    </w:p>
    <w:p w:rsidR="00C316A7" w:rsidRPr="00BC581C" w:rsidP="00BC581C" w14:paraId="7F1267D2" w14:textId="77777777">
      <w:pPr>
        <w:pStyle w:val="NormalHanging"/>
      </w:pPr>
      <w:r w:rsidRPr="00BC581C">
        <w:t>–</w:t>
      </w:r>
      <w:r w:rsidRPr="00BC581C">
        <w:tab/>
        <w:t>s ohledem na zprávu skupiny EIB o provádění politiky transparentnosti ve skupině EIB v roce 2023, která byla zveřejněna dne 1. července 2024, a na politiku transparentnosti EIB, která byla schválena dne 17. listopadu 2021 a pozměněna dne 16. července 2025,</w:t>
      </w:r>
    </w:p>
    <w:p w:rsidR="00C316A7" w:rsidRPr="00BC581C" w:rsidP="00BC581C" w14:paraId="0025E691" w14:textId="77777777">
      <w:pPr>
        <w:pStyle w:val="NormalHanging"/>
      </w:pPr>
      <w:r w:rsidRPr="00BC581C">
        <w:t>–</w:t>
      </w:r>
      <w:r w:rsidRPr="00BC581C">
        <w:tab/>
        <w:t>s ohledem na strategický plán skupiny EIB na období 2024–2027 ze dne 21. června 2024,</w:t>
      </w:r>
    </w:p>
    <w:p w:rsidR="00C316A7" w:rsidRPr="00BC581C" w:rsidP="00BC581C" w14:paraId="490B0525" w14:textId="34C27AE5">
      <w:pPr>
        <w:pStyle w:val="NormalHanging"/>
      </w:pPr>
      <w:r w:rsidRPr="00BC581C">
        <w:t>–</w:t>
      </w:r>
      <w:r w:rsidRPr="00BC581C">
        <w:tab/>
        <w:t>s ohledem na zprávu EIB o globálním dopadu v letech 2023–2024 ze dne 13. června 2024,</w:t>
      </w:r>
    </w:p>
    <w:p w:rsidR="00C316A7" w:rsidRPr="00BC581C" w:rsidP="00BC581C" w14:paraId="46D12652" w14:textId="77777777">
      <w:pPr>
        <w:pStyle w:val="NormalHanging"/>
      </w:pPr>
      <w:r w:rsidRPr="00BC581C">
        <w:t>–</w:t>
      </w:r>
      <w:r w:rsidRPr="00BC581C">
        <w:tab/>
        <w:t>s ohledem na rozhodnutí Rady (EU) 2025/504 ze dne 11. března 2025, kterým se mění Protokol č. 5 o statutu Evropské investiční banky</w:t>
      </w:r>
      <w:r>
        <w:rPr>
          <w:rStyle w:val="FootnoteReference"/>
        </w:rPr>
        <w:footnoteReference w:customMarkFollows="1" w:id="2"/>
        <w:t xml:space="preserve">1</w:t>
      </w:r>
      <w:r w:rsidRPr="00BC581C">
        <w:t>,</w:t>
      </w:r>
    </w:p>
    <w:p w:rsidR="00C316A7" w:rsidRPr="00BC581C" w:rsidP="00BC581C" w14:paraId="60B803C2" w14:textId="77777777">
      <w:pPr>
        <w:pStyle w:val="NormalHanging"/>
      </w:pPr>
      <w:r w:rsidRPr="00BC581C">
        <w:t>–</w:t>
      </w:r>
      <w:r w:rsidRPr="00BC581C">
        <w:tab/>
        <w:t>s ohledem na akční plán skupiny EIB pro bezpečnost a obranu, který byl představen na zasedání Rady pro hospodářské a finanční věci v Lucemburku dne 12. dubna 2024,</w:t>
      </w:r>
    </w:p>
    <w:p w:rsidR="00C316A7" w:rsidRPr="00BC581C" w:rsidP="00BC581C" w14:paraId="0E751FDE" w14:textId="77777777">
      <w:pPr>
        <w:pStyle w:val="NormalHanging"/>
      </w:pPr>
      <w:r w:rsidRPr="00BC581C">
        <w:t>–</w:t>
      </w:r>
      <w:r w:rsidRPr="00BC581C">
        <w:tab/>
        <w:t>s ohledem na operační plán skupiny EIB na období 2024–2026 ze dne 9. února 2024 a na období 2025–2027 ze dne 30. ledna 2025,</w:t>
      </w:r>
    </w:p>
    <w:p w:rsidR="00C316A7" w:rsidRPr="00BC581C" w:rsidP="00BC581C" w14:paraId="3E543AD3" w14:textId="194044BE">
      <w:pPr>
        <w:pStyle w:val="NormalHanging"/>
      </w:pPr>
      <w:r w:rsidRPr="00BC581C">
        <w:t>–</w:t>
      </w:r>
      <w:r w:rsidRPr="00BC581C">
        <w:tab/>
        <w:t xml:space="preserve">s ohledem na třetí výroční zprávu skupiny EIB ze dne 15. července 2024 </w:t>
      </w:r>
      <w:r w:rsidR="00C2498A">
        <w:t>nazvanou</w:t>
      </w:r>
      <w:r w:rsidRPr="00BC581C">
        <w:t xml:space="preserve"> „Činnost skupiny EIB v regionech soudržnosti EU“,</w:t>
      </w:r>
    </w:p>
    <w:p w:rsidR="00C316A7" w:rsidRPr="00BC581C" w:rsidP="00BC581C" w14:paraId="40618CD0" w14:textId="77777777">
      <w:pPr>
        <w:pStyle w:val="NormalHanging"/>
      </w:pPr>
      <w:r w:rsidRPr="00BC581C">
        <w:t>–</w:t>
      </w:r>
      <w:r w:rsidRPr="00BC581C">
        <w:tab/>
        <w:t>s ohledem na rozhodnutí správní rady EIB ze dne 21. března 2025 o omezení vyloučených činností, které navazuje na postoj Evropské rady ze dne 6. března 2025,</w:t>
      </w:r>
    </w:p>
    <w:p w:rsidR="00C316A7" w:rsidRPr="00BC581C" w:rsidP="00BC581C" w14:paraId="7963F16F" w14:textId="5199F135">
      <w:pPr>
        <w:pStyle w:val="NormalHanging"/>
      </w:pPr>
      <w:r w:rsidRPr="00BC581C">
        <w:t>–</w:t>
      </w:r>
      <w:r w:rsidRPr="00BC581C">
        <w:tab/>
        <w:t xml:space="preserve">s ohledem na sdělení Komise ze dne 19. března 2025 </w:t>
      </w:r>
      <w:r w:rsidR="00315AAF">
        <w:t>nazvané</w:t>
      </w:r>
      <w:r w:rsidRPr="00BC581C">
        <w:t xml:space="preserve"> „Unie úspor a investic – Strategie na podporu bohatství občanů a hospodářské konkurenceschopnosti v EU“ (COM(2025)0124),</w:t>
      </w:r>
    </w:p>
    <w:p w:rsidR="00C316A7" w:rsidRPr="00BC581C" w:rsidP="00BC581C" w14:paraId="0A32226B" w14:textId="19C76356">
      <w:pPr>
        <w:pStyle w:val="NormalHanging"/>
      </w:pPr>
      <w:r w:rsidRPr="00BC581C">
        <w:t>–</w:t>
      </w:r>
      <w:r w:rsidRPr="00BC581C">
        <w:tab/>
        <w:t xml:space="preserve">s ohledem na zprávu skupiny EIB ze dne 10. června 2025 </w:t>
      </w:r>
      <w:r w:rsidR="00315AAF">
        <w:t>nazvanou</w:t>
      </w:r>
      <w:r w:rsidRPr="00BC581C">
        <w:t xml:space="preserve"> „Mechanismus pro vyřizování stížností – výroční zpráva za rok 2024“,</w:t>
      </w:r>
    </w:p>
    <w:p w:rsidR="00C316A7" w:rsidRPr="00BC581C" w:rsidP="00BC581C" w14:paraId="405F1659" w14:textId="77777777">
      <w:pPr>
        <w:pStyle w:val="NormalHanging"/>
      </w:pPr>
      <w:r w:rsidRPr="00BC581C">
        <w:t>–</w:t>
      </w:r>
      <w:r w:rsidRPr="00BC581C">
        <w:tab/>
        <w:t>s ohledem na výroční zprávy výboru pro audit EIB za rok 2024 zveřejněné dne 12. září 2025,</w:t>
      </w:r>
    </w:p>
    <w:p w:rsidR="00C316A7" w:rsidRPr="00BC581C" w:rsidP="00BC581C" w14:paraId="1AE92602" w14:textId="113A8EFF">
      <w:pPr>
        <w:pStyle w:val="NormalHanging"/>
      </w:pPr>
      <w:r w:rsidRPr="00BC581C">
        <w:t>–</w:t>
      </w:r>
      <w:r w:rsidRPr="00BC581C">
        <w:tab/>
        <w:t xml:space="preserve">s ohledem na zprávu skupiny EIB ze dne 26. června 2024 </w:t>
      </w:r>
      <w:r w:rsidR="00315AAF">
        <w:t>nazvanou</w:t>
      </w:r>
      <w:r w:rsidRPr="00BC581C">
        <w:t xml:space="preserve"> „Pomoc skupiny EIB podnikům v EU: důkazy o dopadu při řešení selhání trhu“, </w:t>
      </w:r>
    </w:p>
    <w:p w:rsidR="00C316A7" w:rsidRPr="00BC581C" w:rsidP="00BC581C" w14:paraId="7D63CDC0" w14:textId="0E8C7B52">
      <w:pPr>
        <w:pStyle w:val="NormalHanging"/>
      </w:pPr>
      <w:r w:rsidRPr="00BC581C">
        <w:t>–</w:t>
      </w:r>
      <w:r w:rsidRPr="00BC581C">
        <w:tab/>
        <w:t xml:space="preserve">s ohledem na společné sdělení Komise a vysokého představitele Unie pro zahraniční věci a bezpečnostní politiku ze dne 5. března 2024 </w:t>
      </w:r>
      <w:r w:rsidR="00E24E37">
        <w:t>nazvané</w:t>
      </w:r>
      <w:r w:rsidRPr="00BC581C">
        <w:t xml:space="preserve"> „Nová strategie pro evropský obranný průmysl: dosahování připravenosti EU prostřednictvím pohotového a odolného evropského obranného průmyslu“ (JOIN(2024)0010),</w:t>
      </w:r>
    </w:p>
    <w:p w:rsidR="00C316A7" w:rsidRPr="00BC581C" w:rsidP="00BC581C" w14:paraId="78D93356" w14:textId="11C313A5">
      <w:pPr>
        <w:pStyle w:val="NormalHanging"/>
      </w:pPr>
      <w:r w:rsidRPr="00BC581C">
        <w:t>–</w:t>
      </w:r>
      <w:r w:rsidRPr="00BC581C">
        <w:tab/>
        <w:t>s ohledem na zvláštní zprávu Evropského účetního dvora (EÚD) 22/2024 ze dne 21.</w:t>
      </w:r>
      <w:r w:rsidRPr="00BC581C" w:rsidR="00315AAF">
        <w:t> </w:t>
      </w:r>
      <w:r w:rsidRPr="00BC581C">
        <w:t xml:space="preserve">října 2024 </w:t>
      </w:r>
      <w:r w:rsidR="008B7974">
        <w:t>nazvanou</w:t>
      </w:r>
      <w:r w:rsidRPr="00BC581C">
        <w:t xml:space="preserve"> „Dvojí financování z rozpočtu EU“,</w:t>
      </w:r>
    </w:p>
    <w:p w:rsidR="00C316A7" w:rsidRPr="00BC581C" w:rsidP="00BC581C" w14:paraId="3F935C5C" w14:textId="03D55732">
      <w:pPr>
        <w:pStyle w:val="NormalHanging"/>
      </w:pPr>
      <w:r w:rsidRPr="00BC581C">
        <w:t>–</w:t>
      </w:r>
      <w:r w:rsidRPr="00BC581C">
        <w:tab/>
        <w:t xml:space="preserve">s ohledem na zvláštní zprávu EÚD 07/2025 ze dne 19. března 2025 </w:t>
      </w:r>
      <w:r w:rsidR="00761727">
        <w:t>nazvanou</w:t>
      </w:r>
      <w:r w:rsidRPr="00BC581C">
        <w:t xml:space="preserve"> „Evropský fond pro strategické investice“,</w:t>
      </w:r>
    </w:p>
    <w:p w:rsidR="00C316A7" w:rsidRPr="00BC581C" w:rsidP="00BC581C" w14:paraId="134B017A" w14:textId="2A7EB9C2">
      <w:pPr>
        <w:pStyle w:val="NormalHanging"/>
      </w:pPr>
      <w:r w:rsidRPr="00BC581C">
        <w:t>–</w:t>
      </w:r>
      <w:r w:rsidRPr="00BC581C">
        <w:tab/>
        <w:t xml:space="preserve">s ohledem na zprávu skupiny EIB ze dne 8. srpna 2025 </w:t>
      </w:r>
      <w:r w:rsidR="00315AAF">
        <w:t>nazvanou</w:t>
      </w:r>
      <w:r w:rsidRPr="00BC581C">
        <w:t xml:space="preserve"> „Zpráva skupiny Evropské investiční banky o řízení rizik – prosinec 2024“,</w:t>
      </w:r>
    </w:p>
    <w:p w:rsidR="00C316A7" w:rsidRPr="00BC581C" w:rsidP="00BC581C" w14:paraId="3F8466CF" w14:textId="77777777">
      <w:pPr>
        <w:pStyle w:val="NormalHanging"/>
      </w:pPr>
      <w:r w:rsidRPr="00BC581C">
        <w:t>–</w:t>
      </w:r>
      <w:r w:rsidRPr="00BC581C">
        <w:tab/>
        <w:t>s ohledem na zprávu EIB o činnosti v oblasti vyšetřování za rok 2024 zveřejněnou dne 4. srpna 2025,</w:t>
      </w:r>
    </w:p>
    <w:p w:rsidR="00C316A7" w:rsidRPr="00BC581C" w:rsidP="00BC581C" w14:paraId="5568E399" w14:textId="5AA921D7">
      <w:pPr>
        <w:pStyle w:val="NormalHanging"/>
      </w:pPr>
      <w:r w:rsidRPr="00BC581C">
        <w:t>–</w:t>
      </w:r>
      <w:r w:rsidRPr="00BC581C">
        <w:tab/>
        <w:t xml:space="preserve">s ohledem na společné sdělení Komise a vysoké představitelky Unie pro zahraniční věci a bezpečnostní politiku ze dne 19. března 2025 </w:t>
      </w:r>
      <w:r w:rsidR="00315AAF">
        <w:t>nazvané</w:t>
      </w:r>
      <w:r w:rsidRPr="00BC581C">
        <w:t xml:space="preserve"> „Společná bílá kniha o budoucnosti evropské obrany 2030“ (JOIN(2025)0120),</w:t>
      </w:r>
    </w:p>
    <w:p w:rsidR="00C316A7" w:rsidRPr="00BC581C" w:rsidP="00BC581C" w14:paraId="33F03A9A" w14:textId="25841132">
      <w:pPr>
        <w:pStyle w:val="NormalHanging"/>
      </w:pPr>
      <w:r w:rsidRPr="00BC581C">
        <w:t>–</w:t>
      </w:r>
      <w:r w:rsidRPr="00BC581C">
        <w:tab/>
        <w:t xml:space="preserve">s ohledem na zprávu skupiny EIB z července 2025 </w:t>
      </w:r>
      <w:r w:rsidR="00315AAF">
        <w:t>nazvanou</w:t>
      </w:r>
      <w:r w:rsidRPr="00BC581C">
        <w:t xml:space="preserve"> „Příspěvek skupiny EIB k víceletému finančnímu rámci (VFR) Evropské unie na období 2021–2027: syntéza podkladů pro hodnocení“, </w:t>
      </w:r>
    </w:p>
    <w:p w:rsidR="00C316A7" w:rsidRPr="00BC581C" w:rsidP="00BC581C" w14:paraId="2204ED81" w14:textId="77777777">
      <w:pPr>
        <w:pStyle w:val="NormalHanging"/>
      </w:pPr>
      <w:r w:rsidRPr="00BC581C">
        <w:t>–</w:t>
      </w:r>
      <w:r w:rsidRPr="00BC581C">
        <w:tab/>
        <w:t>s ohledem na studii Komise z roku 2024 nazvanou „Přístup ke kapitálovému financování pro evropské malé a střední podniky v oblasti obrany“</w:t>
      </w:r>
      <w:r>
        <w:rPr>
          <w:rStyle w:val="FootnoteReference"/>
        </w:rPr>
        <w:footnoteReference w:customMarkFollows="1" w:id="3"/>
        <w:t xml:space="preserve">2</w:t>
      </w:r>
      <w:r w:rsidRPr="00BC581C">
        <w:t>,</w:t>
      </w:r>
    </w:p>
    <w:p w:rsidR="00C316A7" w:rsidRPr="00BC581C" w:rsidP="00BC581C" w14:paraId="32183340" w14:textId="77777777">
      <w:pPr>
        <w:pStyle w:val="NormalHanging"/>
      </w:pPr>
      <w:r w:rsidRPr="00BC581C">
        <w:t>–</w:t>
      </w:r>
      <w:r w:rsidRPr="00BC581C">
        <w:tab/>
        <w:t>s ohledem na stanovisko EÚD 01/2026 ze dne 12. ledna 2026,</w:t>
      </w:r>
    </w:p>
    <w:p w:rsidR="00C316A7" w:rsidRPr="00BC581C" w:rsidP="00BC581C" w14:paraId="6572D95E" w14:textId="77777777">
      <w:pPr>
        <w:pStyle w:val="NormalHanging"/>
      </w:pPr>
      <w:r w:rsidRPr="00BC581C">
        <w:t>–</w:t>
      </w:r>
      <w:r w:rsidRPr="00BC581C">
        <w:tab/>
        <w:t>s ohledem na prohlášení kontaktního výboru nejvyšších kontrolních institucí Evropské unie CC 1/2025 ze dne 30. září 2025 o externím veřejném auditu Evropské investiční banky,</w:t>
      </w:r>
    </w:p>
    <w:p w:rsidR="00C316A7" w:rsidRPr="00BC581C" w:rsidP="00BC581C" w14:paraId="0209D10E" w14:textId="569467B4">
      <w:pPr>
        <w:pStyle w:val="NormalHanging"/>
      </w:pPr>
      <w:r w:rsidRPr="00BC581C">
        <w:t>–</w:t>
      </w:r>
      <w:r w:rsidRPr="00BC581C">
        <w:tab/>
        <w:t xml:space="preserve">s ohledem na zprávu Enrica Letty ze dne 17. dubna 2024 </w:t>
      </w:r>
      <w:r w:rsidR="001A3E50">
        <w:t>nazvanou</w:t>
      </w:r>
      <w:r w:rsidRPr="00BC581C">
        <w:t xml:space="preserve"> „Mnohem více než jen trh – rychlost, bezpečnost, solidarita: posílení jednotného trhu s cílem zajistit udržitelnou budoucnost a prosperitu pro všechny občany EU“ (Lettova zpráva), </w:t>
      </w:r>
    </w:p>
    <w:p w:rsidR="00C316A7" w:rsidRPr="00BC581C" w:rsidP="00BC581C" w14:paraId="4DA5BAC3" w14:textId="31411D57">
      <w:pPr>
        <w:pStyle w:val="NormalHanging"/>
      </w:pPr>
      <w:r w:rsidRPr="00BC581C">
        <w:t>–</w:t>
      </w:r>
      <w:r w:rsidRPr="00BC581C">
        <w:tab/>
        <w:t>s ohledem na zprávu výboru odborníků vedeného Christianem Noyerem ze dne 25.</w:t>
      </w:r>
      <w:r w:rsidRPr="00BC581C" w:rsidR="00EF24B1">
        <w:t> </w:t>
      </w:r>
      <w:r w:rsidRPr="00BC581C">
        <w:t xml:space="preserve">dubna 2024 </w:t>
      </w:r>
      <w:r w:rsidR="005C05D1">
        <w:t>nazvanou</w:t>
      </w:r>
      <w:r w:rsidRPr="00BC581C">
        <w:t xml:space="preserve"> „Rozvoj evropských kapitálových trhů pro financování budoucnosti“,</w:t>
      </w:r>
    </w:p>
    <w:p w:rsidR="00C316A7" w:rsidRPr="00BC581C" w:rsidP="00BC581C" w14:paraId="69FA98EA" w14:textId="2A0F5A3D">
      <w:pPr>
        <w:pStyle w:val="NormalHanging"/>
      </w:pPr>
      <w:r w:rsidRPr="00BC581C">
        <w:t>–</w:t>
      </w:r>
      <w:r w:rsidRPr="00BC581C">
        <w:tab/>
        <w:t xml:space="preserve">s ohledem na zprávu Maria Draghiho ze dne 9. září 2024 </w:t>
      </w:r>
      <w:r w:rsidR="001A3E50">
        <w:t>nazvanou</w:t>
      </w:r>
      <w:r w:rsidRPr="00BC581C">
        <w:t xml:space="preserve"> „Budoucnost evropské konkurenceschopnosti“ (Draghiho zpráva),</w:t>
      </w:r>
    </w:p>
    <w:p w:rsidR="00C316A7" w:rsidRPr="00BC581C" w:rsidP="00BC581C" w14:paraId="4DC94430" w14:textId="77777777">
      <w:pPr>
        <w:pStyle w:val="NormalHanging"/>
      </w:pPr>
      <w:r w:rsidRPr="00BC581C">
        <w:t>–</w:t>
      </w:r>
      <w:r w:rsidRPr="00BC581C">
        <w:tab/>
        <w:t>s ohledem na tiskové prohlášení předsedkyně Komise Ursuly von der Leyenové ze dne 4. března 2025 o obranném balíčku,</w:t>
      </w:r>
    </w:p>
    <w:p w:rsidR="00C316A7" w:rsidRPr="00BC581C" w:rsidP="00BC581C" w14:paraId="3D49D6F4" w14:textId="77777777">
      <w:pPr>
        <w:pStyle w:val="NormalHanging"/>
      </w:pPr>
      <w:r w:rsidRPr="00BC581C">
        <w:t>–</w:t>
      </w:r>
      <w:r w:rsidRPr="00BC581C">
        <w:tab/>
        <w:t>s ohledem na své usnesení ze dne 12. března 2025 o bílé knize o budoucnosti evropské obrany</w:t>
      </w:r>
      <w:r>
        <w:rPr>
          <w:rStyle w:val="FootnoteReference"/>
        </w:rPr>
        <w:footnoteReference w:customMarkFollows="1" w:id="4"/>
        <w:t xml:space="preserve">3</w:t>
      </w:r>
      <w:r w:rsidRPr="00BC581C">
        <w:t>,</w:t>
      </w:r>
    </w:p>
    <w:p w:rsidR="00C316A7" w:rsidRPr="00BC581C" w:rsidP="00BC581C" w14:paraId="54C82F99" w14:textId="77777777">
      <w:pPr>
        <w:pStyle w:val="NormalHanging"/>
      </w:pPr>
      <w:r w:rsidRPr="00BC581C">
        <w:t>–</w:t>
      </w:r>
      <w:r w:rsidRPr="00BC581C">
        <w:tab/>
        <w:t>s ohledem na seznam vyloučených činností skupiny EIB zveřejněný dne 17. července 2025,</w:t>
      </w:r>
    </w:p>
    <w:p w:rsidR="00C316A7" w:rsidRPr="00BC581C" w:rsidP="00BC581C" w14:paraId="1ED6DC12" w14:textId="77777777">
      <w:pPr>
        <w:pStyle w:val="NormalHanging"/>
      </w:pPr>
      <w:r w:rsidRPr="00BC581C">
        <w:t>–</w:t>
      </w:r>
      <w:r w:rsidRPr="00BC581C">
        <w:tab/>
        <w:t>s ohledem na článek 55 jednacího řádu,</w:t>
      </w:r>
    </w:p>
    <w:p w:rsidR="00C316A7" w:rsidRPr="00BC581C" w:rsidP="00BC581C" w14:paraId="33C57010" w14:textId="77777777">
      <w:pPr>
        <w:pStyle w:val="NormalHanging"/>
      </w:pPr>
      <w:r w:rsidRPr="00BC581C">
        <w:t>–</w:t>
      </w:r>
      <w:r w:rsidRPr="00BC581C">
        <w:tab/>
        <w:t>s ohledem na zprávu Výboru pro rozpočtovou kontrolu (A10-0086/2026),</w:t>
      </w:r>
    </w:p>
    <w:p w:rsidR="00C316A7" w:rsidRPr="00BC581C" w:rsidP="00BC581C" w14:paraId="3868E144" w14:textId="77777777">
      <w:pPr>
        <w:pStyle w:val="NormalHanging"/>
      </w:pPr>
      <w:r w:rsidRPr="00BC581C">
        <w:t>A.</w:t>
      </w:r>
      <w:r w:rsidRPr="00BC581C">
        <w:tab/>
        <w:t>vzhledem k tomu, že skupinu EIB tvoří EIB – největší multilaterální finanční instituce na světě, kterou zcela vlastní členské státy EU – a Evropský investiční fond (EIF); vzhledem k tomu, že činnost veřejné banky by měla spočívat v řešení jasných selhání trhu a investičních mezer tam, kde není k dispozici soukromé financování;</w:t>
      </w:r>
    </w:p>
    <w:p w:rsidR="00C316A7" w:rsidRPr="00BC581C" w:rsidP="00BC581C" w14:paraId="2A96C42C" w14:textId="77777777">
      <w:pPr>
        <w:pStyle w:val="NormalHanging"/>
      </w:pPr>
      <w:r w:rsidRPr="00BC581C">
        <w:t>B.</w:t>
      </w:r>
      <w:r w:rsidRPr="00BC581C">
        <w:tab/>
        <w:t>vzhledem k tomu, že skupina EIB by měla v souladu s ustanoveními Smluv EU přispívat k vyváženému a nerušenému rozvoji vnitřního trhu v zájmu Unie; vzhledem k tomu, že její investice by se měly zaměřit na projekty, které prokazují adicionalitu, jsou nákladově efektivní a cílí na rozvoj vnitřního trhu nebo na projekty společného zájmu, jež nemohou být zcela financovány z prostředků dostupných v členském státě;</w:t>
      </w:r>
    </w:p>
    <w:p w:rsidR="00C316A7" w:rsidRPr="00BC581C" w:rsidP="00BC581C" w14:paraId="74F096FC" w14:textId="77777777">
      <w:pPr>
        <w:pStyle w:val="NormalHanging"/>
      </w:pPr>
      <w:r w:rsidRPr="00BC581C">
        <w:t>C.</w:t>
      </w:r>
      <w:r w:rsidRPr="00BC581C">
        <w:tab/>
        <w:t>vzhledem k tomu, že financování z prostředků EIB by mělo doplňovat, nikoli nahrazovat vnitrostátní rozpočty a soukromé financování a mělo by být v souladu se zásadou subsidiarity, zejména v oblastech politiky, které jsou primárně v pravomoci členských států; vzhledem k tomu, že financování z prostředků EIB musí vykazovat jasnou přidanou hodnotu EU a měřitelné výsledky z hlediska skutečné adicionality;</w:t>
      </w:r>
    </w:p>
    <w:p w:rsidR="00C316A7" w:rsidRPr="00BC581C" w:rsidP="00BC581C" w14:paraId="4CDD3AEE" w14:textId="77777777">
      <w:pPr>
        <w:pStyle w:val="NormalHanging"/>
      </w:pPr>
      <w:r w:rsidRPr="00BC581C">
        <w:t>D.</w:t>
      </w:r>
      <w:r w:rsidRPr="00BC581C">
        <w:tab/>
        <w:t>vzhledem k tomu, že skupina EIB se podílí na prosazování hospodářské, sociální a územní soudržnosti v rámci EU a podporuje politiku Unie v oblasti rozvojové spolupráce prostřednictvím opatření prováděných mimo EU;</w:t>
      </w:r>
    </w:p>
    <w:p w:rsidR="00C316A7" w:rsidRPr="00BC581C" w:rsidP="00BC581C" w14:paraId="5E2AA030" w14:textId="77777777">
      <w:pPr>
        <w:pStyle w:val="NormalHanging"/>
      </w:pPr>
      <w:r w:rsidRPr="00BC581C">
        <w:t>E.</w:t>
      </w:r>
      <w:r w:rsidRPr="00BC581C">
        <w:tab/>
        <w:t>vzhledem k tomu, že E. Letta a M. Draghi ve svých zprávách o budoucnosti EU vyzývají k posílení konkurenceschopnosti EU, zdůrazňují zásadní úlohu integrace trhu a poukazují na potřebu urychlit veřejné i soukromé investice s cílem vybudovat silnější Evropu; vzhledem k tomu, že skupina EIB, zejména prostřednictvím EIF, hraje klíčovou úlohu při podpoře malých a středních podniků (MSP), čímž zlepšuje jejich přístup na finanční trhy; vzhledem k tomu, že úlohu EIB v odvětví bydlení je třeba posuzovat z hlediska kritérií adicionality a z hlediska toho, zda doplňuje, nikoli nahrazuje úsilí členských států;</w:t>
      </w:r>
    </w:p>
    <w:p w:rsidR="00C316A7" w:rsidRPr="00BC581C" w:rsidP="00BC581C" w14:paraId="24504893" w14:textId="77777777">
      <w:pPr>
        <w:pStyle w:val="NormalHanging"/>
      </w:pPr>
      <w:r w:rsidRPr="00BC581C">
        <w:t>F.</w:t>
      </w:r>
      <w:r w:rsidRPr="00BC581C">
        <w:tab/>
        <w:t>vzhledem k tomu, že úvěrový rating EIB AAA představuje pro Evropskou unii a její členské státy strategické aktivum;</w:t>
      </w:r>
    </w:p>
    <w:p w:rsidR="00C316A7" w:rsidRPr="00BC581C" w:rsidP="00BC581C" w14:paraId="36FD01E6" w14:textId="77777777">
      <w:pPr>
        <w:pStyle w:val="NormalHanging"/>
      </w:pPr>
      <w:r w:rsidRPr="00BC581C">
        <w:t>G.</w:t>
      </w:r>
      <w:r w:rsidRPr="00BC581C">
        <w:tab/>
        <w:t>vzhledem k tomu, že tato zpráva se zaměřuje na kontrolní rozměr činnosti EIB a posuzuje efektivnost nákladů, odpovědnost a řádné řízení zdrojů EU; vzhledem k tomu, že kvůli neustálému rozšiřování mandátu EIB a zvyšování záruk z rozpočtu EU na podporu operací EIB je legitimní a nezbytné, aby se odpovídajícím způsobem zvýšila také úroveň vnější kontroly;</w:t>
      </w:r>
    </w:p>
    <w:p w:rsidR="00C316A7" w:rsidRPr="00BC581C" w:rsidP="00BC581C" w14:paraId="233EADDF" w14:textId="77777777">
      <w:pPr>
        <w:pStyle w:val="NormalHanging"/>
      </w:pPr>
      <w:r w:rsidRPr="00BC581C">
        <w:t>H.</w:t>
      </w:r>
      <w:r w:rsidRPr="00BC581C">
        <w:tab/>
        <w:t>vzhledem k tomu, že vyvíjející se úloha EIB musí jít ruku v ruce s odpovídající demokratickou odpovědností; vzhledem k tomu, že intenzita a kvalita dohledu Parlamentu nad finančními operacemi EIB by měla být v souladu s intenzitou spolupráce mezi EIB a Komisí, která se značně prohloubila; zdůrazňuje, že se vzrůstajícím významem EIB by se měla zvyšovat i její demokratická odpovědnost a transparentnost; vzhledem k tomu, že zvýšená parlamentní kontrola by posílila demokratickou odpovědnost EIB, což vyžaduje transparentní podávání zpráv, přístup k auditům a strukturovaná opatření v návaznosti na doporučení Parlamentu;</w:t>
      </w:r>
    </w:p>
    <w:p w:rsidR="00C316A7" w:rsidRPr="00BC581C" w:rsidP="00BC581C" w14:paraId="36A10B45" w14:textId="77777777">
      <w:pPr>
        <w:pStyle w:val="NormalHanging"/>
      </w:pPr>
      <w:r w:rsidRPr="00BC581C">
        <w:t>I.</w:t>
      </w:r>
      <w:r w:rsidRPr="00BC581C">
        <w:tab/>
        <w:t>vzhledem k tomu, že k předcházení podvodům a k úsilí o řádné finanční řízení přispívají účinná ochrana oznamovatelů a investigativní žurnalistika, neboť zvyšují transparentnost a veřejnou kontrolu;</w:t>
      </w:r>
    </w:p>
    <w:p w:rsidR="00C316A7" w:rsidRPr="00BC581C" w:rsidP="00BC581C" w14:paraId="5B3A25F0" w14:textId="77777777">
      <w:pPr>
        <w:pStyle w:val="NormalHanging"/>
      </w:pPr>
      <w:r w:rsidRPr="00BC581C">
        <w:t>J.</w:t>
      </w:r>
      <w:r w:rsidRPr="00BC581C">
        <w:tab/>
        <w:t>vzhledem k tomu, že EIB je vlastněna členskými státy a její upsaný základní kapitál ve výši 248,8 miliardy EUR představuje závazek daňových poplatníků; vzhledem k tomu, že půjčky EIB nejsou uváděny ve statistikách veřejného dluhu; vzhledem k tomu, že se jedná o podrozvahové položky, a je proto nezbytné dodržovat striktní standardy efektivnosti a provádět externí audit; vzhledem k tomu, že rozšíření mandátu EIB musí být doplněno posílením opatření v oblasti externího auditu;</w:t>
      </w:r>
    </w:p>
    <w:p w:rsidR="00C316A7" w:rsidRPr="00BC581C" w:rsidP="00BC581C" w14:paraId="60CE5A27" w14:textId="77777777">
      <w:pPr>
        <w:pStyle w:val="NormalHanging"/>
      </w:pPr>
      <w:r w:rsidRPr="00BC581C">
        <w:t>K.</w:t>
      </w:r>
      <w:r w:rsidRPr="00BC581C">
        <w:tab/>
        <w:t>vzhledem k tomu, že skupina EIB má vnitřní mechanismy odpovědnosti, které však nenahrazují nezávislou vnější demokratickou kontrolu a dohled ze strany EÚD;</w:t>
      </w:r>
    </w:p>
    <w:p w:rsidR="00C316A7" w:rsidRPr="00BC581C" w:rsidP="00BC581C" w14:paraId="67656E92" w14:textId="77777777">
      <w:pPr>
        <w:pStyle w:val="NormalHanging"/>
      </w:pPr>
      <w:r w:rsidRPr="00BC581C">
        <w:t>L.</w:t>
      </w:r>
      <w:r w:rsidRPr="00BC581C">
        <w:tab/>
        <w:t>vzhledem k tomu, že podle stávajícího rámce Smluv a podle statutu EIB je spolupráce mezi EIB a Parlamentem v souvislosti s výroční kontrolní zprávou z velké části založena na neformálních ujednáních a zavedených postupech, nikoli na závazných institucionálních povinnostech;</w:t>
      </w:r>
    </w:p>
    <w:p w:rsidR="00C316A7" w:rsidRPr="00BC581C" w:rsidP="00BC581C" w14:paraId="394FC02A" w14:textId="77777777">
      <w:pPr>
        <w:pStyle w:val="NormalHanging"/>
      </w:pPr>
      <w:r w:rsidRPr="00BC581C">
        <w:t>M.</w:t>
      </w:r>
      <w:r w:rsidRPr="00BC581C">
        <w:tab/>
        <w:t>vzhledem k tomu, že obchodní model EIB vyžaduje nejvyšší standardy integrity, odpovědnosti a transparentnosti a že je třeba přijmout a průběžně aktualizovat vhodná opatření, jež zamezí financování veškerých forem podvodů, praní peněz, terorismu, organizované trestné činnosti a vyhýbání se daňovým povinnostem;</w:t>
      </w:r>
    </w:p>
    <w:p w:rsidR="00C316A7" w:rsidRPr="00BC581C" w:rsidP="00BC581C" w14:paraId="438BDF07" w14:textId="77777777">
      <w:pPr>
        <w:pStyle w:val="NormalHanging"/>
      </w:pPr>
      <w:r w:rsidRPr="00BC581C">
        <w:t>N.</w:t>
      </w:r>
      <w:r w:rsidRPr="00BC581C">
        <w:tab/>
        <w:t>vzhledem k tomu, že EIB hraje klíčovou úlohu při prosazování vnějších cílů Unie prostřednictvím svých úvěrových činností v zemích mimo EU, mimo jiné prostřednictvím programu EIB Global, který byla zahájen v roce 2022 a který by měl být sladěn s politikami a prioritami EU ve světě; vzhledem k tomu, že důležitým hlediskem v kontextu vnějšího úvěrového rámce EU je účinná spolupráce s partnerskými zeměmi v oblasti řízení migrace, včetně zpětného přebírání a navracení migrantů, kteří nemají zákonné právo pobývat v Unii;</w:t>
      </w:r>
    </w:p>
    <w:p w:rsidR="00C316A7" w:rsidRPr="00BC581C" w:rsidP="00BC581C" w14:paraId="67F7EC3A" w14:textId="77777777">
      <w:pPr>
        <w:pStyle w:val="NormalHanging"/>
      </w:pPr>
      <w:r w:rsidRPr="00BC581C">
        <w:t>O.</w:t>
      </w:r>
      <w:r w:rsidRPr="00BC581C">
        <w:tab/>
        <w:t>vzhledem k tomu, že zaměstnanci skupiny EIB na všech úrovních, včetně vrcholného vedení a správní rady, by měli být genderově a zeměpisně vyvážení, přičemž by měly být plně dodržovány zásady výběru založeného na zásluhách; vzhledem k tomu, že dobré pracovní podmínky zaměstnanců a transparentní a spravedlivý rámec řízení lidských zdrojů mají zásadní význam pro institucionální odolnost a integritu;</w:t>
      </w:r>
    </w:p>
    <w:p w:rsidR="00C316A7" w:rsidRPr="00BC581C" w:rsidP="00BC581C" w14:paraId="2D2E615C" w14:textId="77777777">
      <w:pPr>
        <w:pStyle w:val="Normal12a"/>
        <w:ind w:left="566" w:hanging="566"/>
      </w:pPr>
      <w:r w:rsidRPr="00BC581C">
        <w:rPr>
          <w:b/>
          <w:i/>
        </w:rPr>
        <w:t>Finanční operace a výkonnost</w:t>
      </w:r>
    </w:p>
    <w:p w:rsidR="00C316A7" w:rsidRPr="00BC581C" w:rsidP="00BC581C" w14:paraId="6759DCAA" w14:textId="77777777">
      <w:pPr>
        <w:pStyle w:val="NormalHanging12a"/>
      </w:pPr>
      <w:r w:rsidRPr="00BC581C">
        <w:t>1.</w:t>
      </w:r>
      <w:r w:rsidRPr="00BC581C">
        <w:tab/>
        <w:t>bere na vědomí stabilní finanční výkonnost a konsolidovaný výsledek skupiny EIB v roce 2024 ve výši 3,38 miliardy EUR; zdůrazňuje, že prvořadým cílem správy a řízení EIB musí i nadále být zachování úvěrového ratingu AAA; zdůrazňuje, že rating AAA, který EIB obdržela, je jejím strategickým aktivem, které jí umožňuje zajistit příznivé podmínky financování; zdůrazňuje, že úspěch je nadále a v ještě větším rozsahu třeba měřit prokazatelnými hospodářskými výsledky a výsledky prováděných politik, nikoli pouze podepsaným objemem; mimoto zdůrazňuje, že finanční výkonnost by měla být rovněž měřena na základě prokázané adicionality politik, efektivnosti nákladů a měřitelných výsledků; připomíná, že zjednodušené postupy by měly být pravidelně podrobovány nezávislému přezkumu;</w:t>
      </w:r>
    </w:p>
    <w:p w:rsidR="00C316A7" w:rsidRPr="00BC581C" w:rsidP="00BC581C" w14:paraId="7D734237" w14:textId="77777777">
      <w:pPr>
        <w:pStyle w:val="NormalHanging12a"/>
      </w:pPr>
      <w:r w:rsidRPr="00BC581C">
        <w:t>2.</w:t>
      </w:r>
      <w:r w:rsidRPr="00BC581C">
        <w:tab/>
        <w:t>se znepokojením konstatuje, že podíl plateb po splatnosti o více než 90 dnů se ztrojnásobil a ke konci roku 2024 činil 281,3 milionu EUR a představoval 0,06 % celkového úvěrového portfolia (ve srovnání s 82,4 milionu EUR, resp. 0,02 % ke konci roku 2023), a jakkoli uznává, že toto číslo zůstává z hlediska norem v bankovnictví velmi nízké, žádá EIB, aby vysvětlila, jaké důvody k vedly k jeho nárůstu, a aby podala zprávu o přijatých nápravných opatřeních; zdůrazňuje, že jakýkoli nárůst nevýkonných expozic musí být pečlivě sledován, aby byla zajištěna finanční stabilita a úvěrová bonita EIB; zdůrazňuje, že tento nárůst nevýkonných expozic a plateb po splatnosti výrazně převyšuje 2% nárůst celkového úvěrového portfolia;</w:t>
      </w:r>
    </w:p>
    <w:p w:rsidR="00C316A7" w:rsidRPr="00BC581C" w:rsidP="00341AAE" w14:paraId="49C03DBA" w14:textId="77777777">
      <w:pPr>
        <w:pStyle w:val="Normal12a"/>
      </w:pPr>
      <w:r w:rsidRPr="00BC581C">
        <w:rPr>
          <w:b/>
          <w:i/>
        </w:rPr>
        <w:t>Program InvestEU, zjednodušení víceletého finančního rámce a Nástroj pro oživení a odolnost</w:t>
      </w:r>
    </w:p>
    <w:p w:rsidR="00C316A7" w:rsidRPr="00BC581C" w:rsidP="00BC581C" w14:paraId="6F0CEB40" w14:textId="77777777">
      <w:pPr>
        <w:pStyle w:val="NormalHanging12a"/>
      </w:pPr>
      <w:r w:rsidRPr="00BC581C">
        <w:t>3.</w:t>
      </w:r>
      <w:r w:rsidRPr="00BC581C">
        <w:tab/>
        <w:t xml:space="preserve">konstatuje, že v roce 2024 EIB schválila 38 operací v rámci Programu InvestEU, při nichž využila záruku EU ve výši 1,7 miliardy EUR; trvá na tom, že při podávání zpráv musí být ukazatele založené na vstupech doplněny ukazateli založenými na dopadu, které prokazují skutečné hospodářské výsledky, a je nutné provést posouzení adicionality a </w:t>
      </w:r>
      <w:r w:rsidRPr="00BC581C">
        <w:rPr>
          <w:i/>
        </w:rPr>
        <w:t>ex post</w:t>
      </w:r>
      <w:r w:rsidRPr="00BC581C">
        <w:t xml:space="preserve"> analýzu možného vytěsnění, a to i u operací prováděných prostřednictvím finančních zprostředkovatelů; vyzývá k přístupu sestavování rozpočtu </w:t>
      </w:r>
      <w:r w:rsidRPr="00BC581C">
        <w:t>podle výkonnosti, v jehož rámci se přidělování kapitálu a strategické priority hodnotí na základě prokázané účinnosti, návratnosti investic, skutečné efektivnosti nákladů a dodržování předem stanovených procentních cílů;</w:t>
      </w:r>
    </w:p>
    <w:p w:rsidR="00C316A7" w:rsidRPr="00BC581C" w:rsidP="00BC581C" w14:paraId="5DA9D88E" w14:textId="77777777">
      <w:pPr>
        <w:pStyle w:val="NormalHanging12a"/>
      </w:pPr>
      <w:r w:rsidRPr="00BC581C">
        <w:t>4.</w:t>
      </w:r>
      <w:r w:rsidRPr="00BC581C">
        <w:tab/>
        <w:t>zdůrazňuje, že Program InvestEU by měl být hodnocen rovněž podle kvality svých intervencí a jejich měřitelného dopadu, a nikoli jen podle množství poskytnutých finančních prostředků; připomíná, že v současné době pro posuzování výsledků projektů financovaných v rámci Programu InvestEU neexistují žádné ověřitelné rámce měření;</w:t>
      </w:r>
    </w:p>
    <w:p w:rsidR="00C316A7" w:rsidRPr="00BC581C" w:rsidP="00BC581C" w14:paraId="57E5A56A" w14:textId="77777777">
      <w:pPr>
        <w:pStyle w:val="NormalHanging12a"/>
      </w:pPr>
      <w:r w:rsidRPr="00BC581C">
        <w:t>5.</w:t>
      </w:r>
      <w:r w:rsidRPr="00BC581C">
        <w:tab/>
        <w:t>konstatuje, že roztříštěné a složité financování EU vede k neefektivitě; zdůrazňuje, že pro obnovení konkurenceschopnosti je nezbytné snížit byrokracii a že zjednodušení by mělo zmírnit administrativní zátěž tak, aby to nemělo negativní dopad na auditní záznamy, transparentnost a kontroly v rámci boje proti podvodům; bere na vědomí úsilí EIB o zjednodušení posuzování v zájmu rychlejšího poskytování financování; vyzývá EIB, aby každoročně zveřejňovala klíčové ukazatele výkonnosti týkající se schvalování a aby prokázala měřitelné snížení administrativní zátěže pro žadatele, zejména MSP a společnosti se střední tržní kapitalizací;</w:t>
      </w:r>
    </w:p>
    <w:p w:rsidR="00C316A7" w:rsidRPr="00BC581C" w:rsidP="00BC581C" w14:paraId="2007A794" w14:textId="77777777">
      <w:pPr>
        <w:pStyle w:val="NormalHanging12a"/>
      </w:pPr>
      <w:r w:rsidRPr="00BC581C">
        <w:t>6.</w:t>
      </w:r>
      <w:r w:rsidRPr="00BC581C">
        <w:tab/>
        <w:t xml:space="preserve">vítá probíhající hodnocení rámce EIB pro měření adicionality a dopadu a bere na vědomí, že výsledky se očekávají v první polovině roku 2026; vyzývá EIB a Komisi, aby zavedly společnou metodiku adicionality </w:t>
      </w:r>
      <w:r w:rsidRPr="00BC581C">
        <w:rPr>
          <w:i/>
        </w:rPr>
        <w:t>ex post</w:t>
      </w:r>
      <w:r w:rsidRPr="00BC581C">
        <w:t xml:space="preserve"> pro operace podporované ze strany EU a aby pravidelně podávaly zprávy o dopadech na úrovni portfolia a odvětví;</w:t>
      </w:r>
    </w:p>
    <w:p w:rsidR="00C316A7" w:rsidRPr="00BC581C" w:rsidP="00BC581C" w14:paraId="60B4AAF6" w14:textId="77777777">
      <w:pPr>
        <w:pStyle w:val="Normal12a"/>
        <w:ind w:left="566" w:hanging="566"/>
      </w:pPr>
      <w:r w:rsidRPr="00BC581C">
        <w:rPr>
          <w:b/>
          <w:i/>
        </w:rPr>
        <w:t>Energetická bezpečnost</w:t>
      </w:r>
    </w:p>
    <w:p w:rsidR="00C316A7" w:rsidRPr="00BC581C" w:rsidP="00BC581C" w14:paraId="0E0F832D" w14:textId="77777777">
      <w:pPr>
        <w:pStyle w:val="NormalHanging12a"/>
      </w:pPr>
      <w:r w:rsidRPr="00BC581C">
        <w:t>7.</w:t>
      </w:r>
      <w:r w:rsidRPr="00BC581C">
        <w:tab/>
        <w:t>vyzývá EIB, aby všechny nízkouhlíkové projekty, včetně jaderných projektů, hodnotila na základě objektivních a transparentních kritérií, včetně uhlíkové náročnosti během životního cyklu, stability sítě a nákladové efektivnosti, a aby uplatňovala technologickou neutralitu a zároveň se zaměřovala na strategické přeshraniční projekty s cílem zvýšit evropskou přidanou hodnotu; konstatuje, že EIB v roce 2024 investovala více než 27 miliard EUR do transformace a bezpečnosti energetiky, včetně obnovitelných zdrojů energie, sítí a skladování; vyzývá EIB, aby kladla důraz na energetickou účinnost a nákladovou efektivnost, a to při plném respektování práva členských států určovat svou skladbu zdrojů energie;</w:t>
      </w:r>
    </w:p>
    <w:p w:rsidR="00C316A7" w:rsidRPr="00BC581C" w:rsidP="00BC581C" w14:paraId="042806BB" w14:textId="77777777">
      <w:pPr>
        <w:pStyle w:val="NormalHanging12a"/>
      </w:pPr>
      <w:r w:rsidRPr="00BC581C">
        <w:t>8.</w:t>
      </w:r>
      <w:r w:rsidRPr="00BC581C">
        <w:tab/>
        <w:t>je znepokojen nepřiměřenými požadavky na podávání zpráv o environmentálních, sociálních a správních aspektech, které jsou kladeny na příjemce úvěrů od EIB; varuje, že nadměrné povinnosti týkající se zveřejňování informací odrazují evropské podniky od realizace ekonomicky životaschopných projektů a vytvářejí pro tyto podniky konkurenční nevýhody; vyzývá EIB, aby své požadavky na podávání zpráv o environmentálních, sociálních a správních aspektech přezkoumala s cílem zajistit proporcionalitu;</w:t>
      </w:r>
    </w:p>
    <w:p w:rsidR="00C316A7" w:rsidRPr="00BC581C" w:rsidP="00BC581C" w14:paraId="0E96DBF3" w14:textId="77777777">
      <w:pPr>
        <w:pStyle w:val="Normal12a"/>
        <w:ind w:left="566" w:hanging="566"/>
      </w:pPr>
      <w:r w:rsidRPr="00BC581C">
        <w:rPr>
          <w:b/>
          <w:i/>
        </w:rPr>
        <w:t>Obranná a bezpečnostní politika</w:t>
      </w:r>
    </w:p>
    <w:p w:rsidR="00C316A7" w:rsidRPr="00BC581C" w:rsidP="00BC581C" w14:paraId="4C80AC9A" w14:textId="77777777">
      <w:pPr>
        <w:pStyle w:val="NormalHanging12a"/>
      </w:pPr>
      <w:r w:rsidRPr="00BC581C">
        <w:t>9.</w:t>
      </w:r>
      <w:r w:rsidRPr="00BC581C">
        <w:tab/>
        <w:t>vyzdvihuje význam příspěvku skupiny EIB k míru, obraně a bezpečnosti v Evropě, jak je uvedeno v bílé knize o budoucnosti evropské obrany 2030, a to prostřednictvím podpory iniciativ na zvýšení strategické autonomie a odolnosti Unie, posílení obranného průmyslu EU, zlepšení infrastruktury pro zajištění kybernetické bezpečnosti a podpory inovací v oblasti kritických obranných technologií poskytováním finančních prostředků a získáváním soukromých investic;</w:t>
      </w:r>
    </w:p>
    <w:p w:rsidR="00C316A7" w:rsidRPr="00BC581C" w:rsidP="00BC581C" w14:paraId="7F6A7A0A" w14:textId="77777777">
      <w:pPr>
        <w:pStyle w:val="NormalHanging12a"/>
      </w:pPr>
      <w:r w:rsidRPr="00BC581C">
        <w:t>10.</w:t>
      </w:r>
      <w:r w:rsidRPr="00BC581C">
        <w:tab/>
        <w:t>bere na vědomí rozhodnutí správní rady EIB ze dne 21. března 2025 rozšířit kritéria způsobilosti skupiny EIB u investic do bezpečnosti a obrany a omezit vyloučené činnosti v souladu s návrhy schválenými vedoucími představiteli EU na zasedání Evropské rady dne 6. března 2025;</w:t>
      </w:r>
    </w:p>
    <w:p w:rsidR="00C316A7" w:rsidRPr="00BC581C" w:rsidP="00BC581C" w14:paraId="32D8D9A1" w14:textId="77777777">
      <w:pPr>
        <w:pStyle w:val="NormalHanging12a"/>
      </w:pPr>
      <w:r w:rsidRPr="00BC581C">
        <w:t>11.</w:t>
      </w:r>
      <w:r w:rsidRPr="00BC581C">
        <w:tab/>
        <w:t>vítá pokračující a významnější úlohu EIB při posilování bezpečnosti Evropy prostřednictvím cílených investic do obranné i civilní infrastruktury v souladu s širšími cíli EU, kterými jsou podpora inovací a zvýšení bezpečnosti Unie; zdůrazňuje, že EIB by měla i nadále investovat do bezpečné Evropy a podporovat evropskou technologickou a průmyslovou základnu obrany a produkty, služby a technologie, které posilují evropské kapacity, výzkum a vývoj a inovace v oblasti obrany; vyzývá k další úpravě rozsahu způsobilých investic tak, aby naplňovaly ambiciózní cíl přispívat k obraně a bezpečnosti Evropy;</w:t>
      </w:r>
    </w:p>
    <w:p w:rsidR="00C316A7" w:rsidRPr="00BC581C" w:rsidP="00BC581C" w14:paraId="4421C30A" w14:textId="77777777">
      <w:pPr>
        <w:pStyle w:val="NormalHanging12a"/>
      </w:pPr>
      <w:r w:rsidRPr="00BC581C">
        <w:t>12.</w:t>
      </w:r>
      <w:r w:rsidRPr="00BC581C">
        <w:tab/>
        <w:t>bere na vědomí výrazné navýšení financování EIB v oblasti bezpečnosti a obrany z 0,5 miliardy EUR v roce 2023 na 1,04 miliardy EUR v roce 2024 a další navýšení v roce 2025; poukazuje na to, že současná Strategická evropská bezpečnostní iniciativa EIB ve výši 8 miliard EUR bude začleněna do trvalého průřezového cíle veřejné politiky, který doplní stávající cíle veřejné politiky, přičemž budou zrušeny předem stanovené stropy pro financování bezpečnosti a bude umožněna vyšší a flexibilní podpora v souladu s prioritami Rady; žádá, aby byla vypracovávána a předkládána Parlamentu zvláštní příloha výročních zpráv, jež bude věnována bezpečnostním a obranným operacím a bude zahrnovat adicionalitu, rychlost provádění, záruky při zadávání veřejných zakázek, kontroly integrity a ujednání o sdílení rizik;</w:t>
      </w:r>
    </w:p>
    <w:p w:rsidR="00C316A7" w:rsidRPr="00BC581C" w:rsidP="00BC581C" w14:paraId="5E443065" w14:textId="77777777">
      <w:pPr>
        <w:pStyle w:val="NormalHanging12a"/>
      </w:pPr>
      <w:r w:rsidRPr="00BC581C">
        <w:t>13.</w:t>
      </w:r>
      <w:r w:rsidRPr="00BC581C">
        <w:tab/>
        <w:t>vyzývá EIB, aby dále posilovala synergie s investicemi do obrany financovanými z rozpočtu EU a aby tyto investice lépe sladila s celounijními iniciativami; apeluje na EIB, aby zajistila, že její investice budou doplňovat širší cíle obranné politiky EU a přispívat k dosažení úspor z rozsahu v oblasti evropských obranných kapacit;</w:t>
      </w:r>
    </w:p>
    <w:p w:rsidR="00C316A7" w:rsidRPr="00BC581C" w:rsidP="00BC581C" w14:paraId="790183C1" w14:textId="77777777">
      <w:pPr>
        <w:pStyle w:val="NormalHanging12a"/>
      </w:pPr>
      <w:r w:rsidRPr="00BC581C">
        <w:t>14.</w:t>
      </w:r>
      <w:r w:rsidRPr="00BC581C">
        <w:tab/>
        <w:t>bere na vědomí výrazné rozšíření podpory EIB pro bezpečnostní a obranné operace; zdůrazňuje, že jakékoli případné rozšíření podpory EIB v oblasti bezpečnosti a obrany musí podléhat důsledné transparentnosti, odpovědnosti a zárukám v oblasti lidských práv, jasným kritériím pro vyloučení, monitorování konečného užití a pravidelnému podávání zpráv Parlamentu;</w:t>
      </w:r>
    </w:p>
    <w:p w:rsidR="00C316A7" w:rsidRPr="00BC581C" w:rsidP="00BC581C" w14:paraId="4A2886FD" w14:textId="77777777">
      <w:pPr>
        <w:pStyle w:val="NormalHanging12a"/>
      </w:pPr>
      <w:r w:rsidRPr="00BC581C">
        <w:t>15.</w:t>
      </w:r>
      <w:r w:rsidRPr="00BC581C">
        <w:tab/>
        <w:t xml:space="preserve">vyzývá EIB, aby určila překážky bránící investicím do obrany a ochrany hranic, které by zvýšily odolnost a bezpečnost Unie, a to při zajištění souladu s právem EU a demokratického dohledu; zdůrazňuje, že odstranění překážek má zásadní význam, má-li být v oblasti bezpečnosti dosaženo hmatatelných výsledků; připomíná, že veškeré finanční prostředky, které EIB přiděluje prostřednictvím Programu InvestEU a dalších finančních nástrojů na obranné účely a na investice do kritických technologií, musí plně respektovat zájmy členských států v oblasti národní bezpečnosti; zdůrazňuje, že příslušné auditní útvary a subjekty orgánů EU by měly provádět důkladné a průběžné auditní kontroly u třetích subjektů a v třetích zemích, které jsou příjemci finančních prostředků EU a uskutečňují investice a projekty v oblasti obrany, aby bylo zajištěno transparentní využívání finančních prostředků EU; zdůrazňuje, že výsledek těchto investic a projektů nesmí ohrozit zájmy členských států v oblasti národní bezpečnosti; vyzývá EIB, aby se více zaměřila na posílení regionální bezpečnosti a odolnosti; vyzdvihuje důležitou úlohu, kterou může EIB hrát při vytváření infrastruktury na </w:t>
      </w:r>
      <w:r w:rsidRPr="00BC581C">
        <w:t>podporu regionální bezpečnosti a těsnější spolupráce mezi členskými státy v energetických a obranných záležitostech;</w:t>
      </w:r>
    </w:p>
    <w:p w:rsidR="00C316A7" w:rsidRPr="00BC581C" w:rsidP="00BC581C" w14:paraId="0FCF65C4" w14:textId="77777777">
      <w:pPr>
        <w:pStyle w:val="NormalHanging12a"/>
      </w:pPr>
      <w:r w:rsidRPr="00BC581C">
        <w:t>16.</w:t>
      </w:r>
      <w:r w:rsidRPr="00BC581C">
        <w:tab/>
        <w:t>vítá úzkou a strukturovanou spolupráci s Inovačním fondem NATO, která si klade za cíl zajistit součinnost a zabránit zdvojování úsilí, zejména v oblasti rozšiřování technologií, kde není dostatek soukromého kapitálu;</w:t>
      </w:r>
    </w:p>
    <w:p w:rsidR="00C316A7" w:rsidRPr="00BC581C" w:rsidP="00BC581C" w14:paraId="227FB91E" w14:textId="77777777">
      <w:pPr>
        <w:pStyle w:val="Normal12a"/>
        <w:ind w:left="566" w:hanging="566"/>
      </w:pPr>
      <w:r w:rsidRPr="00BC581C">
        <w:rPr>
          <w:b/>
          <w:i/>
        </w:rPr>
        <w:t xml:space="preserve">Investice do oblastí vnitrostátních pravomocí </w:t>
      </w:r>
    </w:p>
    <w:p w:rsidR="00C316A7" w:rsidRPr="00BC581C" w:rsidP="00BC581C" w14:paraId="18ED6E1F" w14:textId="77777777">
      <w:pPr>
        <w:pStyle w:val="NormalHanging12a"/>
      </w:pPr>
      <w:r w:rsidRPr="00BC581C">
        <w:t>17.</w:t>
      </w:r>
      <w:r w:rsidRPr="00BC581C">
        <w:tab/>
        <w:t>připomíná, že problémy v oblasti bydlení lze efektivněji řešit na místní nebo celostátní úrovni; bere na vědomí úsilí skupiny EIB o zajištění evropské přidané hodnoty při řešení výzev v oblasti bydlení na místní a celostátní úrovni podporou rozšiřitelných řešení, která doplňují vnitrostátní úsilí a přinášejí měřitelné výsledky; uznává, že investice do infrastruktury bydlení v méně rozvinutých regionech jsou plně v souladu s mandátem EIB a s cílem EIB zakotveným ve Smlouvě, kterým je podpora hospodářské, sociální a územní soudržnosti kladením důrazu na méně rozvinuté regiony;</w:t>
      </w:r>
    </w:p>
    <w:p w:rsidR="00C316A7" w:rsidRPr="00BC581C" w:rsidP="00BC581C" w14:paraId="67A653E8" w14:textId="77777777">
      <w:pPr>
        <w:pStyle w:val="NormalHanging12a"/>
      </w:pPr>
      <w:r w:rsidRPr="00BC581C">
        <w:t>18.</w:t>
      </w:r>
      <w:r w:rsidRPr="00BC581C">
        <w:tab/>
        <w:t>bere na vědomí akční plán skupiny EIB pro cenově dostupné a udržitelné bydlení a její příslib investic v tomto odvětví; vítá závazek skupiny EIB zvýšit investice do sociální infrastruktury, včetně sociálního a cenově dostupného bydlení, jak je stanoveno v jejích strategických prioritách na období 2024–2027 a operačním plánu na období 2026–2028; bere na vědomí potenciál cílené podpory EIB na renovaci stávajícího bytového fondu s cílem zlepšit energetickou účinnost, pokud tyto operace prokáží adicionalitu a nákladovou efektivitu;</w:t>
      </w:r>
    </w:p>
    <w:p w:rsidR="00C316A7" w:rsidRPr="00BC581C" w:rsidP="00BC581C" w14:paraId="72EDD168" w14:textId="77777777">
      <w:pPr>
        <w:pStyle w:val="NormalHanging12a"/>
      </w:pPr>
      <w:r w:rsidRPr="00BC581C">
        <w:t>19.</w:t>
      </w:r>
      <w:r w:rsidRPr="00BC581C">
        <w:tab/>
        <w:t>připomíná, že je třeba zajistit adicionalitu a doplňkovost s dalšími veřejnými prostředky a komerčními věřiteli a zároveň zajistit provádění evropského pilíře sociálních práv, a to i v oblasti vzdělávání, a zdůrazňuje, že zapojení EIB by mělo být omezeno na projekty s prokazatelnou nákladovou efektivitou, jako je přeshraniční výzkumná infrastruktura nebo programy dovedností, které řeší mezery na trhu práce v celé EU; trvá na tom, že financování EIB nesmí nahrazovat vnitrostátní rozpočty na vzdělávání;</w:t>
      </w:r>
    </w:p>
    <w:p w:rsidR="00C316A7" w:rsidRPr="00BC581C" w:rsidP="00341AAE" w14:paraId="288772BA" w14:textId="77777777">
      <w:pPr>
        <w:pStyle w:val="Normal12a"/>
      </w:pPr>
      <w:r w:rsidRPr="00BC581C">
        <w:rPr>
          <w:b/>
          <w:i/>
        </w:rPr>
        <w:t>Podpora MSP, společností se střední tržní kapitalizací, startupů, scaleupů a dalších podniků</w:t>
      </w:r>
    </w:p>
    <w:p w:rsidR="00C316A7" w:rsidRPr="00BC581C" w:rsidP="00BC581C" w14:paraId="6F490B6E" w14:textId="2A05A284">
      <w:pPr>
        <w:pStyle w:val="NormalHanging12a"/>
      </w:pPr>
      <w:r w:rsidRPr="00BC581C">
        <w:t>20.</w:t>
      </w:r>
      <w:r w:rsidRPr="00BC581C">
        <w:tab/>
        <w:t>zdůrazňuje, že EIB se musí zaměřit na skutečná selhání trhu a financovat projekty, které by samotný soukromý sektor nefinancoval nebo by je financoval za méně příznivých podmínek; upozorňuje, že investice EIB nesmí nahrazovat soukromý kapitál ani opakující se vnitrostátní rozpočtové výdaje; trvá na tom, že je nezbytné zachovat konkurenční tržní prostředí;</w:t>
      </w:r>
    </w:p>
    <w:p w:rsidR="00C316A7" w:rsidRPr="00BC581C" w:rsidP="00BC581C" w14:paraId="60486E33" w14:textId="77777777">
      <w:pPr>
        <w:pStyle w:val="NormalHanging12a"/>
      </w:pPr>
      <w:r w:rsidRPr="00BC581C">
        <w:t>21.</w:t>
      </w:r>
      <w:r w:rsidRPr="00BC581C">
        <w:tab/>
        <w:t>poukazuje na zásadní úlohu velkých podniků EU v hospodářské struktuře EU, zejména těch, které působí v klíčových odvětvích, jako je energetika, obrana a infrastruktura; vyzývá k vyváženému přístupu, který zajistí, že EIB bude i nadále podporovat velké podniky EU při zajišťování investičního kapitálu pro významné projekty a iniciativy v oblasti výzkumu a vývoje, a tím zvýší globální konkurenceschopnost a ekonomickou svrchovanost EU;</w:t>
      </w:r>
    </w:p>
    <w:p w:rsidR="00C316A7" w:rsidRPr="00BC581C" w:rsidP="00BC581C" w14:paraId="55B88274" w14:textId="77777777">
      <w:pPr>
        <w:pStyle w:val="NormalHanging12a"/>
      </w:pPr>
      <w:r w:rsidRPr="00BC581C">
        <w:t>22.</w:t>
      </w:r>
      <w:r w:rsidRPr="00BC581C">
        <w:tab/>
        <w:t xml:space="preserve">vybízí EIB, aby i nadále plnila svou úlohu při zlepšování přístupu MSP, starupů a scaleupů k financování, čímž se zvýší dlouhodobá konkurenceschopnost EU, neboť tyto podniky často čelí překážkám v přístupu k financování tradičních finančních institucí, a </w:t>
      </w:r>
      <w:r w:rsidRPr="00BC581C">
        <w:t>při poskytování cíleného financování, aby měly dostatek zdrojů k růstu a prosperitě; vítá soustavné rozšiřování počtu partnerských institucí a vybízí k pokračování tohoto trendu, aby bylo dosaženo širokého zeměpisného a odvětvového pokrytí; vyzývá EIB, aby zvýšila podíl financování zaměřeného na investice zvyšující konkurenceschopnost, zejména ve strategických odvětvích, jako je vyspělá výroba, digitální technologie a energetická odolnost;</w:t>
      </w:r>
    </w:p>
    <w:p w:rsidR="00C316A7" w:rsidRPr="00BC581C" w:rsidP="00BC581C" w14:paraId="22717382" w14:textId="77777777">
      <w:pPr>
        <w:pStyle w:val="NormalHanging12a"/>
      </w:pPr>
      <w:r w:rsidRPr="00BC581C">
        <w:t>23.</w:t>
      </w:r>
      <w:r w:rsidRPr="00BC581C">
        <w:tab/>
        <w:t xml:space="preserve">bere na vědomí závěry EÚD uvedené ve zvláštní zprávě 07/2025, které potvrzují důležitost podpory z Evropského fondu pro strategické investice (EFSI), ale také to, že nebyla dostatečně prokázána její adicionalita a že Komise neověřila, zda prostředky EFSI nevytěsňují soukromé investice; zdůrazňuje, že stejné připomínky by mohly být vzneseny i v souvislosti s operacemi EIB v rámci Programu InvestEU; zdůrazňuje rizika vytěsňování soukromých investic, např. umělým snižováním rizikových přirážek, zejména na trzích, jako je energie z obnovitelných zdrojů, což oslabuje cenové signály, jimiž se řídí efektivní investování, a mohlo by být vnímáno jako forma environmentálních dezinformací; žádá, aby byla prováděna posouzení vytěsňování soukromých investic </w:t>
      </w:r>
      <w:r w:rsidRPr="00BC581C">
        <w:rPr>
          <w:i/>
        </w:rPr>
        <w:t>ex post</w:t>
      </w:r>
      <w:r w:rsidRPr="00BC581C">
        <w:t>;</w:t>
      </w:r>
    </w:p>
    <w:p w:rsidR="00C316A7" w:rsidRPr="00BC581C" w:rsidP="00BC581C" w14:paraId="7569141F" w14:textId="77777777">
      <w:pPr>
        <w:pStyle w:val="NormalHanging12a"/>
      </w:pPr>
      <w:r w:rsidRPr="00BC581C">
        <w:t>24.</w:t>
      </w:r>
      <w:r w:rsidRPr="00BC581C">
        <w:tab/>
        <w:t xml:space="preserve">konstatuje, že úvěry EIB s sebou někdy nesou vyšší administrativní zátěž než komerční půjčky; varuje, že nadměrné požadavky na podávání zpráv snižují atraktivitu financování EIB pro soukromý sektor a mohou podniky odrazovat od realizace ekonomicky životaschopných projektů; vyzývá EIB, aby zveřejnila plány k omezení překážek; vyzývá Komisi a EIB, aby posoudily, jak zrychlit poskytování financování ze strany EIB a zjednodušit mandáty pro financování a požadavky na podávání zpráv, aniž by byly ohroženy auditní standardy; žádá EIB, aby s ohledem na iniciativy skupiny EIB v oblasti digitalizace a rychlejšího poskytování financování podávala zprávy o prokázaných tržních mezerách a výsledcích </w:t>
      </w:r>
      <w:r w:rsidRPr="00BC581C">
        <w:rPr>
          <w:i/>
        </w:rPr>
        <w:t>ex post</w:t>
      </w:r>
      <w:r w:rsidRPr="00BC581C">
        <w:t xml:space="preserve"> a o zjednodušení administrativy, doby zpracování a zátěže spojené s dokumentací;</w:t>
      </w:r>
    </w:p>
    <w:p w:rsidR="00C316A7" w:rsidRPr="00BC581C" w:rsidP="00BC581C" w14:paraId="5B35D78E" w14:textId="77777777">
      <w:pPr>
        <w:pStyle w:val="Normal12a"/>
        <w:ind w:left="566" w:hanging="566"/>
      </w:pPr>
      <w:r w:rsidRPr="00BC581C">
        <w:rPr>
          <w:b/>
          <w:i/>
        </w:rPr>
        <w:t>Oblasti politiky týkající se soudržnosti, klimatu, digitalizace a environmentální udržitelnosti</w:t>
      </w:r>
    </w:p>
    <w:p w:rsidR="00C316A7" w:rsidRPr="00BC581C" w:rsidP="00BC581C" w14:paraId="3B9B4AD0" w14:textId="77777777">
      <w:pPr>
        <w:pStyle w:val="NormalHanging12a"/>
      </w:pPr>
      <w:r w:rsidRPr="00BC581C">
        <w:t>25.</w:t>
      </w:r>
      <w:r w:rsidRPr="00BC581C">
        <w:tab/>
        <w:t xml:space="preserve">zdůrazňuje, že podávání zpráv založené na objemu měří výstupy, nikoli výsledky; vyzývá EIB, aby nadále </w:t>
      </w:r>
      <w:r w:rsidRPr="00BC581C">
        <w:t>používala</w:t>
      </w:r>
      <w:r w:rsidRPr="00BC581C">
        <w:t xml:space="preserve"> a ještě rozšířila ukazatele zaměřené na výsledky, jako je množství emisí CO</w:t>
      </w:r>
      <w:r w:rsidRPr="00BC581C">
        <w:rPr>
          <w:vertAlign w:val="subscript"/>
        </w:rPr>
        <w:t>2</w:t>
      </w:r>
      <w:r w:rsidRPr="00BC581C">
        <w:t>, jimž bylo zamezeno, nebo počet vytvořených dlouhodobých pracovních míst v soukromém sektoru na investované euro; žádá, aby se porovnávaly srovnatelné intervence;</w:t>
      </w:r>
    </w:p>
    <w:p w:rsidR="00C316A7" w:rsidRPr="00BC581C" w:rsidP="00BC581C" w14:paraId="4F91DA70" w14:textId="77777777">
      <w:pPr>
        <w:pStyle w:val="NormalHanging12a"/>
      </w:pPr>
      <w:r w:rsidRPr="00BC581C">
        <w:t>26.</w:t>
      </w:r>
      <w:r w:rsidRPr="00BC581C">
        <w:tab/>
        <w:t>zdůrazňuje, že podávání zpráv o klimatu a udržitelnosti musí vycházet z ověřitelných výstupů a výsledků (včetně snížení emisí, zvýšení odolnosti a pákového efektu) a musí být podpořeno soudržnou metodikou pro portfolio a nezávislým hodnocením;</w:t>
      </w:r>
    </w:p>
    <w:p w:rsidR="00C316A7" w:rsidRPr="00BC581C" w:rsidP="00BC581C" w14:paraId="2975E277" w14:textId="77777777">
      <w:pPr>
        <w:pStyle w:val="NormalHanging12a"/>
      </w:pPr>
      <w:r w:rsidRPr="00BC581C">
        <w:t>27.</w:t>
      </w:r>
      <w:r w:rsidRPr="00BC581C">
        <w:tab/>
        <w:t>bere na vědomí rekordní financování soudržnosti skupinou EIB v roce 2024 ve výši 38,3 miliardy EUR, což představuje 48 % celkového financování EU; vyzývá EIB, aby zveřejňovala údaje o dopadu na jednotlivé regiony a umožnila tak účinnou kontrolu;</w:t>
      </w:r>
    </w:p>
    <w:p w:rsidR="00C316A7" w:rsidRPr="00BC581C" w:rsidP="00BC581C" w14:paraId="2A7DB8A9" w14:textId="77777777">
      <w:pPr>
        <w:pStyle w:val="NormalHanging12a"/>
      </w:pPr>
      <w:r w:rsidRPr="00BC581C">
        <w:t>28.</w:t>
      </w:r>
      <w:r w:rsidRPr="00BC581C">
        <w:tab/>
        <w:t xml:space="preserve">vyzývá EIB, aby zvýšila transparentnost, pokud jde o její průřezové cíle, a to tím, že bude jasně rozlišovat mezi cíli stanovenými v nařízeních EU a cíli iniciovanými samotnou EIB; požaduje podrobný rozpis toho, jak jednotlivé cíle soutěží o zdroje; varuje, že z důvodu neustálé kumulace překrývajících se cílů začleňování hrozí vytvoření matematicky nemožného složení portfolia; vyzývá EIB, aby transparentně informovala o kompromisech mezi vzájemně si konkurujícími cíli politik; opakuje, že </w:t>
      </w:r>
      <w:r w:rsidRPr="00BC581C">
        <w:t>cíle začleňování by měly být hodnoceny z hlediska jejich skutečného dopadu; konstatuje, že vzhledem k současné geopolitické situaci a bezpečnostním výzvám, kterým Evropa čelí, by měly být navýšeny investice do obrany a bezpečnosti, včetně podpory infrastruktury na ochranu vnějších hranic;</w:t>
      </w:r>
    </w:p>
    <w:p w:rsidR="00C316A7" w:rsidRPr="00BC581C" w:rsidP="00BC581C" w14:paraId="34220589" w14:textId="77777777">
      <w:pPr>
        <w:pStyle w:val="NormalHanging12a"/>
      </w:pPr>
      <w:r w:rsidRPr="00BC581C">
        <w:t>29.</w:t>
      </w:r>
      <w:r w:rsidRPr="00BC581C">
        <w:tab/>
        <w:t>vyzývá EIB a EIF, aby podporovaly investice do kybernetické bezpečnosti, dohledu a digitálních technologií s cílem zvýšit odolnost Evropy a zároveň posílit stávající mechanismy spolupráce a chránit základní služby;</w:t>
      </w:r>
    </w:p>
    <w:p w:rsidR="00C316A7" w:rsidRPr="00BC581C" w:rsidP="00BC581C" w14:paraId="183B1FF4" w14:textId="77777777">
      <w:pPr>
        <w:pStyle w:val="Normal12a"/>
        <w:ind w:left="566" w:hanging="566"/>
      </w:pPr>
      <w:r w:rsidRPr="00BC581C">
        <w:rPr>
          <w:b/>
          <w:i/>
        </w:rPr>
        <w:t xml:space="preserve">Činnost EIB mimo EU </w:t>
      </w:r>
    </w:p>
    <w:p w:rsidR="00C316A7" w:rsidRPr="00BC581C" w:rsidP="00BC581C" w14:paraId="2F459C8C" w14:textId="77777777">
      <w:pPr>
        <w:pStyle w:val="NormalHanging12a"/>
      </w:pPr>
      <w:r w:rsidRPr="00BC581C">
        <w:t>30.</w:t>
      </w:r>
      <w:r w:rsidRPr="00BC581C">
        <w:tab/>
        <w:t>trvá na tom, aby se na půjčky mimo EU vztahovaly spolehlivé záruky v oblasti transparentnosti, ochrany před podvody, dodržování sankcí, lidských práv a právního státu a aby zohledňovaly spolupráci v souvislosti s dohodami o návratu a byly v souladu s cíli vnější politiky EU; požaduje přísnější kontroly ex ante a ex post, mj. sledovatelnost konečných příjemců, a rozhodná opatření proti korupci, větší nebo ekvivalentní transparentnost, posouzení dopadu ex ante a úplnou odpovědnost vůči veřejnosti u všech operací EIB mimo EU;</w:t>
      </w:r>
    </w:p>
    <w:p w:rsidR="00C316A7" w:rsidRPr="00BC581C" w:rsidP="00BC581C" w14:paraId="1C937696" w14:textId="77777777">
      <w:pPr>
        <w:pStyle w:val="NormalHanging12a"/>
      </w:pPr>
      <w:r w:rsidRPr="00BC581C">
        <w:t>31.</w:t>
      </w:r>
      <w:r w:rsidRPr="00BC581C">
        <w:tab/>
        <w:t>vítá přijetí Nástroje pro Ukrajinu v roce 2024, který navazuje na iniciativu EIB EU pro Ukrajinu a zavádí mechanismus podpory založený na rozpočtových zdrojích EU; vybízí členské státy, aby zajistily, že této zemi bude i nadále poskytována řádná podpora v souladu s jejími potřebami; vyzývá EIB, aby zajistila transparentnost a sledovatelnost svých projektů na Ukrajině; upozorňuje na důležitost posílení správní a auditní kapacity ukrajinských orgánů pověřených prováděním, monitorováním a kontrolou financovaných opatření;</w:t>
      </w:r>
    </w:p>
    <w:p w:rsidR="00C316A7" w:rsidRPr="00BC581C" w:rsidP="00BC581C" w14:paraId="60391628" w14:textId="353858F4">
      <w:pPr>
        <w:pStyle w:val="NormalHanging12a"/>
      </w:pPr>
      <w:r w:rsidRPr="00BC581C">
        <w:t>32.</w:t>
      </w:r>
      <w:r w:rsidRPr="00BC581C">
        <w:tab/>
        <w:t>všímá si, že od začátku ruské válečné agrese vyplatila EIB Ukrajině 2,3 miliardy EUR na pomoc při mimořádných událostech a podporu projektů; bere na vědomí, že expozice EIB plynoucí z vyplacených prostředků na Ukrajině je kryta převážně zárukami EU v rámci vnějšího zápůjčního mandátu EU</w:t>
      </w:r>
      <w:r>
        <w:rPr>
          <w:rStyle w:val="FootnoteReference"/>
        </w:rPr>
        <w:footnoteReference w:customMarkFollows="1" w:id="5"/>
        <w:t xml:space="preserve">4</w:t>
      </w:r>
      <w:r w:rsidRPr="00BC581C">
        <w:t>; zdůrazňuje, že podpora EIB poskytnutá soukromému sektoru umožnila ukrajinským bankám pokračovat v poskytování úvěrů reálné ekonomice; konstatuje, že do konce roku 2024 poskytla EIB finanční záruky na expozice vůči protistranám na Ukrajině ve výši 500,5 milionu EUR, které byly rovněž plně kryté zárukami EU; poznamenává, že EIB je stále přítomna na místě na Ukrajině a její kancelář v Kyjevě je postupně znovu personálně obsazována; opakuje svou výzvu EIB, aby rozpočtovému orgánu a příslušným kontrolním orgánům pravidelně poskytovala podrobné informace o vyplácení a čerpání finančních prostředků krytých zárukami EU;</w:t>
      </w:r>
    </w:p>
    <w:p w:rsidR="00C316A7" w:rsidRPr="00BC581C" w:rsidP="00BC581C" w14:paraId="0913E92E" w14:textId="77777777">
      <w:pPr>
        <w:pStyle w:val="NormalHanging12a"/>
      </w:pPr>
      <w:r w:rsidRPr="00BC581C">
        <w:t>33.</w:t>
      </w:r>
      <w:r w:rsidRPr="00BC581C">
        <w:tab/>
        <w:t xml:space="preserve">konstatuje, že v roce 2024 byla skupina EIB vybrána jako jeden z hlavních prováděcích partnerů Investičního rámce pro Ukrajinu, který je součástí Nástroje pro Ukrajinu, v jehož rámci EU v období 2024–2027 přidělí 50 miliard EUR na financování ukrajinského státního rozpočtu, stimulaci investic a poskytování technické podpory; </w:t>
      </w:r>
      <w:r w:rsidRPr="00BC581C">
        <w:t>konstatuje, že tento rámec se skládá ze záruk a grantů pro evropské a další rozvojové finanční instituce a že nejméně 2 miliardy EUR z dostupné podpory jsou určeny na podporu půjček EIB veřejnému sektoru;</w:t>
      </w:r>
    </w:p>
    <w:p w:rsidR="00C316A7" w:rsidRPr="00BC581C" w:rsidP="00BC581C" w14:paraId="5BE54BB9" w14:textId="77777777">
      <w:pPr>
        <w:pStyle w:val="NormalHanging12a"/>
      </w:pPr>
      <w:r w:rsidRPr="00BC581C">
        <w:t>34.</w:t>
      </w:r>
      <w:r w:rsidRPr="00BC581C">
        <w:tab/>
        <w:t>připomíná, že EIB je odhodlána předcházet podvodům a korupci při provádění projektů skupiny EIB na Ukrajině a řešit je; vítá ujednání EIB o spolupráci s ukrajinskými orgány pro boj proti korupci a pro vyšetřování a vyzývá EIB, aby do své zprávy pro Parlament zahrnula informace o zárukách integrity, mechanismech zmírňování rizika podvodů a zpětného vymáhání prostředků u operací spojených s Ukrajinou a zároveň zajistila provozní bezpečnost a důvěrnost; opakuje svou výzvu k zajištění toho, aby poskytování finanční pomoci bylo doprovázeno účinnými mechanismy dohledu, a trvá na tom, že v případě projektů, kterým byla poskytnuta podpora nebo pomoc, by EIB měla mít možnost neustále a bez omezení jasně dohlížet na všechny své investice mimo EU;</w:t>
      </w:r>
    </w:p>
    <w:p w:rsidR="00C316A7" w:rsidRPr="00BC581C" w:rsidP="00BC581C" w14:paraId="0696D306" w14:textId="77777777">
      <w:pPr>
        <w:pStyle w:val="NormalHanging12a"/>
      </w:pPr>
      <w:r w:rsidRPr="00BC581C">
        <w:t>35.</w:t>
      </w:r>
      <w:r w:rsidRPr="00BC581C">
        <w:tab/>
        <w:t xml:space="preserve">bere na vědomí, že správní rada EIB přijala strategický plán EIB Global, dále bere na vědomí roli EIB v Global Gateway a partnerství EIB s Týmem Evropa a partnery z OSN v zájmu dosažení maximálního dopadu v terénu; vyzývá EIB a členské státy, aby posílily roli evropských podpůrných bank a dalších mezinárodních finančních institucí, a pomohly tak mobilizovat další veřejné a soukromé investice; žádá EIB, aby se ve svých projektech mimo EU také zaměřila na naprosto zásadně důležité veřejné služby, </w:t>
      </w:r>
    </w:p>
    <w:p w:rsidR="00C316A7" w:rsidRPr="00BC581C" w:rsidP="00BC581C" w14:paraId="632A4659" w14:textId="77777777">
      <w:pPr>
        <w:pStyle w:val="NormalHanging12a"/>
      </w:pPr>
      <w:r w:rsidRPr="00BC581C">
        <w:t>36.</w:t>
      </w:r>
      <w:r w:rsidRPr="00BC581C">
        <w:tab/>
        <w:t>uznává, že Ukrajina se brání proti protiprávní agresi Ruska a že je třeba v co největší míře pokračovat v protikorupčním úsilí, ale zároveň zohlednit tyto mimořádné okolnosti; zdůrazňuje, že pro zachování důvěry daňových poplatníků a zajištění pokračující veřejné podpory Ukrajině jsou nezbytná spolehlivá opatření proti podvodům a korupci; vyzývá EIB, aby zajistila, že finanční prostředky z Nástroje pro Ukrajinu budou podléhat přísným auditním standardům; trvá na tom, že EIB by měla mít neomezený dohled nad všemi svými investicemi mimo EU;</w:t>
      </w:r>
    </w:p>
    <w:p w:rsidR="00C316A7" w:rsidRPr="00BC581C" w:rsidP="00BC581C" w14:paraId="67D9B4DF" w14:textId="77777777">
      <w:pPr>
        <w:pStyle w:val="NormalHanging12a"/>
      </w:pPr>
      <w:r w:rsidRPr="00BC581C">
        <w:t>37.</w:t>
      </w:r>
      <w:r w:rsidRPr="00BC581C">
        <w:tab/>
        <w:t>vyzývá EIB, aby ve všech dohodách se zprostředkovateli, partnerskými institucemi a prováděcími subjekty, zejména u všech svých aktivit mimo EU, zajistila účinná přístupová práva pro EÚD, Evropský úřad pro boj proti podvodům (OLAF) a Úřad evropského veřejného žalobce (EPPO) a dostupnost auditních stop až po úroveň konečných příjemců, je-li to proveditelné, v souladu s pravidly EU pro ochranu finančních zájmů EU;</w:t>
      </w:r>
    </w:p>
    <w:p w:rsidR="00C316A7" w:rsidRPr="00BC581C" w:rsidP="00BC581C" w14:paraId="25FCC879" w14:textId="77777777">
      <w:pPr>
        <w:pStyle w:val="Normal12a"/>
        <w:ind w:left="566" w:hanging="566"/>
      </w:pPr>
      <w:r w:rsidRPr="00BC581C">
        <w:rPr>
          <w:b/>
          <w:i/>
        </w:rPr>
        <w:t>Struktura odpovědnosti EIB</w:t>
      </w:r>
    </w:p>
    <w:p w:rsidR="00C316A7" w:rsidRPr="00BC581C" w:rsidP="00BC581C" w14:paraId="6DA38E4A" w14:textId="77777777">
      <w:pPr>
        <w:pStyle w:val="NormalHanging12a"/>
      </w:pPr>
      <w:r w:rsidRPr="00BC581C">
        <w:t>38.</w:t>
      </w:r>
      <w:r w:rsidRPr="00BC581C">
        <w:tab/>
        <w:t>konstatuje, že stávající míra odpovědnosti skupiny EIB je výsledkem toho, že EIB funguje v duálním režimu, kdy operace financované z rozpočtu EU jsou nepřímo kontrolovány Komisí a EÚD a Parlamentem v rámci jeho rozhodnutí o udělení absolutoria za plnění rozpočtu EU, zatímco operace financované z vlastních zdrojů EIB pocházejících od členských států – více než tři čtvrtiny operací EIB – povětšinou spadají mimo systematický externí audit a kontrolu vnitrostátních parlamentů a Evropského parlamentu; všímá si také, že EIB nepodléhá žádnému vnějšímu bankovnímu dohledu, na rozdíl od Evropské centrální banky, na kterou dohlíží jednotný mechanismus dohledu;</w:t>
      </w:r>
    </w:p>
    <w:p w:rsidR="00C316A7" w:rsidRPr="00BC581C" w:rsidP="00BC581C" w14:paraId="36969FE6" w14:textId="77777777">
      <w:pPr>
        <w:pStyle w:val="NormalHanging12a"/>
      </w:pPr>
      <w:r w:rsidRPr="00BC581C">
        <w:t>39.</w:t>
      </w:r>
      <w:r w:rsidRPr="00BC581C">
        <w:tab/>
        <w:t xml:space="preserve">konstatuje, že EIB má komplexní interní strukturu odpovědnosti a externího auditora, který zajišťuje dohled nad operacemi a účetním systémem EIB; souhlasí s tím, že tato </w:t>
      </w:r>
      <w:r w:rsidRPr="00BC581C">
        <w:t>struktura je obecně v souladu s mezinárodní praxí; zdůrazňuje, že vzhledem k tomu, že tradiční role EIB se rozšiřuje a roste využívání složitých finančních nástrojů a kombinovaných operací, transparentnost a zveřejňování informací ze strany EIB jsou často zpochybňovány, její etický rámec není optimální, podávání zpráv Parlamentu je příležitostné, spolupráce s evropskou veřejnou ochránkyní práv se posunula a role EÚD je omezena stávajícími pravidly a prováděcími opatřeními; zdůrazňuje, že je třeba, aby EIB přijala konkrétní opatření k řešení této situace, v souladu s předchozími výzvami v usneseních Parlamentu a připraveností k dialogu a spolupráci, kterou vyjádřil evropský rozpočtový orgán a orgán příslušný k udělení absolutoria;</w:t>
      </w:r>
    </w:p>
    <w:p w:rsidR="00C316A7" w:rsidRPr="00BC581C" w:rsidP="00BC581C" w14:paraId="4B810D80" w14:textId="77777777">
      <w:pPr>
        <w:pStyle w:val="NormalHanging12a"/>
      </w:pPr>
      <w:r w:rsidRPr="00BC581C">
        <w:t>40.</w:t>
      </w:r>
      <w:r w:rsidRPr="00BC581C">
        <w:tab/>
        <w:t>připomíná zjištění obsažená v prohlášení Kontaktního výboru CC 1/2025, která formálně označila kritické nedostatky v externím veřejném auditu EIB; všímá si paradoxu, že mandát EIB a rozpočtové záruky EU se rozšiřují, ale pravomoci v oblasti auditu zůstávají omezené; vyzývá EIB, aby do tohoto procesu aktivně zapojovala vnitrostátní nejvyšší kontrolní orgány, a tak zajistila odpovědnost u operací, které v současné době nepodléhají EÚD, a zaručila spolehlivou odpovědnost a dohled, mj. prostřednictvím pravidelného sdílení informací o rizikových oblastech a opatření navazujících na doporučení po auditu; opakuje, že je třeba změnit Smlouvy, aby byl EÚD při výkonu jeho mandátu poskytnut plný a neomezený přístup ke všem operacím EIB, a tak se demokratická odpovědnost vyrovnala vyvíjející se finanční expozici EIB;</w:t>
      </w:r>
    </w:p>
    <w:p w:rsidR="00C316A7" w:rsidRPr="00BC581C" w:rsidP="00BC581C" w14:paraId="30EFC443" w14:textId="77777777">
      <w:pPr>
        <w:pStyle w:val="NormalHanging12a"/>
      </w:pPr>
      <w:r w:rsidRPr="00BC581C">
        <w:t>41.</w:t>
      </w:r>
      <w:r w:rsidRPr="00BC581C">
        <w:tab/>
        <w:t>vyjadřuje znepokojení nad úpadkem společnosti Northvolt, AB, výrobce baterií, který dne 12. března 2025 vyhlásil ve Švédsku úpadek, a to poté, co využil rozsáhlého úvěrového balíčku EIB ve výši o něco více než 942,6 milionu EUR, který byl podepsán v roce 2020 v rámci dluhového financování získaného na rozšíření gigatovárny; konstatuje, že podobná rizika zřejmě existují u podobných velkých projektů, jako je Stegra (H2 Green Steel); vyzývá ke zveřejnění posouzení rizik EIB a hodnocení po operacích, včetně hodnocení finanční expozice a adekvátnosti indikátorů včasného varování, jakmile to probíhající procesy umožní; požaduje přezkoumání zkušeností získaných z případu Northvolt; vyzývá Komisi a správní radu EIB, aby vytvořily mechanismy pro včasné odhalení systémových rizik ve stěžejních investicích, aby se předešlo opakování podobných situací; žádá EIB, aby zveřejnila profily posouzení rizik u těchto a dalších podobných projektů, včetně rizik v oblasti správy, koncentrace a technologií, a to způsobem, který je vhodně agregovaný, ale respektuje důvěrnost; znovu vyzývá EIB, aby poskytla podrobné informace o hodnotícím a rozhodovacím procesu, který probíhal před investicí do společnosti Northvolt AB, a aby vysvětlila, jak je možné, že tak zásadní projekt selhal navzdory tvrzení EIB, že provádí odpovídající a průběžnou kontrolu příjemců své finanční podpory;</w:t>
      </w:r>
    </w:p>
    <w:p w:rsidR="00C316A7" w:rsidRPr="00BC581C" w:rsidP="00BC581C" w14:paraId="7949133B" w14:textId="77777777">
      <w:pPr>
        <w:pStyle w:val="NormalHanging12a"/>
      </w:pPr>
      <w:r w:rsidRPr="00BC581C">
        <w:t>42.</w:t>
      </w:r>
      <w:r w:rsidRPr="00BC581C">
        <w:tab/>
        <w:t>vyzývá EIB, aby zavedla zvýšené zátěžové testování a limity koncentrace rizik pro velké strategické projekty a aby podala Parlamentu zprávu o souhrnné expozici vůči vysoce rizikovým jednotlivým dlužníkům;</w:t>
      </w:r>
    </w:p>
    <w:p w:rsidR="00C316A7" w:rsidRPr="00BC581C" w:rsidP="00BC581C" w14:paraId="0373B6EC" w14:textId="77777777">
      <w:pPr>
        <w:pStyle w:val="NormalHanging12a"/>
      </w:pPr>
      <w:r w:rsidRPr="00BC581C">
        <w:t>43.</w:t>
      </w:r>
      <w:r w:rsidRPr="00BC581C">
        <w:tab/>
        <w:t>vyzývá EIB, aby systematicky vyhodnocovala a veřejně informovala o výskytu opožděných plateb a úpadku příjemců v celém svém úvěrovém portfoliu; trvá na tom, že toto hodnocení by mělo zahrnovat analýzu hlavních příčin s cílem určit, zda selhání vyplývají z nedostatečné náležité péče, vnějších otřesů nebo systémových problémů v metodikách výběru projektů; zdůrazňuje, že transparentní podávání zpráv má zásadní význam pro posouzení efektivnosti nákladů a pro zachování důvěry daňových poplatníků;</w:t>
      </w:r>
    </w:p>
    <w:p w:rsidR="00C316A7" w:rsidRPr="00BC581C" w:rsidP="00BC581C" w14:paraId="093D3236" w14:textId="77777777">
      <w:pPr>
        <w:pStyle w:val="NormalHanging12a"/>
      </w:pPr>
      <w:r w:rsidRPr="00BC581C">
        <w:t>44.</w:t>
      </w:r>
      <w:r w:rsidRPr="00BC581C">
        <w:tab/>
        <w:t>důrazně trvá na posílení prevence střetu zájmů s ohledem na nedávné případy efektu otáčivých dveří a doporučení evropské veřejné ochránkyně práv; požaduje revizi kodexu chování s cílem prosadit přísnější přechodná období po skončení funkce pro viceprezidenty EIB, zmocnit výbor pro etiku a compliance k ukládání opatření ke zmírnění rizik a stanovit jasnější pravidla pro podíl viceprezidentů EIB na rozhodnutích týkajících se jejich zemí původu; upozorňuje na nedávno zveřejněné informace, podle nichž od roku 2019 údajně došlo k pěti případům efektu otáčivých dveří u bývalých členů rozhodovacích orgánů EIB, včetně případu, kdy byl bývalý viceprezident EIB jmenován členem správní rady subjektu, pro který předtím podepsal půjčku EIB; konstatuje, že přechodné období po skončení funkce bylo prodlouženo na 24 měsíců; připomíná, že členové řídícího výboru by měli informovat výbor pro etiku a compliance a co nejrychleji požádat o schválení veškerých jednání týkajících se budoucího zaměstnání; sdílí názor evropské veřejné ochránkyně práv, že úloha výboru EIB pro etiku a compliance by měla být posílena; připomíná, že zmírňující opatření, jako je vyčlenění prostředků a přechodné období po skončení funkce, by měla být vnímána jako nezpochybnitelná;</w:t>
      </w:r>
    </w:p>
    <w:p w:rsidR="00C316A7" w:rsidRPr="00BC581C" w:rsidP="00BC581C" w14:paraId="0BBBF71F" w14:textId="77777777">
      <w:pPr>
        <w:pStyle w:val="NormalHanging12a"/>
      </w:pPr>
      <w:r w:rsidRPr="00BC581C">
        <w:t>45.</w:t>
      </w:r>
      <w:r w:rsidRPr="00BC581C">
        <w:tab/>
        <w:t>se znepokojením bere na vědomí existenci uniklého interního auditu EIB, podle nějž je třeba ustanovení o střetu zájmů „významně zlepšit“, mimo jiné proto, že nepokrývají zjevné a potenciální střety; poukazuje na to, že prohlášení o zájmech řídících a auditních orgánů EIB a EIF nejsou v souladu s ostatními mnohostrannými rozvojovými bankami a Evropskou centrální bankou a je třeba to neprodleně napravit; upozorňuje na nedostatečnou autoritu, nezávislost a rozsah funkcí EIB a EIF v oblasti dodržování etických zásad a rizika, která představuje složité podávání zpráv odhalujících citlivé osobní údaje; naléhavě vyzývá EIB, aby svá pravidla sladila s etickou sítí mnohostranných organizací a podala zprávu o přijatých následných opatřeních;</w:t>
      </w:r>
    </w:p>
    <w:p w:rsidR="00C316A7" w:rsidRPr="00BC581C" w:rsidP="00BC581C" w14:paraId="450407E6" w14:textId="77777777">
      <w:pPr>
        <w:pStyle w:val="NormalHanging12a"/>
      </w:pPr>
      <w:r w:rsidRPr="00BC581C">
        <w:t>46.</w:t>
      </w:r>
      <w:r w:rsidRPr="00BC581C">
        <w:tab/>
        <w:t>je si vědom toho, že nařízení (ES) č. 1049/2001</w:t>
      </w:r>
      <w:r>
        <w:rPr>
          <w:rStyle w:val="FootnoteReference"/>
        </w:rPr>
        <w:footnoteReference w:customMarkFollows="1" w:id="6"/>
        <w:t xml:space="preserve">5</w:t>
      </w:r>
      <w:r w:rsidRPr="00BC581C">
        <w:t xml:space="preserve"> se na EIB formálně nevztahuje a že politika EIB v oblasti transparentnosti, založená na „presumpci zpřístupnění“, má fungovat odděleně od tohoto nařízení, ale být s ním v souladu; vyzývá EIB, aby v souvislosti s přezkumem své politiky transparentnosti v roce 2026 omezila výjimky z presumpce zpřístupnění na nezbytně nutné a odůvodněné případy; vyzývá EIB, aby zveřejňovala podrobnější zápisy ze schůzí své správní rady, včetně záznamů o hlasování a odůvodnění týkajících se projektů, přičemž v nezbytně nutných případech bude respektovat legitimní důvěrnost;</w:t>
      </w:r>
    </w:p>
    <w:p w:rsidR="00C316A7" w:rsidRPr="00BC581C" w:rsidP="00BC581C" w14:paraId="46AFDFC4" w14:textId="77777777">
      <w:pPr>
        <w:pStyle w:val="NormalHanging12a"/>
      </w:pPr>
      <w:r w:rsidRPr="00BC581C">
        <w:t>47.</w:t>
      </w:r>
      <w:r w:rsidRPr="00BC581C">
        <w:tab/>
        <w:t>bere na vědomí rostoucí počet případů, které řeší mechanismus EIB pro vyřizování stížností (113 případů v roce 2024, 104 v roce 2023 a 97 v roce 2022); zdůrazňuje, že mechanismus vyřizování stížností je stále autoreferenčním postupem řešení sporů, který je plně začleněn do struktury EIB na úkor své nezávislosti a jehož zjištění podléhají přezkumu a schválení stejnými řídícími strukturami, které má mechanismus kontrolovat; konstatuje, že jmenování probíhá interně bez vnějšího dohledu; vyjadřuje politování nad tím, že mechanismus neinformuje správní radu o jednotlivých případech, ale pouze o souhrnných shrnutích v pololetních zprávách; vyzývá EIB, aby mechanismus pro vyřizování stížností reformovala tak, aby byla zajištěna jeho skutečná nezávislost a vnější odpovědnost;</w:t>
      </w:r>
    </w:p>
    <w:p w:rsidR="00C316A7" w:rsidRPr="00BC581C" w:rsidP="00BC581C" w14:paraId="64283A8B" w14:textId="77777777">
      <w:pPr>
        <w:pStyle w:val="NormalHanging12a"/>
      </w:pPr>
      <w:r w:rsidRPr="00BC581C">
        <w:t>48.</w:t>
      </w:r>
      <w:r w:rsidRPr="00BC581C">
        <w:tab/>
        <w:t>bere na vědomí zvýšenou pracovní zátěž vyšetřovacího oddělení (IG/IN) v roce 2024 (244 nových obvinění, z nichž 49 bylo postoupeno úřadům OLAF a EPPO); vyjadřuje politování nad tím, že ve výroční zprávě oddělení IG/IN stále chybí odpovídající informace o finančním rozsahu, dotčených fondech a mandátech, typech projektů, zmírňujících opatřeních a dotčených členských státech; znovu vyzývá generálního inspektora EIB a vedoucího oddělení IG/IN, aby zlepšili kvalitu údajů a spolupracovali s Parlamentem na lepší ochraně dotčených finančních zájmů a usilovali o náležitou rovnováhu mezi transparentností a důvěrností; zdůrazňuje, že tyto zprávy by měly zahrnovat analýzu hlavních příčin s cílem určit, zda selhání vyplývají z nedostatečné náležité péče, vnějších faktorů nebo systémových problémů při výběru projektů;</w:t>
      </w:r>
    </w:p>
    <w:p w:rsidR="00C316A7" w:rsidRPr="00BC581C" w:rsidP="00BC581C" w14:paraId="765AC640" w14:textId="77777777">
      <w:pPr>
        <w:pStyle w:val="NormalHanging12a"/>
      </w:pPr>
      <w:r w:rsidRPr="00BC581C">
        <w:t>49.</w:t>
      </w:r>
      <w:r w:rsidRPr="00BC581C">
        <w:tab/>
        <w:t>vítá spolupráci skupiny EIB s úřadem OLAF, úřadem EPPO a Europolem a bere na vědomí 29 případů postoupených úřadu OLAF a 20 případů postoupených úřadu EPPO v roce 2024; vítá zájem EIB o získání přístupu k nástroji Komise pro hodnocení rizik ARACHNE; vyzývá Komisi, aby tento přístup neprodleně umožnila, aby se posílilo odhalování a prevence podvodů ve všech operacích EIB;</w:t>
      </w:r>
    </w:p>
    <w:p w:rsidR="00C316A7" w:rsidRPr="00BC581C" w:rsidP="00BC581C" w14:paraId="13748AB3" w14:textId="77777777">
      <w:pPr>
        <w:pStyle w:val="NormalHanging12a"/>
      </w:pPr>
      <w:r w:rsidRPr="00BC581C">
        <w:t>50.</w:t>
      </w:r>
      <w:r w:rsidRPr="00BC581C">
        <w:tab/>
        <w:t>se znepokojením konstatuje, že autonomní systém EIB pro vylučování a systém Komise pro včasné odhalování rizik a vylučování hospodářských subjektů nejsou plně rovnocenné a nefungují na základě automatické reciprocity; vyzývá EIB, aby svou politiku pro vylučování plně sladila se systémem Komise pro včasné odhalování rizik a vylučování hospodářských subjektů, pokud jde o standardy rozhodování, výsledky a opravné prostředky, včetně systematického vzájemného uznávání rozhodnutí o vyloučení, pokud je to z právního hlediska možné; znovu vyzývá skupinu EIB a Komisi, aby spolupracovaly na identifikaci potenciálních nedostatků a navrhly nápravná opatření, včetně zrychleného postupu pro vymáhání rozhodnutí EIB o vyloučení prostřednictvím systému včasného odhalování rizik a vylučování hospodářských subjektů;</w:t>
      </w:r>
    </w:p>
    <w:p w:rsidR="00C316A7" w:rsidRPr="00BC581C" w:rsidP="00BC581C" w14:paraId="78F9BBD5" w14:textId="77777777">
      <w:pPr>
        <w:pStyle w:val="NormalHanging12a"/>
      </w:pPr>
      <w:r w:rsidRPr="00BC581C">
        <w:t>51.</w:t>
      </w:r>
      <w:r w:rsidRPr="00BC581C">
        <w:tab/>
        <w:t>vítá program EIB pro dodržování sankcí a vyzývá k pravidelnému podávání zpráv o kontrolách dodržování sankcí a zárukách proti jejich obcházení u operací financovaných EIB; vyzývá skupinu EIB, aby zlepšila postupy kontrol u kapitálových investic prováděných skrze finanční zprostředkovatele, včetně fondů rizikového kapitálu;</w:t>
      </w:r>
    </w:p>
    <w:p w:rsidR="00C316A7" w:rsidRPr="00BC581C" w:rsidP="00BC581C" w14:paraId="1FA7CD2C" w14:textId="77777777">
      <w:pPr>
        <w:pStyle w:val="NormalHanging12a"/>
      </w:pPr>
      <w:r w:rsidRPr="00BC581C">
        <w:t>52.</w:t>
      </w:r>
      <w:r w:rsidRPr="00BC581C">
        <w:tab/>
        <w:t>bere na vědomí, že dne 10. června 2024 zveřejnila EIB přílohu XII svého služebního řádu nazvanou „Rámec pro uznávání odborových svazů v Evropské investiční bance“; všímá si pokračujících snah EIB, pokud jde o dobré podmínky zaměstnanců, včetně duševního zdraví, a rovné příležitosti; vyzývá EIB, aby posílila politiku rozmanitosti a začleňování, včetně opatření zaměřených na začleňování osob se zdravotním postižením a rovné příležitosti; upozorňuje na důležitost spravedlivého zeměpisného zastoupení a genderové vyváženosti při náboru a ve vedoucích pozicích a současně potvrzuje, že hlavním kritériem by měl být výběr na základě zásluh, a žádá EIB, aby podala zprávu o zeměpisném a genderovém zastoupení na všech úrovních;</w:t>
      </w:r>
    </w:p>
    <w:p w:rsidR="00C316A7" w:rsidRPr="00BC581C" w:rsidP="00BC581C" w14:paraId="0376CEF4" w14:textId="77777777">
      <w:pPr>
        <w:pStyle w:val="NormalHanging12a"/>
      </w:pPr>
      <w:r w:rsidRPr="00BC581C">
        <w:t>53.</w:t>
      </w:r>
      <w:r w:rsidRPr="00BC581C">
        <w:tab/>
        <w:t>připomíná význam ochrany oznamovatelů a silných protikorupčních rámců;</w:t>
      </w:r>
    </w:p>
    <w:p w:rsidR="00C316A7" w:rsidRPr="00BC581C" w:rsidP="00BC581C" w14:paraId="7FEE226E" w14:textId="77777777">
      <w:pPr>
        <w:pStyle w:val="Normal12a"/>
        <w:ind w:left="566" w:hanging="566"/>
      </w:pPr>
      <w:r w:rsidRPr="00BC581C">
        <w:rPr>
          <w:b/>
          <w:i/>
        </w:rPr>
        <w:t>Transparentnost, kontrola a dohled</w:t>
      </w:r>
    </w:p>
    <w:p w:rsidR="00C316A7" w:rsidRPr="00BC581C" w:rsidP="00BC581C" w14:paraId="6DABD436" w14:textId="77777777">
      <w:pPr>
        <w:pStyle w:val="NormalHanging12a"/>
      </w:pPr>
      <w:r w:rsidRPr="00BC581C">
        <w:t>54.</w:t>
      </w:r>
      <w:r w:rsidRPr="00BC581C">
        <w:tab/>
        <w:t>bere na vědomí, že hlavní příslušné auditní úkoly jsou svěřeny výboru EIB pro audit; domnívá se, že zapojení kvalifikovaných externích zástupců do specifických úkolů výboru pro audit by mohlo zvýšit objektivitu jeho analýz;</w:t>
      </w:r>
    </w:p>
    <w:p w:rsidR="00C316A7" w:rsidRPr="00BC581C" w:rsidP="00BC581C" w14:paraId="73F91E5D" w14:textId="77777777">
      <w:pPr>
        <w:pStyle w:val="NormalHanging12a"/>
      </w:pPr>
      <w:r w:rsidRPr="00BC581C">
        <w:t>55.</w:t>
      </w:r>
      <w:r w:rsidRPr="00BC581C">
        <w:tab/>
        <w:t>konstatuje, že transparentnost a přístup k informacím se v posledních letech zlepšily, např. snaha o zlepšení dokumentace rozhodování, včetně případného uvedení požadované většiny; všímá si, že zveřejňování informací na úrovni projektů a sledovatelnost jsou i nadále nerovnoměrné, zejména u operací zahrnujících finanční zprostředkovatele a složité záruční struktury; vyzývá EIB, aby lépe sladila své vnitřní ukazatele s celounijními standardy udržitelnosti (například napravením nesouladu mezi ukazatelem EIB pro opatření v oblasti klimatu a ukazatelem EU pro zelená aktiva); připomíná, že náležité podávání zpráv je nezbytným předpokladem transparentnosti, a vyjadřuje politování nad tím, že podávání zpráv Parlamentu závisí na dobrovolných a příležitostných vystoupeních prezidentky EIB, a to buď na plenárním zasedání, nebo na schůzce s výborem s odvětvovými pravomocemi;</w:t>
      </w:r>
    </w:p>
    <w:p w:rsidR="00C316A7" w:rsidRPr="00BC581C" w:rsidP="00BC581C" w14:paraId="370ED4A4" w14:textId="77777777">
      <w:pPr>
        <w:pStyle w:val="NormalHanging12a"/>
      </w:pPr>
      <w:r w:rsidRPr="00BC581C">
        <w:t>56.</w:t>
      </w:r>
      <w:r w:rsidRPr="00BC581C">
        <w:tab/>
        <w:t>bere na vědomí zjištění indexu transparentnosti rozvojových finančních institucí z roku 2025, z nichž vyplývá, že EIB dosahuje nižšího skóre než jiné mnohostranné rozvojové banky, jako je Světová banka, Asijská rozvojová banka a Africká rozvojová banka, pokud jde o celkové ukazatele transparentnosti; uznává však významné silné stránky EIB uvedené ve zprávě „Behind the Billions“</w:t>
      </w:r>
      <w:r>
        <w:rPr>
          <w:rStyle w:val="FootnoteReference"/>
        </w:rPr>
        <w:footnoteReference w:customMarkFollows="1" w:id="7"/>
        <w:t xml:space="preserve">6</w:t>
      </w:r>
      <w:r w:rsidRPr="00BC581C">
        <w:t xml:space="preserve"> z listopadu 2025, která označuje zveřejňování informací EIB za „osvědčený postup“ pro zajištění téměř úplné sledovatelnosti jejího financování opatření v oblasti klimatu; zdůrazňuje, že EIB by nyní měla využít svého prokázaného vedoucího postavení v oblasti pokrytí dat k poskytnutí podrobných údajů o dopadu a standardizovaných metodik potřebných k ověření účinnosti a efektivnosti svých investic;</w:t>
      </w:r>
    </w:p>
    <w:p w:rsidR="00C316A7" w:rsidRPr="00BC581C" w:rsidP="00BC581C" w14:paraId="4F005EFC" w14:textId="77777777">
      <w:pPr>
        <w:pStyle w:val="NormalHanging12a"/>
      </w:pPr>
      <w:r w:rsidRPr="00BC581C">
        <w:t>57.</w:t>
      </w:r>
      <w:r w:rsidRPr="00BC581C">
        <w:tab/>
        <w:t>je si vědom toho, že na půjčky EIB se nevztahují stejné povinnosti týkající se viditelnosti jako na granty; žádá však EIB, aby zajistila, aby platné smluvní a právní rámce u všech projektů financovaných s podporou EIB zajišťovaly transparentnost a jasně uváděly, že jsou financovány s podporou občanů členských států, aby se zvýšilo povědomí veřejnosti o hmatatelných přínosech evropských investic a posílila důvěra daňových poplatníků ve využívání veřejných zdrojů;</w:t>
      </w:r>
    </w:p>
    <w:p w:rsidR="00C316A7" w:rsidRPr="00BC581C" w:rsidP="00BC581C" w14:paraId="5C48C75B" w14:textId="77777777">
      <w:pPr>
        <w:pStyle w:val="NormalHanging12a"/>
      </w:pPr>
      <w:r w:rsidRPr="00BC581C">
        <w:t>58.</w:t>
      </w:r>
      <w:r w:rsidRPr="00BC581C">
        <w:tab/>
        <w:t>opakuje svůj postoj, že je důležité v plném rozsahu provádět politiku v oblasti daňových podvodů, úniků a vyhýbání se daňovým povinnostem; vítá testování nového nástroje pro hodnocení rizika v oblasti daňové integrity v roce 2024 s cílem posoudit daňová rizika v projektech a se zájmem očekává posouzení provádění v rámci celé skupiny v roce 2025; trvá na své výzvě, aby se EIB zdržela financování příjemců nebo finančních zprostředkovatelů, u nichž bylo zjištěno nebo u nichž existuje vysoké riziko, že jsou zapojeni do nekalých daňových praktik, a zdůrazňuje, že dvojí zdanění přeshraničních investic a složité daňové prostředí omezují investice;</w:t>
      </w:r>
    </w:p>
    <w:p w:rsidR="00C316A7" w:rsidRPr="00BC581C" w:rsidP="008346E7" w14:paraId="6F14D7C8" w14:textId="7E8F5964">
      <w:pPr>
        <w:pStyle w:val="NormalHanging12a"/>
        <w:ind w:left="567" w:hanging="567"/>
      </w:pPr>
      <w:r w:rsidRPr="00BC581C">
        <w:t>59.</w:t>
      </w:r>
      <w:r w:rsidRPr="00BC581C">
        <w:tab/>
        <w:t>vyjadřuje politování nad zpožděním EIB při zajišťování opatření navazujících na výroční zprávu Parlamentu o kontrole jejích finančních činností za rok 2023</w:t>
      </w:r>
      <w:r>
        <w:rPr>
          <w:rStyle w:val="FootnoteReference"/>
        </w:rPr>
        <w:footnoteReference w:customMarkFollows="1" w:id="8"/>
        <w:t xml:space="preserve">7</w:t>
      </w:r>
      <w:r w:rsidRPr="00BC581C">
        <w:t xml:space="preserve">, tradičně poskytovaných v souladu s praxí zavedenou v předchozích letech; zdůrazňuje, že strukturovanější a předvídatelnější spolupráce by byla přínosná pro obě strany; trvá na tom, že pro navázání takové spolupráce v oblasti výměny informací, slyšení a následných opatření, jež by formálně ustavila postupy, které již byly ve velké míře </w:t>
      </w:r>
      <w:r w:rsidRPr="00BC581C">
        <w:t>společně s EIB zavedeny, je nezbytné memorandum o porozumění nebo interinstitucionální dohoda; vítá skutečnost, že EIB prohlásila, že je připravena zapojit se do dialogu s cílem zajistit, aby spolupráce byla založena na předvídatelných institucionálních závazcích spíše než na neformálních ujednáních; opakuje svou výzvu, aby byla tato ujednání rychle finalizována; vyzývá k prozkoumání dalších způsobů, jak zlepšit koordinaci mezi Parlamentem, vnitrostátními parlamenty a nejvyššími kontrolními orgány a posílit dialog s občanskou společností a akademickou obcí, což by vedlo k větší transparentnosti;</w:t>
      </w:r>
    </w:p>
    <w:p w:rsidR="00C316A7" w:rsidRPr="00BC581C" w:rsidP="008346E7" w14:paraId="0DA6F8D0" w14:textId="77777777">
      <w:pPr>
        <w:pStyle w:val="Normal12a"/>
        <w:ind w:left="567" w:hanging="567"/>
      </w:pPr>
      <w:r w:rsidRPr="00BC581C">
        <w:rPr>
          <w:b/>
          <w:i/>
        </w:rPr>
        <w:t>Kroky v návaznosti na doporučení Parlamentu</w:t>
      </w:r>
    </w:p>
    <w:p w:rsidR="008346E7" w:rsidP="008346E7" w14:paraId="7407BB86" w14:textId="77777777">
      <w:pPr>
        <w:pStyle w:val="NormalHanging12a"/>
        <w:ind w:left="567" w:hanging="567"/>
      </w:pPr>
      <w:r w:rsidRPr="008346E7">
        <w:t>60.</w:t>
      </w:r>
      <w:r w:rsidRPr="008346E7">
        <w:tab/>
        <w:t>naléhavě vyzývá EIB, aby včas přijala opatření v návaznosti na doporučení vydaná Parlamentem a podala zprávu o dosažených výsledcích a o dopadu opatření přijatých k provádění jejích priorit a politik EU, zejména pokud jde o:</w:t>
      </w:r>
    </w:p>
    <w:p w:rsidR="008346E7" w:rsidP="00341AAE" w14:paraId="11292660" w14:textId="4DB9488E">
      <w:pPr>
        <w:pStyle w:val="NormalHanging12a"/>
        <w:ind w:left="1134" w:hanging="567"/>
      </w:pPr>
      <w:r w:rsidRPr="008346E7">
        <w:t>a)</w:t>
      </w:r>
      <w:r w:rsidRPr="00341AAE">
        <w:tab/>
      </w:r>
      <w:r w:rsidRPr="008346E7">
        <w:t>dopad (ekonomický, environmentální a sociální) její investiční strategie a výsledky, jichž bylo dosaženo s cílem přispět k vyváženému a stabilnímu rozvoji vnitřního trhu v zájmu EU</w:t>
      </w:r>
      <w:r>
        <w:t>;</w:t>
      </w:r>
    </w:p>
    <w:p w:rsidR="008346E7" w:rsidP="00341AAE" w14:paraId="00C0DBED" w14:textId="5821471A">
      <w:pPr>
        <w:pStyle w:val="NormalHanging12a"/>
        <w:ind w:left="1134" w:hanging="567"/>
      </w:pPr>
      <w:r w:rsidRPr="008346E7">
        <w:t>b)</w:t>
      </w:r>
      <w:r w:rsidRPr="00341AAE">
        <w:tab/>
      </w:r>
      <w:r w:rsidRPr="008346E7">
        <w:t>opatření přijatá k lepšímu předcházení střetům zájmů, podvodům, korupci a jiným možným formám pochybení a boji proti nim;</w:t>
      </w:r>
    </w:p>
    <w:p w:rsidR="008346E7" w:rsidP="00341AAE" w14:paraId="245DF512" w14:textId="0FB19048">
      <w:pPr>
        <w:pStyle w:val="NormalHanging12a"/>
        <w:ind w:left="1134" w:hanging="567"/>
      </w:pPr>
      <w:r w:rsidRPr="008346E7">
        <w:t>c)</w:t>
      </w:r>
      <w:r w:rsidRPr="00341AAE">
        <w:tab/>
      </w:r>
      <w:r w:rsidRPr="008346E7">
        <w:t>nová opatření k posílení transparentnosti;</w:t>
      </w:r>
    </w:p>
    <w:p w:rsidR="00C316A7" w:rsidRPr="00BC581C" w:rsidP="00341AAE" w14:paraId="59A3FF6E" w14:textId="29F8D9D9">
      <w:pPr>
        <w:pStyle w:val="NormalHanging12a"/>
        <w:ind w:left="1134" w:hanging="567"/>
      </w:pPr>
      <w:r w:rsidRPr="008346E7">
        <w:t>d)</w:t>
      </w:r>
      <w:r w:rsidRPr="00341AAE" w:rsidR="008346E7">
        <w:tab/>
      </w:r>
      <w:r w:rsidRPr="008346E7">
        <w:t>opatření na posílení podpory malých a středních podniků a způsobilých hospodářských subjektů při provádění politik EU;</w:t>
      </w:r>
    </w:p>
    <w:p w:rsidR="00BC581C" w:rsidRPr="00BC581C" w:rsidP="008346E7" w14:paraId="3E7B0D9B" w14:textId="77777777">
      <w:pPr>
        <w:pStyle w:val="NormalCenter12a"/>
        <w:ind w:left="567" w:hanging="567"/>
      </w:pPr>
      <w:r w:rsidRPr="00BC581C">
        <w:t>°</w:t>
      </w:r>
    </w:p>
    <w:p w:rsidR="00BC581C" w:rsidRPr="00BC581C" w:rsidP="008346E7" w14:paraId="7C9D9E98" w14:textId="77777777">
      <w:pPr>
        <w:pStyle w:val="NormalCenter12a"/>
        <w:ind w:left="567" w:hanging="567"/>
      </w:pPr>
      <w:r w:rsidRPr="00BC581C">
        <w:t>°     °</w:t>
      </w:r>
    </w:p>
    <w:p w:rsidR="00E365E1" w:rsidRPr="00BC581C" w:rsidP="008346E7" w14:paraId="5F672D68" w14:textId="705E4F34">
      <w:pPr>
        <w:pStyle w:val="NormalHanging12a"/>
        <w:ind w:left="567" w:hanging="567"/>
      </w:pPr>
      <w:r w:rsidRPr="00BC581C">
        <w:t>61.</w:t>
      </w:r>
      <w:r w:rsidRPr="00BC581C">
        <w:tab/>
        <w:t>pověřuje svou předsedkyni, aby předala toto usnesení Radě a Komisi, a žádá Radu a správní radu EIB, aby uspořádaly rozpravu o výše uvedených postojích Parlamentu.</w:t>
      </w:r>
    </w:p>
    <w:sectPr w:rsidSect="009E0BE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E0BEB" w14:paraId="7D4BBD68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E0BEB" w14:paraId="0281E667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E0BEB" w14:paraId="64F7E089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98406A" w:rsidRPr="009E0BEB" w14:paraId="2A49B08F" w14:textId="77777777">
      <w:r w:rsidRPr="009E0BEB">
        <w:separator/>
      </w:r>
    </w:p>
  </w:footnote>
  <w:footnote w:type="continuationSeparator" w:id="1">
    <w:p w:rsidR="0098406A" w:rsidRPr="009E0BEB" w14:paraId="762546E0" w14:textId="77777777">
      <w:r w:rsidRPr="009E0BEB">
        <w:continuationSeparator/>
      </w:r>
    </w:p>
  </w:footnote>
  <w:footnote w:id="2">
    <w:p w:rsidR="00C316A7" w:rsidRPr="009E0BEB" w:rsidP="009E0BEB" w14:paraId="631C46C8" w14:textId="4A5A5692">
      <w:pPr>
        <w:pStyle w:val="FootnoteText"/>
        <w:ind w:left="567" w:hanging="567"/>
        <w:rPr>
          <w:sz w:val="24"/>
          <w:lang w:val="cs-CZ"/>
        </w:rPr>
      </w:pPr>
      <w:r w:rsidRPr="009E0BEB">
        <w:rPr>
          <w:sz w:val="24"/>
          <w:vertAlign w:val="superscript"/>
          <w:lang w:val="cs-CZ"/>
        </w:rPr>
        <w:t>1</w:t>
      </w:r>
      <w:r w:rsidRPr="009E0BEB" w:rsidR="009E0BEB">
        <w:rPr>
          <w:sz w:val="24"/>
          <w:vertAlign w:val="superscript"/>
          <w:lang w:val="cs-CZ"/>
        </w:rPr>
        <w:t xml:space="preserve"> </w:t>
      </w:r>
      <w:r w:rsidRPr="009E0BEB" w:rsidR="009E0BEB">
        <w:rPr>
          <w:sz w:val="24"/>
          <w:vertAlign w:val="superscript"/>
          <w:lang w:val="cs-CZ"/>
        </w:rPr>
        <w:tab/>
      </w:r>
      <w:r w:rsidRPr="009E0BEB">
        <w:rPr>
          <w:sz w:val="24"/>
          <w:lang w:val="cs-CZ"/>
        </w:rPr>
        <w:t xml:space="preserve">Úř. věst. L, 2025/504, 14.3.2025, ELI: </w:t>
      </w:r>
      <w:hyperlink r:id="rId1" w:tgtFrame="http://data.europa.eu/eli/dec/2025/504/oj" w:history="1">
        <w:r w:rsidRPr="009E0BEB">
          <w:rPr>
            <w:rStyle w:val="Hyperlink"/>
            <w:sz w:val="24"/>
            <w:lang w:val="cs-CZ"/>
          </w:rPr>
          <w:t>http://data.europa.eu/eli/dec/2025/504/oj</w:t>
        </w:r>
      </w:hyperlink>
      <w:r w:rsidRPr="009E0BEB">
        <w:rPr>
          <w:sz w:val="24"/>
          <w:lang w:val="cs-CZ"/>
        </w:rPr>
        <w:t>.</w:t>
      </w:r>
    </w:p>
  </w:footnote>
  <w:footnote w:id="3">
    <w:p w:rsidR="00C316A7" w:rsidRPr="009E0BEB" w:rsidP="009E0BEB" w14:paraId="4ED45985" w14:textId="58699D37">
      <w:pPr>
        <w:pStyle w:val="FootnoteText"/>
        <w:ind w:left="567" w:hanging="567"/>
        <w:rPr>
          <w:sz w:val="24"/>
          <w:lang w:val="cs-CZ"/>
        </w:rPr>
      </w:pPr>
      <w:r w:rsidRPr="009E0BEB">
        <w:rPr>
          <w:sz w:val="24"/>
          <w:vertAlign w:val="superscript"/>
          <w:lang w:val="cs-CZ"/>
        </w:rPr>
        <w:t>2</w:t>
      </w:r>
      <w:r w:rsidRPr="009E0BEB" w:rsidR="009E0BEB">
        <w:rPr>
          <w:sz w:val="24"/>
          <w:vertAlign w:val="superscript"/>
          <w:lang w:val="cs-CZ"/>
        </w:rPr>
        <w:t xml:space="preserve"> </w:t>
      </w:r>
      <w:r w:rsidRPr="009E0BEB" w:rsidR="009E0BEB">
        <w:rPr>
          <w:sz w:val="24"/>
          <w:vertAlign w:val="superscript"/>
          <w:lang w:val="cs-CZ"/>
        </w:rPr>
        <w:tab/>
      </w:r>
      <w:r w:rsidRPr="009E0BEB">
        <w:rPr>
          <w:sz w:val="24"/>
          <w:lang w:val="cs-CZ"/>
        </w:rPr>
        <w:t xml:space="preserve">Evropská komise: Generální ředitelství pro obranný průmysl a vesmír, </w:t>
      </w:r>
      <w:r w:rsidRPr="009E0BEB">
        <w:rPr>
          <w:i/>
          <w:sz w:val="24"/>
          <w:lang w:val="cs-CZ"/>
        </w:rPr>
        <w:t>Access to equity financing for European defence SMEs</w:t>
      </w:r>
      <w:r w:rsidRPr="009E0BEB">
        <w:rPr>
          <w:sz w:val="24"/>
          <w:lang w:val="cs-CZ"/>
        </w:rPr>
        <w:t xml:space="preserve">, Úřad pro publikace Evropské unie, 2024, </w:t>
      </w:r>
      <w:hyperlink r:id="rId2" w:tgtFrame="https://data.europa.eu/doi/10.2889/698738" w:history="1">
        <w:r w:rsidRPr="009E0BEB">
          <w:rPr>
            <w:rStyle w:val="Hyperlink"/>
            <w:sz w:val="24"/>
            <w:lang w:val="cs-CZ"/>
          </w:rPr>
          <w:t>https://data.europa.eu/doi/10.2889/698738</w:t>
        </w:r>
      </w:hyperlink>
      <w:r w:rsidRPr="009E0BEB">
        <w:rPr>
          <w:sz w:val="24"/>
          <w:lang w:val="cs-CZ"/>
        </w:rPr>
        <w:t>.</w:t>
      </w:r>
    </w:p>
  </w:footnote>
  <w:footnote w:id="4">
    <w:p w:rsidR="00C316A7" w:rsidRPr="009E0BEB" w:rsidP="009E0BEB" w14:paraId="437B2E9D" w14:textId="1A908467">
      <w:pPr>
        <w:pStyle w:val="FootnoteText"/>
        <w:ind w:left="567" w:hanging="567"/>
        <w:rPr>
          <w:sz w:val="24"/>
          <w:lang w:val="cs-CZ"/>
        </w:rPr>
      </w:pPr>
      <w:r w:rsidRPr="009E0BEB">
        <w:rPr>
          <w:sz w:val="24"/>
          <w:vertAlign w:val="superscript"/>
          <w:lang w:val="cs-CZ"/>
        </w:rPr>
        <w:t>3</w:t>
      </w:r>
      <w:r w:rsidRPr="009E0BEB" w:rsidR="009E0BEB">
        <w:rPr>
          <w:sz w:val="24"/>
          <w:vertAlign w:val="superscript"/>
          <w:lang w:val="cs-CZ"/>
        </w:rPr>
        <w:t xml:space="preserve"> </w:t>
      </w:r>
      <w:r w:rsidRPr="009E0BEB" w:rsidR="009E0BEB">
        <w:rPr>
          <w:sz w:val="24"/>
          <w:vertAlign w:val="superscript"/>
          <w:lang w:val="cs-CZ"/>
        </w:rPr>
        <w:tab/>
      </w:r>
      <w:r w:rsidRPr="009E0BEB">
        <w:rPr>
          <w:sz w:val="24"/>
          <w:lang w:val="cs-CZ"/>
        </w:rPr>
        <w:t xml:space="preserve">Úř. věst. C, C/2025/3151, 20.6.2025, ELI: </w:t>
      </w:r>
      <w:hyperlink r:id="rId3" w:tgtFrame="http://data.europa.eu/eli/C/2025/3151/oj" w:history="1">
        <w:r w:rsidRPr="009E0BEB">
          <w:rPr>
            <w:rStyle w:val="Hyperlink"/>
            <w:sz w:val="24"/>
            <w:lang w:val="cs-CZ"/>
          </w:rPr>
          <w:t>http://data.europa.eu/eli/C/2025/3151/oj</w:t>
        </w:r>
      </w:hyperlink>
      <w:r w:rsidRPr="009E0BEB">
        <w:rPr>
          <w:sz w:val="24"/>
          <w:lang w:val="cs-CZ"/>
        </w:rPr>
        <w:t>.</w:t>
      </w:r>
    </w:p>
  </w:footnote>
  <w:footnote w:id="5">
    <w:p w:rsidR="00C316A7" w:rsidRPr="009E0BEB" w:rsidP="009E0BEB" w14:paraId="67B81B11" w14:textId="2C7E686C">
      <w:pPr>
        <w:pStyle w:val="FootnoteText"/>
        <w:ind w:left="567" w:hanging="567"/>
        <w:rPr>
          <w:sz w:val="24"/>
          <w:lang w:val="cs-CZ"/>
        </w:rPr>
      </w:pPr>
      <w:r w:rsidRPr="009E0BEB">
        <w:rPr>
          <w:sz w:val="24"/>
          <w:vertAlign w:val="superscript"/>
          <w:lang w:val="cs-CZ"/>
        </w:rPr>
        <w:t>4</w:t>
      </w:r>
      <w:r w:rsidRPr="009E0BEB" w:rsidR="009E0BEB">
        <w:rPr>
          <w:sz w:val="24"/>
          <w:vertAlign w:val="superscript"/>
          <w:lang w:val="cs-CZ"/>
        </w:rPr>
        <w:t xml:space="preserve"> </w:t>
      </w:r>
      <w:r w:rsidRPr="009E0BEB" w:rsidR="009E0BEB">
        <w:rPr>
          <w:sz w:val="24"/>
          <w:vertAlign w:val="superscript"/>
          <w:lang w:val="cs-CZ"/>
        </w:rPr>
        <w:tab/>
      </w:r>
      <w:r w:rsidRPr="009E0BEB">
        <w:rPr>
          <w:sz w:val="24"/>
          <w:lang w:val="cs-CZ"/>
        </w:rPr>
        <w:t>Na konci roku 2024 činila celková expozice plynoucí z vyplacených prostředků 3 227,1 milionu EUR (oproti 3 144,3 milionu EUR na konci roku 2023) a z této částky je 3 068,1 milionu EUR (95 %) kryto komplexními zárukami EU, 146,6 milionu EUR (5 %) je kryto zárukami EU za politická rizika a 12,4 milionu EUR je kryto v rámci mandátů ke sdílení rizika (oproti 2 962,7 milionu EUR, tj. 94 %, resp. 166,8 milionu EUR, tj. 5 %, a 14,8 milionu EUR, tj. 1 %, na konci roku 2023).</w:t>
      </w:r>
    </w:p>
  </w:footnote>
  <w:footnote w:id="6">
    <w:p w:rsidR="00C316A7" w:rsidRPr="009E0BEB" w:rsidP="009E0BEB" w14:paraId="1CF359CF" w14:textId="4ACA1C71">
      <w:pPr>
        <w:pStyle w:val="FootnoteText"/>
        <w:ind w:left="567" w:hanging="567"/>
        <w:rPr>
          <w:sz w:val="24"/>
          <w:lang w:val="cs-CZ"/>
        </w:rPr>
      </w:pPr>
      <w:r w:rsidRPr="009E0BEB">
        <w:rPr>
          <w:sz w:val="24"/>
          <w:vertAlign w:val="superscript"/>
          <w:lang w:val="cs-CZ"/>
        </w:rPr>
        <w:t>5</w:t>
      </w:r>
      <w:r w:rsidRPr="009E0BEB" w:rsidR="009E0BEB">
        <w:rPr>
          <w:sz w:val="24"/>
          <w:vertAlign w:val="superscript"/>
          <w:lang w:val="cs-CZ"/>
        </w:rPr>
        <w:t xml:space="preserve"> </w:t>
      </w:r>
      <w:r w:rsidRPr="009E0BEB" w:rsidR="009E0BEB">
        <w:rPr>
          <w:sz w:val="24"/>
          <w:vertAlign w:val="superscript"/>
          <w:lang w:val="cs-CZ"/>
        </w:rPr>
        <w:tab/>
      </w:r>
      <w:r w:rsidRPr="009E0BEB">
        <w:rPr>
          <w:sz w:val="24"/>
          <w:lang w:val="cs-CZ"/>
        </w:rPr>
        <w:t xml:space="preserve">Nařízení Evropského parlamentu a Rady (ES) č. 1049/2001 ze dne 30. května 2001 o přístupu veřejnosti k dokumentům Evropského parlamentu, Rady a Komise (Úř. věst. L 145, 31.5.2001, s. 43, ELI: </w:t>
      </w:r>
      <w:hyperlink r:id="rId4" w:tgtFrame="http://data.europa.eu/eli/reg/2001/1049/oj" w:history="1">
        <w:r w:rsidRPr="009E0BEB">
          <w:rPr>
            <w:rStyle w:val="Hyperlink"/>
            <w:sz w:val="24"/>
            <w:lang w:val="cs-CZ"/>
          </w:rPr>
          <w:t>http://data.europa.eu/eli/reg/2001/1049/oj</w:t>
        </w:r>
      </w:hyperlink>
      <w:r w:rsidRPr="009E0BEB">
        <w:rPr>
          <w:sz w:val="24"/>
          <w:lang w:val="cs-CZ"/>
        </w:rPr>
        <w:t>).</w:t>
      </w:r>
    </w:p>
  </w:footnote>
  <w:footnote w:id="7">
    <w:p w:rsidR="00C316A7" w:rsidRPr="009E0BEB" w:rsidP="009E0BEB" w14:paraId="3EC90CA0" w14:textId="078AB854">
      <w:pPr>
        <w:pStyle w:val="FootnoteText"/>
        <w:ind w:left="567" w:hanging="567"/>
        <w:rPr>
          <w:sz w:val="24"/>
          <w:lang w:val="cs-CZ"/>
        </w:rPr>
      </w:pPr>
      <w:r w:rsidRPr="009E0BEB">
        <w:rPr>
          <w:sz w:val="24"/>
          <w:vertAlign w:val="superscript"/>
          <w:lang w:val="cs-CZ"/>
        </w:rPr>
        <w:t>6</w:t>
      </w:r>
      <w:r w:rsidRPr="009E0BEB" w:rsidR="009E0BEB">
        <w:rPr>
          <w:sz w:val="24"/>
          <w:vertAlign w:val="superscript"/>
          <w:lang w:val="cs-CZ"/>
        </w:rPr>
        <w:t xml:space="preserve"> </w:t>
      </w:r>
      <w:r w:rsidRPr="009E0BEB" w:rsidR="009E0BEB">
        <w:rPr>
          <w:sz w:val="24"/>
          <w:vertAlign w:val="superscript"/>
          <w:lang w:val="cs-CZ"/>
        </w:rPr>
        <w:tab/>
      </w:r>
      <w:r w:rsidRPr="009E0BEB">
        <w:rPr>
          <w:sz w:val="24"/>
          <w:lang w:val="cs-CZ"/>
        </w:rPr>
        <w:t>Publish What You Fund, ‘Behind the Billions: Tracking the missing pieces of MDB climate finance data’, listopad 2025.</w:t>
      </w:r>
    </w:p>
  </w:footnote>
  <w:footnote w:id="8">
    <w:p w:rsidR="00C316A7" w:rsidRPr="009E0BEB" w:rsidP="009E0BEB" w14:paraId="41F63955" w14:textId="46B2073F">
      <w:pPr>
        <w:pStyle w:val="FootnoteText"/>
        <w:ind w:left="567" w:hanging="567"/>
        <w:rPr>
          <w:sz w:val="24"/>
          <w:lang w:val="cs-CZ"/>
        </w:rPr>
      </w:pPr>
      <w:r w:rsidRPr="009E0BEB">
        <w:rPr>
          <w:sz w:val="24"/>
          <w:vertAlign w:val="superscript"/>
          <w:lang w:val="cs-CZ"/>
        </w:rPr>
        <w:t>7</w:t>
      </w:r>
      <w:r w:rsidRPr="009E0BEB" w:rsidR="009E0BEB">
        <w:rPr>
          <w:sz w:val="24"/>
          <w:vertAlign w:val="superscript"/>
          <w:lang w:val="cs-CZ"/>
        </w:rPr>
        <w:t xml:space="preserve"> </w:t>
      </w:r>
      <w:r w:rsidRPr="009E0BEB" w:rsidR="009E0BEB">
        <w:rPr>
          <w:sz w:val="24"/>
          <w:vertAlign w:val="superscript"/>
          <w:lang w:val="cs-CZ"/>
        </w:rPr>
        <w:tab/>
      </w:r>
      <w:r w:rsidRPr="009E0BEB">
        <w:rPr>
          <w:sz w:val="24"/>
          <w:lang w:val="cs-CZ"/>
        </w:rPr>
        <w:t>Usnesení Evropského parlamentu ze dne 6. května 2025 o kontrole finanční činnosti Evropské investiční banky – výroční zpráva za rok 2023 (</w:t>
      </w:r>
      <w:r w:rsidR="005C05D1">
        <w:rPr>
          <w:sz w:val="24"/>
          <w:lang w:val="cs-CZ"/>
        </w:rPr>
        <w:t>Úř. věst.</w:t>
      </w:r>
      <w:r w:rsidRPr="009E0BEB">
        <w:rPr>
          <w:sz w:val="24"/>
          <w:lang w:val="cs-CZ"/>
        </w:rPr>
        <w:t xml:space="preserve"> C, C/2026/574, 24.2.2026, ELI: </w:t>
      </w:r>
      <w:hyperlink r:id="rId5" w:tgtFrame="http://data.europa.eu/eli/C/2026/574/oj" w:history="1">
        <w:r w:rsidRPr="009E0BEB">
          <w:rPr>
            <w:rStyle w:val="Hyperlink"/>
            <w:sz w:val="24"/>
            <w:lang w:val="cs-CZ"/>
          </w:rPr>
          <w:t>http://data.europa.eu/eli/C/2026/574/oj</w:t>
        </w:r>
      </w:hyperlink>
      <w:r w:rsidRPr="009E0BEB">
        <w:rPr>
          <w:sz w:val="24"/>
          <w:lang w:val="cs-CZ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E0BEB" w14:paraId="26E3565C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E0BEB" w14:paraId="6CB6E9C4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E0BEB" w14:paraId="187BC72C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83959717">
    <w:abstractNumId w:val="9"/>
  </w:num>
  <w:num w:numId="2" w16cid:durableId="2034526493">
    <w:abstractNumId w:val="9"/>
  </w:num>
  <w:num w:numId="3" w16cid:durableId="1450706375">
    <w:abstractNumId w:val="7"/>
  </w:num>
  <w:num w:numId="4" w16cid:durableId="1871868299">
    <w:abstractNumId w:val="7"/>
  </w:num>
  <w:num w:numId="5" w16cid:durableId="1898929535">
    <w:abstractNumId w:val="6"/>
  </w:num>
  <w:num w:numId="6" w16cid:durableId="683018607">
    <w:abstractNumId w:val="6"/>
  </w:num>
  <w:num w:numId="7" w16cid:durableId="1440832912">
    <w:abstractNumId w:val="5"/>
  </w:num>
  <w:num w:numId="8" w16cid:durableId="1726563482">
    <w:abstractNumId w:val="5"/>
  </w:num>
  <w:num w:numId="9" w16cid:durableId="350495369">
    <w:abstractNumId w:val="4"/>
  </w:num>
  <w:num w:numId="10" w16cid:durableId="2021933031">
    <w:abstractNumId w:val="4"/>
  </w:num>
  <w:num w:numId="11" w16cid:durableId="1597979424">
    <w:abstractNumId w:val="8"/>
  </w:num>
  <w:num w:numId="12" w16cid:durableId="376662844">
    <w:abstractNumId w:val="8"/>
  </w:num>
  <w:num w:numId="13" w16cid:durableId="932666779">
    <w:abstractNumId w:val="3"/>
  </w:num>
  <w:num w:numId="14" w16cid:durableId="656495002">
    <w:abstractNumId w:val="3"/>
  </w:num>
  <w:num w:numId="15" w16cid:durableId="1061367511">
    <w:abstractNumId w:val="2"/>
  </w:num>
  <w:num w:numId="16" w16cid:durableId="1794014176">
    <w:abstractNumId w:val="2"/>
  </w:num>
  <w:num w:numId="17" w16cid:durableId="164134472">
    <w:abstractNumId w:val="1"/>
  </w:num>
  <w:num w:numId="18" w16cid:durableId="825978993">
    <w:abstractNumId w:val="1"/>
  </w:num>
  <w:num w:numId="19" w16cid:durableId="1475294854">
    <w:abstractNumId w:val="0"/>
  </w:num>
  <w:num w:numId="20" w16cid:durableId="415322809">
    <w:abstractNumId w:val="0"/>
  </w:num>
  <w:num w:numId="21" w16cid:durableId="181558310">
    <w:abstractNumId w:val="9"/>
  </w:num>
  <w:num w:numId="22" w16cid:durableId="1703439247">
    <w:abstractNumId w:val="7"/>
  </w:num>
  <w:num w:numId="23" w16cid:durableId="597442652">
    <w:abstractNumId w:val="6"/>
  </w:num>
  <w:num w:numId="24" w16cid:durableId="337854463">
    <w:abstractNumId w:val="5"/>
  </w:num>
  <w:num w:numId="25" w16cid:durableId="1931813537">
    <w:abstractNumId w:val="4"/>
  </w:num>
  <w:num w:numId="26" w16cid:durableId="1779252736">
    <w:abstractNumId w:val="8"/>
  </w:num>
  <w:num w:numId="27" w16cid:durableId="1201481317">
    <w:abstractNumId w:val="3"/>
  </w:num>
  <w:num w:numId="28" w16cid:durableId="930117431">
    <w:abstractNumId w:val="2"/>
  </w:num>
  <w:num w:numId="29" w16cid:durableId="58790902">
    <w:abstractNumId w:val="1"/>
  </w:num>
  <w:num w:numId="30" w16cid:durableId="1555969355">
    <w:abstractNumId w:val="0"/>
  </w:num>
  <w:num w:numId="31" w16cid:durableId="1785691293">
    <w:abstractNumId w:val="9"/>
  </w:num>
  <w:num w:numId="32" w16cid:durableId="955798080">
    <w:abstractNumId w:val="7"/>
  </w:num>
  <w:num w:numId="33" w16cid:durableId="914898799">
    <w:abstractNumId w:val="6"/>
  </w:num>
  <w:num w:numId="34" w16cid:durableId="1111244525">
    <w:abstractNumId w:val="5"/>
  </w:num>
  <w:num w:numId="35" w16cid:durableId="575356425">
    <w:abstractNumId w:val="4"/>
  </w:num>
  <w:num w:numId="36" w16cid:durableId="423038586">
    <w:abstractNumId w:val="8"/>
  </w:num>
  <w:num w:numId="37" w16cid:durableId="1706170430">
    <w:abstractNumId w:val="3"/>
  </w:num>
  <w:num w:numId="38" w16cid:durableId="255671507">
    <w:abstractNumId w:val="2"/>
  </w:num>
  <w:num w:numId="39" w16cid:durableId="1562014581">
    <w:abstractNumId w:val="1"/>
  </w:num>
  <w:num w:numId="40" w16cid:durableId="1435512305">
    <w:abstractNumId w:val="0"/>
  </w:num>
  <w:num w:numId="41" w16cid:durableId="637104365">
    <w:abstractNumId w:val="10"/>
  </w:num>
  <w:num w:numId="42" w16cid:durableId="388307616">
    <w:abstractNumId w:val="10"/>
  </w:num>
  <w:num w:numId="43" w16cid:durableId="1836335165">
    <w:abstractNumId w:val="10"/>
  </w:num>
  <w:num w:numId="44" w16cid:durableId="11366054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mirrorMargins/>
  <w:bordersDoNotSurroundHeader/>
  <w:bordersDoNotSurroundFooter/>
  <w:proofState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06A"/>
    <w:rsid w:val="00000B65"/>
    <w:rsid w:val="00002272"/>
    <w:rsid w:val="00034EE1"/>
    <w:rsid w:val="00064002"/>
    <w:rsid w:val="000677B9"/>
    <w:rsid w:val="000773C7"/>
    <w:rsid w:val="000831BA"/>
    <w:rsid w:val="000A42CC"/>
    <w:rsid w:val="000E7DD9"/>
    <w:rsid w:val="0010095E"/>
    <w:rsid w:val="00125B37"/>
    <w:rsid w:val="00187494"/>
    <w:rsid w:val="001A3E50"/>
    <w:rsid w:val="001F32AE"/>
    <w:rsid w:val="002767FF"/>
    <w:rsid w:val="002B18FE"/>
    <w:rsid w:val="002B5493"/>
    <w:rsid w:val="00315AAF"/>
    <w:rsid w:val="00341AAE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38D3"/>
    <w:rsid w:val="00545827"/>
    <w:rsid w:val="00560270"/>
    <w:rsid w:val="005C05D1"/>
    <w:rsid w:val="005C2568"/>
    <w:rsid w:val="005F1B17"/>
    <w:rsid w:val="006037C0"/>
    <w:rsid w:val="00631779"/>
    <w:rsid w:val="006631B6"/>
    <w:rsid w:val="00680577"/>
    <w:rsid w:val="006F74FA"/>
    <w:rsid w:val="00731ADD"/>
    <w:rsid w:val="00734777"/>
    <w:rsid w:val="00747932"/>
    <w:rsid w:val="00751A4A"/>
    <w:rsid w:val="00756632"/>
    <w:rsid w:val="00761727"/>
    <w:rsid w:val="00762C74"/>
    <w:rsid w:val="00786EC0"/>
    <w:rsid w:val="007D1690"/>
    <w:rsid w:val="007E22AD"/>
    <w:rsid w:val="00817416"/>
    <w:rsid w:val="008346E7"/>
    <w:rsid w:val="00842779"/>
    <w:rsid w:val="00865F67"/>
    <w:rsid w:val="00881A7B"/>
    <w:rsid w:val="008840E5"/>
    <w:rsid w:val="00887B3E"/>
    <w:rsid w:val="008B7974"/>
    <w:rsid w:val="008C2AC6"/>
    <w:rsid w:val="008C2F85"/>
    <w:rsid w:val="00915860"/>
    <w:rsid w:val="00930C23"/>
    <w:rsid w:val="0093193B"/>
    <w:rsid w:val="009509D8"/>
    <w:rsid w:val="00950B64"/>
    <w:rsid w:val="00981893"/>
    <w:rsid w:val="0098406A"/>
    <w:rsid w:val="009E0BEB"/>
    <w:rsid w:val="00A1687D"/>
    <w:rsid w:val="00A43E52"/>
    <w:rsid w:val="00A4678D"/>
    <w:rsid w:val="00A778C7"/>
    <w:rsid w:val="00AB441E"/>
    <w:rsid w:val="00AB6293"/>
    <w:rsid w:val="00AD3C2B"/>
    <w:rsid w:val="00AE0928"/>
    <w:rsid w:val="00AF3B82"/>
    <w:rsid w:val="00B12E95"/>
    <w:rsid w:val="00B22876"/>
    <w:rsid w:val="00B558F0"/>
    <w:rsid w:val="00BC581C"/>
    <w:rsid w:val="00BD48FE"/>
    <w:rsid w:val="00BD7BD8"/>
    <w:rsid w:val="00BE6ADC"/>
    <w:rsid w:val="00C05BFE"/>
    <w:rsid w:val="00C23CD4"/>
    <w:rsid w:val="00C2498A"/>
    <w:rsid w:val="00C316A7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4E37"/>
    <w:rsid w:val="00E365E1"/>
    <w:rsid w:val="00E820A4"/>
    <w:rsid w:val="00EB006A"/>
    <w:rsid w:val="00EB4772"/>
    <w:rsid w:val="00ED169E"/>
    <w:rsid w:val="00ED4235"/>
    <w:rsid w:val="00EF24B1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086/2026"/>
    <w:docVar w:name="dvlangue" w:val="CS"/>
    <w:docVar w:name="dvnumam" w:val="0"/>
    <w:docVar w:name="dvpe" w:val="784.237"/>
    <w:docVar w:name="dvrapporteur" w:val="Zpravodaj: "/>
    <w:docVar w:name="dvtitre" w:val="Usnesení Evropského parlamentu ze dne 28. dubna 2026 o kontrole finanční činnosti skupiny Evropské investiční banky – výroční zpráva za rok 2024(2025/2237(INI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9B1BD9A"/>
  <w15:chartTrackingRefBased/>
  <w15:docId w15:val="{78AAE2E6-6725-4408-AF12-2841425D0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C316A7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C316A7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C316A7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C316A7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C316A7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C316A7"/>
    <w:rPr>
      <w:color w:val="0000FF"/>
      <w:u w:val="single"/>
    </w:rPr>
  </w:style>
  <w:style w:type="paragraph" w:styleId="Revision">
    <w:name w:val="Revision"/>
    <w:hidden/>
    <w:uiPriority w:val="99"/>
    <w:semiHidden/>
    <w:rsid w:val="00BC581C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dec/2025/504/oj" TargetMode="External" /><Relationship Id="rId2" Type="http://schemas.openxmlformats.org/officeDocument/2006/relationships/hyperlink" Target="https://data.europa.eu/doi/10.2889/698738" TargetMode="External" /><Relationship Id="rId3" Type="http://schemas.openxmlformats.org/officeDocument/2006/relationships/hyperlink" Target="http://data.europa.eu/eli/C/2025/3151/oj" TargetMode="External" /><Relationship Id="rId4" Type="http://schemas.openxmlformats.org/officeDocument/2006/relationships/hyperlink" Target="http://data.europa.eu/eli/reg/2001/1049/oj" TargetMode="External" /><Relationship Id="rId5" Type="http://schemas.openxmlformats.org/officeDocument/2006/relationships/hyperlink" Target="http://data.europa.eu/eli/C/2026/574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6850</Words>
  <Characters>40630</Characters>
  <Application>Microsoft Office Word</Application>
  <DocSecurity>0</DocSecurity>
  <Lines>1401</Lines>
  <Paragraphs>268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47212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2026-06-03T15:23:00Z</dcterms:created>
  <dcterms:modified xsi:type="dcterms:W3CDTF">2026-06-03T15:23:00Z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A10-0086/2026</vt:lpwstr>
  </property>
  <property fmtid="{D5CDD505-2E9C-101B-9397-08002B2CF9AE}" pid="4" name="&lt;Type&gt;">
    <vt:lpwstr>RR</vt:lpwstr>
  </property>
</Properties>
</file>