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3015EB7" w14:textId="77777777" w:rsidTr="0010095E">
        <w:tblPrEx>
          <w:tblW w:w="9072" w:type="dxa"/>
          <w:tblLook w:val="01E0"/>
        </w:tblPrEx>
        <w:trPr>
          <w:trHeight w:hRule="exact" w:val="1418"/>
        </w:trPr>
        <w:tc>
          <w:tcPr>
            <w:tcW w:w="6804" w:type="dxa"/>
            <w:shd w:val="clear" w:color="auto" w:fill="auto"/>
            <w:vAlign w:val="center"/>
          </w:tcPr>
          <w:p w:rsidR="00751A4A" w:rsidRPr="00390BD8" w:rsidP="0010095E" w14:paraId="786D28AF" w14:textId="77777777">
            <w:pPr>
              <w:pStyle w:val="EPName"/>
            </w:pPr>
            <w:r w:rsidRPr="00390BD8">
              <w:t>Europa-Parlamentet</w:t>
            </w:r>
          </w:p>
          <w:p w:rsidR="00751A4A" w:rsidRPr="00390BD8" w:rsidP="005F1B17" w14:paraId="0EBEC8D3" w14:textId="77777777">
            <w:pPr>
              <w:pStyle w:val="EPTerm"/>
              <w:rPr>
                <w:rStyle w:val="HideTWBExt"/>
                <w:noProof w:val="0"/>
                <w:vanish w:val="0"/>
                <w:color w:val="auto"/>
              </w:rPr>
            </w:pPr>
            <w:r w:rsidRPr="00390BD8">
              <w:t>2024</w:t>
            </w:r>
            <w:r w:rsidRPr="00390BD8" w:rsidR="00817416">
              <w:t>-202</w:t>
            </w:r>
            <w:r w:rsidRPr="00390BD8">
              <w:t>9</w:t>
            </w:r>
          </w:p>
        </w:tc>
        <w:tc>
          <w:tcPr>
            <w:tcW w:w="2268" w:type="dxa"/>
            <w:shd w:val="clear" w:color="auto" w:fill="auto"/>
          </w:tcPr>
          <w:p w:rsidR="00751A4A" w:rsidRPr="00390BD8" w:rsidP="0010095E" w14:paraId="482AF4E2" w14:textId="77777777">
            <w:pPr>
              <w:pStyle w:val="EPLogo"/>
            </w:pPr>
            <w:r w:rsidRPr="00390BD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90BD8" w:rsidP="004C5D52" w14:paraId="569B5970" w14:textId="77777777">
      <w:pPr>
        <w:pStyle w:val="LineTop"/>
      </w:pPr>
    </w:p>
    <w:p w:rsidR="00680577" w:rsidRPr="00390BD8" w:rsidP="00680577" w14:paraId="20C2F80E" w14:textId="77777777">
      <w:pPr>
        <w:pStyle w:val="EPBodyTA1"/>
      </w:pPr>
      <w:r w:rsidRPr="00390BD8">
        <w:t>VEDTAGNE TEKSTER</w:t>
      </w:r>
    </w:p>
    <w:p w:rsidR="00D058B8" w:rsidRPr="00390BD8" w:rsidP="00D058B8" w14:paraId="72B2E6CF" w14:textId="77777777">
      <w:pPr>
        <w:pStyle w:val="LineBottom"/>
      </w:pPr>
    </w:p>
    <w:p w:rsidR="00DA1DC3" w:rsidRPr="002558A7" w:rsidP="00DA1DC3" w14:paraId="544D761B" w14:textId="50F29B76">
      <w:pPr>
        <w:pStyle w:val="ATHeading1"/>
      </w:pPr>
      <w:bookmarkStart w:id="0" w:name="TANumber"/>
      <w:r w:rsidRPr="002558A7">
        <w:t>P10_TA(2026)0</w:t>
      </w:r>
      <w:r w:rsidR="00857FC4">
        <w:t>119</w:t>
      </w:r>
      <w:bookmarkEnd w:id="0"/>
    </w:p>
    <w:p w:rsidR="00DA1DC3" w:rsidRPr="002558A7" w:rsidP="00DA1DC3" w14:paraId="3AB8BAA8" w14:textId="77777777">
      <w:pPr>
        <w:pStyle w:val="ATHeading2"/>
      </w:pPr>
      <w:bookmarkStart w:id="1" w:name="title"/>
      <w:r w:rsidRPr="002558A7">
        <w:t>Kontrol af Den Europæiske Investeringsbank-Gruppens finansielle aktiviteter – årlig betænkning 2024</w:t>
      </w:r>
      <w:bookmarkEnd w:id="1"/>
    </w:p>
    <w:p w:rsidR="00DA1DC3" w:rsidRPr="00390BD8" w:rsidP="00DA1DC3" w14:paraId="5BDD987F" w14:textId="77777777">
      <w:pPr>
        <w:rPr>
          <w:i/>
          <w:vanish/>
        </w:rPr>
      </w:pPr>
      <w:r>
        <w:rPr>
          <w:i/>
        </w:rPr>
        <w:fldChar w:fldCharType="begin"/>
      </w:r>
      <w:r w:rsidRPr="00390BD8">
        <w:rPr>
          <w:i/>
        </w:rPr>
        <w:instrText xml:space="preserve"> TC"(</w:instrText>
      </w:r>
      <w:bookmarkStart w:id="2" w:name="DocNumber"/>
      <w:r w:rsidRPr="00390BD8">
        <w:rPr>
          <w:i/>
        </w:rPr>
        <w:instrText>A10-0086/2026</w:instrText>
      </w:r>
      <w:bookmarkEnd w:id="2"/>
      <w:r w:rsidRPr="00390BD8">
        <w:rPr>
          <w:i/>
        </w:rPr>
        <w:instrText xml:space="preserve"> - Ordfører: Dick Erixon)"\l3 \n&gt; \* MERGEFORMAT </w:instrText>
      </w:r>
      <w:r>
        <w:rPr>
          <w:i/>
        </w:rPr>
        <w:fldChar w:fldCharType="end"/>
      </w:r>
    </w:p>
    <w:p w:rsidR="00DA1DC3" w:rsidRPr="00390BD8" w:rsidP="00DA1DC3" w14:paraId="5F301554" w14:textId="77777777">
      <w:pPr>
        <w:rPr>
          <w:vanish/>
        </w:rPr>
      </w:pPr>
      <w:bookmarkStart w:id="3" w:name="Commission"/>
      <w:r w:rsidRPr="00390BD8">
        <w:rPr>
          <w:vanish/>
        </w:rPr>
        <w:t>Budgetkontroludvalget</w:t>
      </w:r>
      <w:bookmarkEnd w:id="3"/>
    </w:p>
    <w:p w:rsidR="00DA1DC3" w:rsidRPr="00390BD8" w:rsidP="00DA1DC3" w14:paraId="52AF2582" w14:textId="77777777">
      <w:pPr>
        <w:rPr>
          <w:vanish/>
        </w:rPr>
      </w:pPr>
      <w:bookmarkStart w:id="4" w:name="PE"/>
      <w:r w:rsidRPr="00390BD8">
        <w:rPr>
          <w:vanish/>
        </w:rPr>
        <w:t>PE784.237</w:t>
      </w:r>
      <w:bookmarkEnd w:id="4"/>
    </w:p>
    <w:p w:rsidR="00DA1DC3" w:rsidRPr="002558A7" w:rsidP="00DA1DC3" w14:paraId="243EDEF2" w14:textId="0B4AE39E">
      <w:pPr>
        <w:pStyle w:val="ATHeading3"/>
      </w:pPr>
      <w:bookmarkStart w:id="5" w:name="Sujet"/>
      <w:r w:rsidRPr="002558A7">
        <w:t xml:space="preserve">Europa-Parlamentets beslutning af </w:t>
      </w:r>
      <w:r w:rsidRPr="002558A7" w:rsidR="00291B4D">
        <w:t>28</w:t>
      </w:r>
      <w:r w:rsidRPr="002558A7">
        <w:t>. april 2026 om kontrol af Den Europæiske Investeringsbank-Gruppens finansielle aktiviteter – årlig betænkning 2024</w:t>
      </w:r>
      <w:bookmarkEnd w:id="5"/>
      <w:r w:rsidRPr="002558A7">
        <w:t xml:space="preserve"> </w:t>
      </w:r>
      <w:bookmarkStart w:id="6" w:name="References"/>
      <w:r w:rsidRPr="002558A7">
        <w:t>(2025/2237(INI))</w:t>
      </w:r>
      <w:bookmarkEnd w:id="6"/>
    </w:p>
    <w:p w:rsidR="00C359C7" w:rsidRPr="00390BD8" w:rsidP="00C359C7" w14:paraId="4BC8E018" w14:textId="77777777">
      <w:pPr>
        <w:pStyle w:val="Normal12"/>
      </w:pPr>
      <w:r w:rsidRPr="00390BD8">
        <w:rPr>
          <w:i/>
        </w:rPr>
        <w:t>Europa-Parlamentet</w:t>
      </w:r>
      <w:r w:rsidRPr="00390BD8">
        <w:t>,</w:t>
      </w:r>
    </w:p>
    <w:p w:rsidR="00C359C7" w:rsidRPr="00390BD8" w:rsidP="00C359C7" w14:paraId="7449CB96" w14:textId="77777777">
      <w:pPr>
        <w:pStyle w:val="NormalHanging"/>
      </w:pPr>
      <w:r w:rsidRPr="00390BD8">
        <w:t>–</w:t>
      </w:r>
      <w:r w:rsidRPr="00390BD8">
        <w:tab/>
        <w:t>der henviser til Den Europæiske Investeringsbank-Gruppens (EIB-Gruppens) aktivitetsberetning 2024 af 30. januar 2025 med titlen "Prioriteter for velstand",</w:t>
      </w:r>
    </w:p>
    <w:p w:rsidR="00C359C7" w:rsidRPr="00390BD8" w:rsidP="00C359C7" w14:paraId="4E1435A6" w14:textId="77777777">
      <w:pPr>
        <w:pStyle w:val="NormalHanging"/>
      </w:pPr>
      <w:r w:rsidRPr="00390BD8">
        <w:t>–</w:t>
      </w:r>
      <w:r w:rsidRPr="00390BD8">
        <w:tab/>
        <w:t>der henviser til EIB's investeringsberetning 2024/2025 af 5. marts 2025 med titlen "Innovation, integration and simplification in Europe" og til EIB's investeringsberetning 2023/2024 af 7. februar 2024 med titlen "Transforming for competitiveness",</w:t>
      </w:r>
    </w:p>
    <w:p w:rsidR="00C359C7" w:rsidRPr="00390BD8" w:rsidP="00C359C7" w14:paraId="785AFA64" w14:textId="77777777">
      <w:pPr>
        <w:pStyle w:val="NormalHanging"/>
      </w:pPr>
      <w:r w:rsidRPr="00390BD8">
        <w:t>–</w:t>
      </w:r>
      <w:r w:rsidRPr="00390BD8">
        <w:tab/>
        <w:t>der henviser til EIB-Gruppens rapport om gennemførelsen af EIB-Gruppens gennemsigtighedspolitik i 2023, som blev offentliggjort den 1. juli 2024, og til EIB's gennemsigtighedspolitik, der blev godkendt den 17. november 2021 og ændret den 16. juli 2025,</w:t>
      </w:r>
    </w:p>
    <w:p w:rsidR="00C359C7" w:rsidRPr="00390BD8" w:rsidP="00C359C7" w14:paraId="5544CD68" w14:textId="77777777">
      <w:pPr>
        <w:pStyle w:val="NormalHanging"/>
      </w:pPr>
      <w:r w:rsidRPr="00390BD8">
        <w:t>–</w:t>
      </w:r>
      <w:r w:rsidRPr="00390BD8">
        <w:tab/>
        <w:t>der henviser til EIB-Gruppens strategiske køreplan for 2024-2027 af 21. juni 2024,</w:t>
      </w:r>
    </w:p>
    <w:p w:rsidR="00C359C7" w:rsidRPr="00390BD8" w:rsidP="00C359C7" w14:paraId="4B88EB05" w14:textId="77777777">
      <w:pPr>
        <w:pStyle w:val="NormalHanging"/>
      </w:pPr>
      <w:r w:rsidRPr="00390BD8">
        <w:t>–</w:t>
      </w:r>
      <w:r w:rsidRPr="00390BD8">
        <w:tab/>
        <w:t>der henviser til EIB's "Global Impact Report" for 2023-2024 af 13. juni 2024,</w:t>
      </w:r>
    </w:p>
    <w:p w:rsidR="00C359C7" w:rsidRPr="00390BD8" w:rsidP="00C359C7" w14:paraId="5EACE94B" w14:textId="77777777">
      <w:pPr>
        <w:pStyle w:val="NormalHanging"/>
      </w:pPr>
      <w:r w:rsidRPr="00390BD8">
        <w:t>–</w:t>
      </w:r>
      <w:r w:rsidRPr="00390BD8">
        <w:tab/>
        <w:t>der henviser til Rådets afgørelse (EU) 2025/504 af 11. marts 2025 om ændring af protokol nr. 5 vedrørende vedtægterne for Den Europæiske Investeringsbank</w:t>
      </w:r>
      <w:r>
        <w:rPr>
          <w:rStyle w:val="FootnoteReference"/>
        </w:rPr>
        <w:footnoteReference w:customMarkFollows="1" w:id="2"/>
        <w:t xml:space="preserve">1</w:t>
      </w:r>
      <w:r w:rsidRPr="00390BD8">
        <w:t>,</w:t>
      </w:r>
    </w:p>
    <w:p w:rsidR="00C359C7" w:rsidRPr="00390BD8" w:rsidP="00C359C7" w14:paraId="2A7ED137" w14:textId="77777777">
      <w:pPr>
        <w:pStyle w:val="NormalHanging"/>
      </w:pPr>
      <w:r w:rsidRPr="00390BD8">
        <w:t>–</w:t>
      </w:r>
      <w:r w:rsidRPr="00390BD8">
        <w:tab/>
        <w:t>der henviser til EIB-Gruppens handlingsplan for sikkerheds- og forsvarsindustrien, som blev forelagt på samlingen i Rådet (økonomi og finans) i Luxembourg den 12. april 2024,</w:t>
      </w:r>
    </w:p>
    <w:p w:rsidR="00C359C7" w:rsidRPr="00390BD8" w:rsidP="00C359C7" w14:paraId="5E2D0531" w14:textId="77777777">
      <w:pPr>
        <w:pStyle w:val="NormalHanging"/>
      </w:pPr>
      <w:r w:rsidRPr="00390BD8">
        <w:t>–</w:t>
      </w:r>
      <w:r w:rsidRPr="00390BD8">
        <w:tab/>
        <w:t>der henviser til EIB-Gruppens forretningsplan for 2024-2026 af 9. februar 2024 og til EIB-Gruppens forretningsplan for 2025-2027 af 30. januar 2025,</w:t>
      </w:r>
    </w:p>
    <w:p w:rsidR="00C359C7" w:rsidRPr="00390BD8" w:rsidP="00C359C7" w14:paraId="002D1D52" w14:textId="77777777">
      <w:pPr>
        <w:pStyle w:val="NormalHanging"/>
      </w:pPr>
      <w:r w:rsidRPr="00390BD8">
        <w:t>–</w:t>
      </w:r>
      <w:r w:rsidRPr="00390BD8">
        <w:tab/>
        <w:t>der henviser til EIB-Gruppens tredje årsrapport af 15. juli 2024 med titlen "EIB Group activities in EU cohesion regions",</w:t>
      </w:r>
    </w:p>
    <w:p w:rsidR="00C359C7" w:rsidRPr="00390BD8" w:rsidP="00C359C7" w14:paraId="5DCA7135" w14:textId="77777777">
      <w:pPr>
        <w:pStyle w:val="NormalHanging"/>
      </w:pPr>
      <w:r w:rsidRPr="00390BD8">
        <w:t>–</w:t>
      </w:r>
      <w:r w:rsidRPr="00390BD8">
        <w:tab/>
        <w:t>der henviser til EIB's bestyrelses afgørelse af 21. marts 2025 om begrænsning af udelukkede aktiviteter, som følger Det Europæiske Råds holdning af 6. marts 2025,</w:t>
      </w:r>
    </w:p>
    <w:p w:rsidR="00C359C7" w:rsidRPr="00390BD8" w:rsidP="00C359C7" w14:paraId="3A65F4B8" w14:textId="77777777">
      <w:pPr>
        <w:pStyle w:val="NormalHanging"/>
      </w:pPr>
      <w:r w:rsidRPr="00390BD8">
        <w:t>–</w:t>
      </w:r>
      <w:r w:rsidRPr="00390BD8">
        <w:tab/>
        <w:t>der henviser til Kommissionens meddelelse af 19. marts 2025 med titlen "Opsparings- og investeringsunionen – En strategi til fremme af borgernes velstand og økonomisk konkurrenceevne i EU" (COM(2025)0124),</w:t>
      </w:r>
    </w:p>
    <w:p w:rsidR="00C359C7" w:rsidRPr="00390BD8" w:rsidP="00C359C7" w14:paraId="7469FF5F" w14:textId="77777777">
      <w:pPr>
        <w:pStyle w:val="NormalHanging"/>
      </w:pPr>
      <w:r w:rsidRPr="00390BD8">
        <w:t>–</w:t>
      </w:r>
      <w:r w:rsidRPr="00390BD8">
        <w:tab/>
        <w:t>der henviser til EIB-Gruppens rapport af 10. juni 2025 med titlen "Complaints Mechanism – 2024 annual report",</w:t>
      </w:r>
    </w:p>
    <w:p w:rsidR="00C359C7" w:rsidRPr="00390BD8" w:rsidP="00C359C7" w14:paraId="2176D91F" w14:textId="77777777">
      <w:pPr>
        <w:pStyle w:val="NormalHanging"/>
      </w:pPr>
      <w:r w:rsidRPr="00390BD8">
        <w:t>–</w:t>
      </w:r>
      <w:r w:rsidRPr="00390BD8">
        <w:tab/>
        <w:t>der henviser til årsberetningerne fra EIB's revisionsudvalg for 2024, som blev offentliggjort den 12. september 2025,</w:t>
      </w:r>
    </w:p>
    <w:p w:rsidR="00C359C7" w:rsidRPr="00390BD8" w:rsidP="00C359C7" w14:paraId="67744C9B" w14:textId="77777777">
      <w:pPr>
        <w:pStyle w:val="NormalHanging"/>
      </w:pPr>
      <w:r w:rsidRPr="00390BD8">
        <w:t>–</w:t>
      </w:r>
      <w:r w:rsidRPr="00390BD8">
        <w:tab/>
        <w:t>der henviser til EIB-Gruppens rapport af 26. juni 2024 med titlen "EIB Group support for EU businesses: Evidence of impact in addressing market failures",</w:t>
      </w:r>
    </w:p>
    <w:p w:rsidR="00C359C7" w:rsidRPr="00390BD8" w:rsidP="00C359C7" w14:paraId="73ABC80C" w14:textId="77777777">
      <w:pPr>
        <w:pStyle w:val="NormalHanging"/>
      </w:pPr>
      <w:r w:rsidRPr="00390BD8">
        <w:t>–</w:t>
      </w:r>
      <w:r w:rsidRPr="00390BD8">
        <w:tab/>
        <w:t>der henviser til den fælles meddelelse af 5. marts 2024 fra Kommissionen og Unionens højtstående repræsentant for udenrigsanliggender og sikkerhedspolitik med titlen "En ny strategi for den europæiske forsvarsindustri: Vejen til beredskab i EU gennem en reaktionsdygtig og modstandsdygtig forsvarsindustri i Europa" (JOIN(2024)0010),</w:t>
      </w:r>
    </w:p>
    <w:p w:rsidR="00C359C7" w:rsidRPr="00390BD8" w:rsidP="00C359C7" w14:paraId="20266A39" w14:textId="77777777">
      <w:pPr>
        <w:pStyle w:val="NormalHanging"/>
      </w:pPr>
      <w:r w:rsidRPr="00390BD8">
        <w:t>–</w:t>
      </w:r>
      <w:r w:rsidRPr="00390BD8">
        <w:tab/>
        <w:t>der henviser til Den Europæiske Revisionsrets særberetning 22/2024 af 21. oktober 2024 med titlen "Dobbeltfinansiering fra EU-budgettet",</w:t>
      </w:r>
    </w:p>
    <w:p w:rsidR="00C359C7" w:rsidRPr="00390BD8" w:rsidP="00C359C7" w14:paraId="7CC5DBE7" w14:textId="77777777">
      <w:pPr>
        <w:pStyle w:val="NormalHanging"/>
      </w:pPr>
      <w:r w:rsidRPr="00390BD8">
        <w:t>–</w:t>
      </w:r>
      <w:r w:rsidRPr="00390BD8">
        <w:tab/>
        <w:t>der henviser til Revisionsrettens særberetning 07/2025 af 19. marts 2025 om "Den Europæiske Fond for Strategiske Investeringer",</w:t>
      </w:r>
    </w:p>
    <w:p w:rsidR="00C359C7" w:rsidRPr="00390BD8" w:rsidP="00C359C7" w14:paraId="4D922CE5" w14:textId="77777777">
      <w:pPr>
        <w:pStyle w:val="NormalHanging"/>
      </w:pPr>
      <w:r w:rsidRPr="00390BD8">
        <w:t>–</w:t>
      </w:r>
      <w:r w:rsidRPr="00390BD8">
        <w:tab/>
        <w:t>der henviser til EIB-Gruppens rapport af 8. august 2025 med titlen "December 2024 European Investment Bank Group Risk Management Disclosure Report",</w:t>
      </w:r>
    </w:p>
    <w:p w:rsidR="00C359C7" w:rsidRPr="00390BD8" w:rsidP="00C359C7" w14:paraId="7BD13051" w14:textId="77777777">
      <w:pPr>
        <w:pStyle w:val="NormalHanging"/>
      </w:pPr>
      <w:r w:rsidRPr="00390BD8">
        <w:t>–</w:t>
      </w:r>
      <w:r w:rsidRPr="00390BD8">
        <w:tab/>
        <w:t>der henviser til EIB-Gruppens undersøgelsesafdelings aktivitetsberetning for 2024 ("Investigations Activity Report 2024"), som blev offentliggjort den 4. august 2025,</w:t>
      </w:r>
    </w:p>
    <w:p w:rsidR="00C359C7" w:rsidRPr="00390BD8" w:rsidP="00C359C7" w14:paraId="23379F8B" w14:textId="77777777">
      <w:pPr>
        <w:pStyle w:val="NormalHanging"/>
      </w:pPr>
      <w:r w:rsidRPr="00390BD8">
        <w:t>–</w:t>
      </w:r>
      <w:r w:rsidRPr="00390BD8">
        <w:tab/>
        <w:t>der henviser til den fælles meddelelse af 19. marts 2025 fra Kommissionen og den højtstående repræsentant for udenrigsanliggender og sikkerhedspolitik med titlen "Hvidbog om fremtiden for det europæiske forsvar 2030" (JOIN(2025)0120),</w:t>
      </w:r>
    </w:p>
    <w:p w:rsidR="00C359C7" w:rsidRPr="00390BD8" w:rsidP="00C359C7" w14:paraId="27F064C0" w14:textId="77777777">
      <w:pPr>
        <w:pStyle w:val="NormalHanging"/>
      </w:pPr>
      <w:r w:rsidRPr="00390BD8">
        <w:t>–</w:t>
      </w:r>
      <w:r w:rsidRPr="00390BD8">
        <w:tab/>
        <w:t>der henviser til EIB-Gruppens rapport fra juli 2025 med titlen "EIB Group's contribution to the European Union's 2021-2027 Multiannual Financial Framework (MMF): A synthesis of evaluative evidence",</w:t>
      </w:r>
    </w:p>
    <w:p w:rsidR="00C359C7" w:rsidRPr="00390BD8" w:rsidP="00C359C7" w14:paraId="4C55D7A4" w14:textId="77777777">
      <w:pPr>
        <w:pStyle w:val="NormalHanging"/>
      </w:pPr>
      <w:r w:rsidRPr="00390BD8">
        <w:t>–</w:t>
      </w:r>
      <w:r w:rsidRPr="00390BD8">
        <w:tab/>
        <w:t>der henviser til undersøgelsen fra 2024 udgivet af Kommissionen med titlen "Access to equity funding for European defence SMEs"</w:t>
      </w:r>
      <w:r>
        <w:rPr>
          <w:rStyle w:val="FootnoteReference"/>
        </w:rPr>
        <w:footnoteReference w:customMarkFollows="1" w:id="3"/>
        <w:t xml:space="preserve">2</w:t>
      </w:r>
      <w:r w:rsidRPr="00390BD8">
        <w:t>,</w:t>
      </w:r>
    </w:p>
    <w:p w:rsidR="00C359C7" w:rsidRPr="00390BD8" w:rsidP="00C359C7" w14:paraId="143E89C5" w14:textId="77777777">
      <w:pPr>
        <w:pStyle w:val="NormalHanging"/>
      </w:pPr>
      <w:r w:rsidRPr="00390BD8">
        <w:t>–</w:t>
      </w:r>
      <w:r w:rsidRPr="00390BD8">
        <w:tab/>
        <w:t>der henviser til Revisionsrettens udtalelse 01/2026 af 12. januar 2026,</w:t>
      </w:r>
    </w:p>
    <w:p w:rsidR="00C359C7" w:rsidRPr="00390BD8" w:rsidP="00C359C7" w14:paraId="3E380037" w14:textId="77777777">
      <w:pPr>
        <w:pStyle w:val="NormalHanging"/>
      </w:pPr>
      <w:r w:rsidRPr="00390BD8">
        <w:t>–</w:t>
      </w:r>
      <w:r w:rsidRPr="00390BD8">
        <w:tab/>
        <w:t>der henviser til erklæring CC 1/2025 af 30. september 2025 fra kontaktudvalget for de overordnede revisionsorganer i Den Europæiske Union om den eksterne offentlige revision af Den Europæiske Investeringsbank,</w:t>
      </w:r>
    </w:p>
    <w:p w:rsidR="00C359C7" w:rsidRPr="00390BD8" w:rsidP="00C359C7" w14:paraId="056D19EC" w14:textId="77777777">
      <w:pPr>
        <w:pStyle w:val="NormalHanging"/>
      </w:pPr>
      <w:r w:rsidRPr="00390BD8">
        <w:t>–</w:t>
      </w:r>
      <w:r w:rsidRPr="00390BD8">
        <w:tab/>
        <w:t>der henviser til Enrico Lettas rapport af 17. april 2024 med titlen "Much more than a Market – Speed, Security, Solidarity: Empowering the Single Market to deliver a sustainable future and prosperity for all EU Citizens" (Lettarapporten),</w:t>
      </w:r>
    </w:p>
    <w:p w:rsidR="00C359C7" w:rsidRPr="00390BD8" w:rsidP="00C359C7" w14:paraId="45882157" w14:textId="77777777">
      <w:pPr>
        <w:pStyle w:val="NormalHanging"/>
      </w:pPr>
      <w:r w:rsidRPr="00390BD8">
        <w:t>–</w:t>
      </w:r>
      <w:r w:rsidRPr="00390BD8">
        <w:tab/>
        <w:t>der henviser til rapporten af 25. april 2024 fra ekspertudvalget under ledelse af Christian Noyer med titlen "Developing European capital markets to finance the future",</w:t>
      </w:r>
    </w:p>
    <w:p w:rsidR="00C359C7" w:rsidRPr="00390BD8" w:rsidP="00C359C7" w14:paraId="1273DFB3" w14:textId="77777777">
      <w:pPr>
        <w:pStyle w:val="NormalHanging"/>
      </w:pPr>
      <w:r w:rsidRPr="00390BD8">
        <w:t>–</w:t>
      </w:r>
      <w:r w:rsidRPr="00390BD8">
        <w:tab/>
        <w:t>der henviser til Mario Draghis rapport af 9. september 2024 med titlen "The future of European competitiveness" (Draghirapporten),</w:t>
      </w:r>
    </w:p>
    <w:p w:rsidR="00C359C7" w:rsidRPr="00390BD8" w:rsidP="00C359C7" w14:paraId="02598862" w14:textId="77777777">
      <w:pPr>
        <w:pStyle w:val="NormalHanging"/>
      </w:pPr>
      <w:r w:rsidRPr="00390BD8">
        <w:t>–</w:t>
      </w:r>
      <w:r w:rsidRPr="00390BD8">
        <w:tab/>
        <w:t>der henviser til presseerklæringen fra Kommissionens formand, Ursula von der Leyen, af 4. marts 2025 om forsvarspakken,</w:t>
      </w:r>
    </w:p>
    <w:p w:rsidR="00C359C7" w:rsidRPr="00390BD8" w:rsidP="00C359C7" w14:paraId="3FD1CD7A" w14:textId="77777777">
      <w:pPr>
        <w:pStyle w:val="NormalHanging"/>
      </w:pPr>
      <w:r w:rsidRPr="00390BD8">
        <w:t>–</w:t>
      </w:r>
      <w:r w:rsidRPr="00390BD8">
        <w:tab/>
        <w:t>der henviser til sin beslutning af 12. marts 2025 om hvidbogen om fremtiden for det europæiske forsvar</w:t>
      </w:r>
      <w:r>
        <w:rPr>
          <w:rStyle w:val="FootnoteReference"/>
        </w:rPr>
        <w:footnoteReference w:customMarkFollows="1" w:id="4"/>
        <w:t xml:space="preserve">3</w:t>
      </w:r>
      <w:r w:rsidRPr="00390BD8">
        <w:t>,</w:t>
      </w:r>
    </w:p>
    <w:p w:rsidR="00C359C7" w:rsidRPr="00390BD8" w:rsidP="00C359C7" w14:paraId="6EC48BCD" w14:textId="77777777">
      <w:pPr>
        <w:pStyle w:val="NormalHanging"/>
      </w:pPr>
      <w:r w:rsidRPr="00390BD8">
        <w:t>–</w:t>
      </w:r>
      <w:r w:rsidRPr="00390BD8">
        <w:tab/>
        <w:t>der henviser til EIB-Gruppens liste over udelukkede aktiviteter, som blev offentliggjort den 17. juli 2025,</w:t>
      </w:r>
    </w:p>
    <w:p w:rsidR="00C359C7" w:rsidRPr="00390BD8" w:rsidP="00C359C7" w14:paraId="05341716" w14:textId="77777777">
      <w:pPr>
        <w:pStyle w:val="NormalHanging"/>
      </w:pPr>
      <w:r w:rsidRPr="00390BD8">
        <w:t>–</w:t>
      </w:r>
      <w:r w:rsidRPr="00390BD8">
        <w:tab/>
        <w:t>der henviser til forretningsordenens artikel 55,</w:t>
      </w:r>
    </w:p>
    <w:p w:rsidR="00C359C7" w:rsidRPr="00390BD8" w:rsidP="00C359C7" w14:paraId="3A6651C7" w14:textId="77777777">
      <w:pPr>
        <w:pStyle w:val="NormalHanging"/>
      </w:pPr>
      <w:r w:rsidRPr="00390BD8">
        <w:t>–</w:t>
      </w:r>
      <w:r w:rsidRPr="00390BD8">
        <w:tab/>
        <w:t>der henviser til betænkning fra Budgetkontroludvalget (A10-0086/2026),</w:t>
      </w:r>
    </w:p>
    <w:p w:rsidR="00C359C7" w:rsidRPr="00390BD8" w:rsidP="00C359C7" w14:paraId="025C0E45" w14:textId="77777777">
      <w:pPr>
        <w:pStyle w:val="NormalHanging"/>
      </w:pPr>
      <w:r w:rsidRPr="00390BD8">
        <w:t>A.</w:t>
      </w:r>
      <w:r w:rsidRPr="00390BD8">
        <w:tab/>
        <w:t>der henviser til, at EIB-Gruppen består af EIB – verdens største multilaterale finansielle institution, der ejes 100 % af EU's medlemsstater – og Den Europæiske Investeringsfond (EIF); der henviser til, at en offentlig banks virksomhed bør være at tackle klare markedssvigt og investeringsmangler, hvor der mangler privat finansiering;</w:t>
      </w:r>
    </w:p>
    <w:p w:rsidR="00C359C7" w:rsidRPr="00390BD8" w:rsidP="00C359C7" w14:paraId="209C31C7" w14:textId="77777777">
      <w:pPr>
        <w:pStyle w:val="NormalHanging"/>
      </w:pPr>
      <w:r w:rsidRPr="00390BD8">
        <w:t>B.</w:t>
      </w:r>
      <w:r w:rsidRPr="00390BD8">
        <w:tab/>
        <w:t>der henviser til, at EIB-Gruppen i henhold til bestemmelserne i EU-traktaterne bør bidrage til en afbalanceret og stabil udvikling af det indre marked i Unionens interesse; der henviser til, at dens investeringer bør fokusere på projekter, der skaber påviselig additionalitet og valuta for pengene, og som har til formål at udvikle det indre marked, eller projekter af fælles interesse, der ikke fuldt ud kan finansieres med de midler, der er til rådighed i en medlemsstat;</w:t>
      </w:r>
    </w:p>
    <w:p w:rsidR="00C359C7" w:rsidRPr="00390BD8" w:rsidP="00C359C7" w14:paraId="232E686D" w14:textId="77777777">
      <w:pPr>
        <w:pStyle w:val="NormalHanging"/>
      </w:pPr>
      <w:r w:rsidRPr="00390BD8">
        <w:t>C.</w:t>
      </w:r>
      <w:r w:rsidRPr="00390BD8">
        <w:tab/>
        <w:t>der henviser til, at EIB's finansiering bør supplere, ikke erstatte, de nationale budgetter og privat finansiering og respektere nærhedsprincippet, navnlig på politikområder, der primært henhører under national kompetence; der henviser til, at EIB's finansiering skal give en klar EU-merværdi og vise målbare resultater i form af reel additionalitet;</w:t>
      </w:r>
    </w:p>
    <w:p w:rsidR="00C359C7" w:rsidRPr="00390BD8" w:rsidP="00C359C7" w14:paraId="4668F2DE" w14:textId="77777777">
      <w:pPr>
        <w:pStyle w:val="NormalHanging"/>
      </w:pPr>
      <w:r w:rsidRPr="00390BD8">
        <w:t>D.</w:t>
      </w:r>
      <w:r w:rsidRPr="00390BD8">
        <w:tab/>
        <w:t>der henviser til, at EIB-Gruppen bidrager til at fremme den økonomiske, sociale og territoriale samhørighed i EU og støtter Unionens politik for udviklingssamarbejde gennem foranstaltninger, der gennemføres uden for EU;</w:t>
      </w:r>
    </w:p>
    <w:p w:rsidR="00C359C7" w:rsidRPr="00390BD8" w:rsidP="00C359C7" w14:paraId="4339FD40" w14:textId="77777777">
      <w:pPr>
        <w:pStyle w:val="NormalHanging"/>
      </w:pPr>
      <w:r w:rsidRPr="00390BD8">
        <w:t>E.</w:t>
      </w:r>
      <w:r w:rsidRPr="00390BD8">
        <w:tab/>
        <w:t>der henviser til, at Letta- og Draghirapporten om EU's fremtid opfordrer til, at EU's konkurrenceevne styrkes, fremhæver markedsintegrationens afgørende rolle og understreger behovet for at fremskynde både offentlige og private investeringer for at opbygge et stærkere Europa; der henviser til, at EIB-Gruppen spiller en central rolle, navnlig gennem EIF, med hensyn til at støtte små og mellemstore virksomheder (SMV'er) og dermed forbedre deres evne til at få adgang til de finansielle markeder; der henviser til, at EIB's rolle på boligområdet bør vurderes på baggrund af additionalitetskriterier og supplere de nationale bestræbelser frem for at erstatte dem;</w:t>
      </w:r>
    </w:p>
    <w:p w:rsidR="00C359C7" w:rsidRPr="00390BD8" w:rsidP="00C359C7" w14:paraId="22B5487C" w14:textId="77777777">
      <w:pPr>
        <w:pStyle w:val="NormalHanging"/>
      </w:pPr>
      <w:r w:rsidRPr="00390BD8">
        <w:t>F.</w:t>
      </w:r>
      <w:r w:rsidRPr="00390BD8">
        <w:tab/>
        <w:t>der henviser til, at EIB's AAA-kreditvurdering udgør et strategisk aktiv for Den Europæiske Union og dens medlemsstater;</w:t>
      </w:r>
    </w:p>
    <w:p w:rsidR="00C359C7" w:rsidRPr="00390BD8" w:rsidP="00C359C7" w14:paraId="1FAA746C" w14:textId="77777777">
      <w:pPr>
        <w:pStyle w:val="NormalHanging"/>
      </w:pPr>
      <w:r w:rsidRPr="00390BD8">
        <w:t>G.</w:t>
      </w:r>
      <w:r w:rsidRPr="00390BD8">
        <w:tab/>
        <w:t>der henviser til, at denne betænkning har fokus på kontroldimensionen af EIB's aktiviteter og vurderer valuta for pengene, ansvarlighed og forsvarlig forvaltning af EU's ressourcer; der henviser til, at den fortsatte udvidelse af EIB's mandat og stigningen i EU-budgetgarantier til støtte for EIB's aktiviteter gør det legitimt og nødvendigt, at niveauet af ekstern kontrol øges tilsvarende;</w:t>
      </w:r>
    </w:p>
    <w:p w:rsidR="00C359C7" w:rsidRPr="00390BD8" w:rsidP="00C359C7" w14:paraId="69410FA0" w14:textId="77777777">
      <w:pPr>
        <w:pStyle w:val="NormalHanging"/>
      </w:pPr>
      <w:r w:rsidRPr="00390BD8">
        <w:t>H.</w:t>
      </w:r>
      <w:r w:rsidRPr="00390BD8">
        <w:tab/>
        <w:t>der henviser til, at den demokratiske ansvarlighed skal holde trit med udviklingen i EIB's rolle; der henviser til, at dybden og kvaliteten af Parlamentets tilsyn med EIB's finansielle transaktioner bør være i overensstemmelse med intensiteten af samarbejdet mellem EIB og Kommissionen, som er blevet meget stærkt; der henviser til, at EIB's voksende rolle bør ledsages af større demokratisk ansvarlighed og gennemsigtighed; der henviser til, at øget parlamentarisk kontrol vil styrke EIB's demokratiske ansvarlighed, og at dette kræver gennemsigtig rapportering, revisionsadgang og struktureret opfølgning på Parlamentets henstillinger;</w:t>
      </w:r>
    </w:p>
    <w:p w:rsidR="00C359C7" w:rsidRPr="00390BD8" w:rsidP="00C359C7" w14:paraId="00015667" w14:textId="77777777">
      <w:pPr>
        <w:pStyle w:val="NormalHanging"/>
      </w:pPr>
      <w:r w:rsidRPr="00390BD8">
        <w:t>I.</w:t>
      </w:r>
      <w:r w:rsidRPr="00390BD8">
        <w:tab/>
        <w:t>der henviser til, at effektiv beskyttelse af whistleblowere og undersøgende journalistik bidrager til forebyggelse af svig og til en forsvarlig økonomisk forvaltning, fordi det øger gennemsigtigheden og den offentlige kontrol;</w:t>
      </w:r>
    </w:p>
    <w:p w:rsidR="00C359C7" w:rsidRPr="00390BD8" w:rsidP="00C359C7" w14:paraId="4E5C68C3" w14:textId="77777777">
      <w:pPr>
        <w:pStyle w:val="NormalHanging"/>
      </w:pPr>
      <w:r w:rsidRPr="00390BD8">
        <w:t>J.</w:t>
      </w:r>
      <w:r w:rsidRPr="00390BD8">
        <w:tab/>
        <w:t>der henviser til, at EIB ejes af medlemsstaterne, og at ansvaret for bankens tegnede kapital på 248,8 mia. EUR påhviler skatteyderne; der henviser til, at EIB's låntagning ikke fremgår af de nationale gældsstatistikker; der henviser til, at denne ikkebalanceførte karakter gør det nødvendigt med strenge effektivitetsstandarder og ekstern revision; der henviser til, at udvidelsen af EIB's mandat skal modsvares af styrkede eksterne revisionsordninger;</w:t>
      </w:r>
    </w:p>
    <w:p w:rsidR="00C359C7" w:rsidRPr="00390BD8" w:rsidP="00C359C7" w14:paraId="4A2BD549" w14:textId="77777777">
      <w:pPr>
        <w:pStyle w:val="NormalHanging"/>
      </w:pPr>
      <w:r w:rsidRPr="00390BD8">
        <w:t>K.</w:t>
      </w:r>
      <w:r w:rsidRPr="00390BD8">
        <w:tab/>
        <w:t>der henviser til, at EIB-Gruppen har interne mekanismer for ansvarlighed, som imidlertid ikke erstatter Revisionsrettens uafhængige eksterne demokratiske kontrol og tilsyn;</w:t>
      </w:r>
    </w:p>
    <w:p w:rsidR="00C359C7" w:rsidRPr="00390BD8" w:rsidP="00C359C7" w14:paraId="0EA22E0F" w14:textId="77777777">
      <w:pPr>
        <w:pStyle w:val="NormalHanging"/>
      </w:pPr>
      <w:r w:rsidRPr="00390BD8">
        <w:t>L.</w:t>
      </w:r>
      <w:r w:rsidRPr="00390BD8">
        <w:tab/>
        <w:t>der henviser til, at samarbejdet mellem EIB og Parlamentet i forbindelse med den årlige kontrolrapport i henhold til den nuværende traktatramme og EIB's vedtægter i vid udstrækning er baseret på uformelle ordninger og etableret praksis snarere end på bindende institutionelle forpligtelser;</w:t>
      </w:r>
    </w:p>
    <w:p w:rsidR="00C359C7" w:rsidRPr="00390BD8" w:rsidP="00C359C7" w14:paraId="7ECDB56F" w14:textId="77777777">
      <w:pPr>
        <w:pStyle w:val="NormalHanging"/>
      </w:pPr>
      <w:r w:rsidRPr="00390BD8">
        <w:t>M.</w:t>
      </w:r>
      <w:r w:rsidRPr="00390BD8">
        <w:tab/>
        <w:t>der henviser til, at EIB's forretningsmodel kræver de højeste standarder for integritet, ansvarlighed og gennemsigtighed, og at der skal vedtages og løbende ajourføres passende foranstaltninger for at undgå finansiering af alle former for svig, hvidvask af penge, terrorisme og organiseret kriminalitet samt skatteundgåelse;</w:t>
      </w:r>
    </w:p>
    <w:p w:rsidR="00C359C7" w:rsidRPr="00390BD8" w:rsidP="00C359C7" w14:paraId="34B6682C" w14:textId="77777777">
      <w:pPr>
        <w:pStyle w:val="NormalHanging"/>
      </w:pPr>
      <w:r w:rsidRPr="00390BD8">
        <w:t>N.</w:t>
      </w:r>
      <w:r w:rsidRPr="00390BD8">
        <w:tab/>
        <w:t>der henviser til, at EIB spiller en central rolle med hensyn til at fremme Unionens eksterne mål gennem sine udlånsaktiviteter i lande uden for EU, herunder gennem EIB Global, der blev lanceret i 2022, og som skal tilpasses EU's politikker og prioriteter rundt om i verden; der henviser til, at et effektivt samarbejde med partnerlande om migrationsstyring, herunder tilbagetagelse og tilbagesendelse af migranter, der ikke har nogen lovlig ret til at opholde sig i EU, er en relevant overvejelse i forbindelse med EU's eksterne låneramme;</w:t>
      </w:r>
    </w:p>
    <w:p w:rsidR="00C359C7" w:rsidRPr="00390BD8" w:rsidP="00C359C7" w14:paraId="54C73BC5" w14:textId="77777777">
      <w:pPr>
        <w:pStyle w:val="NormalHanging"/>
      </w:pPr>
      <w:r w:rsidRPr="00390BD8">
        <w:t>O.</w:t>
      </w:r>
      <w:r w:rsidRPr="00390BD8">
        <w:tab/>
        <w:t>der henviser til, at personalet på alle niveauer i EIB-Gruppen, herunder den øverste ledelse og bestyrelsen, bør være kønsmæssigt og geografisk velafbalanceret, samtidig med at meritbaserede udvælgelsesprincipper respekteres fuldt ud; der henviser til, at personalets trivsel og en gennemsigtig og retfærdig ramme for menneskelige ressourcer er væsentlige for den institutionelle modstandsdygtighed og integritet;</w:t>
      </w:r>
    </w:p>
    <w:p w:rsidR="00C359C7" w:rsidRPr="00390BD8" w:rsidP="00C359C7" w14:paraId="7A4CE1F5" w14:textId="77777777">
      <w:pPr>
        <w:pStyle w:val="Normal12a"/>
      </w:pPr>
      <w:r w:rsidRPr="00390BD8">
        <w:rPr>
          <w:b/>
          <w:i/>
        </w:rPr>
        <w:t>Finansielle transaktioner og præstation</w:t>
      </w:r>
    </w:p>
    <w:p w:rsidR="00C359C7" w:rsidRPr="00390BD8" w:rsidP="00C359C7" w14:paraId="72857BB2" w14:textId="77777777">
      <w:pPr>
        <w:pStyle w:val="NormalHanging12a"/>
      </w:pPr>
      <w:r w:rsidRPr="00390BD8">
        <w:t>1.</w:t>
      </w:r>
      <w:r w:rsidRPr="00390BD8">
        <w:tab/>
        <w:t>noterer sig EIB-Gruppens stabile finansielle præstation i 2024 og dens konsoliderede resultater i 2024, der beløb sig til 3,38 mia. EUR; understreger, at bevarelsen af EIB's AAA-kreditvurdering fortsat skal være et primært mål for EIB's forvaltning; understreger, at EIB's AAA-vurdering er et strategisk aktiv, der gør det muligt for EIB at sikre gunstige finansieringsvilkår; understreger, at succes fortsat og i stigende grad skal måles på påviselige økonomiske og politiske resultater og ikke blot på antallet af indgåede aftaler; understreger endvidere, at økonomisk præstation også bør måles i forhold til dokumentation for politisk additionalitet, valuta for pengene og målbare resultater; minder om, at forenklede procedurer regelmæssigt bør forelægges til uafhængig gennemgang;</w:t>
      </w:r>
    </w:p>
    <w:p w:rsidR="00C359C7" w:rsidRPr="00390BD8" w:rsidP="00C359C7" w14:paraId="05E75A12" w14:textId="77777777">
      <w:pPr>
        <w:pStyle w:val="NormalHanging12a"/>
      </w:pPr>
      <w:r w:rsidRPr="00390BD8">
        <w:t>2.</w:t>
      </w:r>
      <w:r w:rsidRPr="00390BD8">
        <w:tab/>
        <w:t>bemærker med bekymring, at andelen af forfaldne betalinger, hvis betalingsfrist var overskredet med mere end 90 dage, var tredoblet til i alt 281,3 mio. EUR ved udgangen af 2024 og udgjorde 0,06 % af den samlede låneportefølje (sammenlignet med 82,4 mio. EUR eller 0,02 % ved udgangen af 2023), og opfordrer EIB til at forklare de underliggende årsager og rapportere om, hvilke korrigerende foranstaltninger der er truffet, selv om det anerkendes, at denne andel fortsat er meget lav i forhold til bankstandarderne; understreger, at enhver stigning i misligholdte eksponeringer skal overvåges nøje for at sikre EIB's finansielle stabilitet og kreditværdighed; fremhæver, at disse stigninger i misligholdte eksponeringer og forfaldne betalinger væsentligt overstiger væksten på 2 % i den samlede låneportefølje;</w:t>
      </w:r>
    </w:p>
    <w:p w:rsidR="00C359C7" w:rsidRPr="00390BD8" w:rsidP="00C359C7" w14:paraId="17772880" w14:textId="77777777">
      <w:pPr>
        <w:pStyle w:val="Normal12a"/>
      </w:pPr>
      <w:r w:rsidRPr="00390BD8">
        <w:rPr>
          <w:b/>
          <w:i/>
        </w:rPr>
        <w:t>InvestEU, forenkling af den flerårige finansielle ramme og genopretnings- og resiliensfaciliteten</w:t>
      </w:r>
    </w:p>
    <w:p w:rsidR="00C359C7" w:rsidRPr="00390BD8" w:rsidP="00C359C7" w14:paraId="515986AC" w14:textId="77777777">
      <w:pPr>
        <w:pStyle w:val="NormalHanging12a"/>
      </w:pPr>
      <w:r w:rsidRPr="00390BD8">
        <w:t>3.</w:t>
      </w:r>
      <w:r w:rsidRPr="00390BD8">
        <w:tab/>
        <w:t>bemærker, at EIB i 2024 godkendte 38 transaktioner under InvestEU og anvendte 1,7 mia. EUR af EU-garantien; insisterer på, at rapporteringen skal supplere inputbaserede parametre med virkningsbaserede indikatorer, der viser de reelle økonomiske resultater, og skal omfatte additionalitetsvurdering og efterfølgende analyse af potentiel fortrængning, herunder for transaktioner, der gennemføres via finansielle formidlere; opfordrer til en præstationsbaseret budgetlægningstilgang, hvor kapitaltildelinger og strategiske prioriteter evalueres på grundlag af dokumenteret effektivitet, investeringsafkast og reel valuta for pengene, ud over overholdelse af forud fastsatte procentmål;</w:t>
      </w:r>
    </w:p>
    <w:p w:rsidR="00C359C7" w:rsidRPr="00390BD8" w:rsidP="00C359C7" w14:paraId="72905BF5" w14:textId="77777777">
      <w:pPr>
        <w:pStyle w:val="NormalHanging12a"/>
      </w:pPr>
      <w:r w:rsidRPr="00390BD8">
        <w:t>4.</w:t>
      </w:r>
      <w:r w:rsidRPr="00390BD8">
        <w:tab/>
        <w:t>understreger, at InvestEU-programmet også bør vurderes på grundlag af kvaliteten af dets interventioner og deres målbare virkning og ikke blot kvantiteten af de anvendte midler; minder om, at der i øjeblikket ikke findes verificerbare målerammer til vurdering af resultaterne af projekter, der finansieres under InvestEU;</w:t>
      </w:r>
    </w:p>
    <w:p w:rsidR="00C359C7" w:rsidRPr="00390BD8" w:rsidP="00C359C7" w14:paraId="2724C04A" w14:textId="77777777">
      <w:pPr>
        <w:pStyle w:val="NormalHanging12a"/>
      </w:pPr>
      <w:r w:rsidRPr="00390BD8">
        <w:t>5.</w:t>
      </w:r>
      <w:r w:rsidRPr="00390BD8">
        <w:tab/>
        <w:t>bemærker, at det fragmenterede og komplekse EU-finansieringslandskab fører til ineffektivitet; understreger, at mindre bureaukrati er afgørende for at genoprette konkurrenceevnen, og at en forenkling bør mindske den administrative byrde uden at svække revisionssporene, gennemsigtigheden eller kontrollen med bekæmpelse af svig; noterer sig EIB's forenklingsbestræbelser i forbindelse med vurderingen af produktionstid; opfordrer EIB til at offentliggøre årlige nøgleresultatindikatorer for godkendelser og påvise målbare reduktioner af den administrative byrde for ansøgere, navnlig SMV'er og midcapselskaber;</w:t>
      </w:r>
    </w:p>
    <w:p w:rsidR="00C359C7" w:rsidRPr="00390BD8" w:rsidP="00C359C7" w14:paraId="47F19B24" w14:textId="77777777">
      <w:pPr>
        <w:pStyle w:val="NormalHanging12a"/>
      </w:pPr>
      <w:r w:rsidRPr="00390BD8">
        <w:t>6.</w:t>
      </w:r>
      <w:r w:rsidRPr="00390BD8">
        <w:tab/>
        <w:t>glæder sig over den igangværende evaluering af EIB's ramme for additionalitets- og indvirkningsmåling og bemærker, at der forventes resultater i første halvdel af 2026; opfordrer EIB og Kommissionen til at etablere en fælles efterfølgende metode for additionalitet for EU-støttede transaktioner og til regelmæssigt at aflægge rapport om virkningerne heraf på portefølje- og sektorniveau;</w:t>
      </w:r>
    </w:p>
    <w:p w:rsidR="00C359C7" w:rsidRPr="00390BD8" w:rsidP="00C359C7" w14:paraId="1AD9A021" w14:textId="77777777">
      <w:pPr>
        <w:pStyle w:val="Normal12a"/>
      </w:pPr>
      <w:r w:rsidRPr="00390BD8">
        <w:rPr>
          <w:b/>
          <w:i/>
        </w:rPr>
        <w:t>Energisikkerhed</w:t>
      </w:r>
    </w:p>
    <w:p w:rsidR="00C359C7" w:rsidRPr="00390BD8" w:rsidP="00C359C7" w14:paraId="29E0C29E" w14:textId="77777777">
      <w:pPr>
        <w:pStyle w:val="NormalHanging12a"/>
      </w:pPr>
      <w:r w:rsidRPr="00390BD8">
        <w:t>7.</w:t>
      </w:r>
      <w:r w:rsidRPr="00390BD8">
        <w:tab/>
        <w:t>opfordrer EIB til at evaluere alle kulstoffattige projekter, herunder nukleare projekter, på grundlag af objektive og gennemsigtige kriterier, herunder kulstofintensitet, netstabilitet og omkostningseffektivitet i hele livscyklussen, idet der anvendes teknologineutralitet, samtidig med at der fokuseres på strategiske grænseoverskridende projekter for at øge EU-merværdien; bemærker, at EIB investerede over 27 mia. EUR i energiomstilling og energisikkerhed i 2024, herunder vedvarende energi, net og lagring; opfordrer EIB til at prioritere energieffektivitet og omkostningseffektivitet, samtidig med at medlemsstaternes suveræne ret til at fastsætte deres energimiks respekteres fuldt ud;</w:t>
      </w:r>
    </w:p>
    <w:p w:rsidR="00C359C7" w:rsidRPr="00390BD8" w:rsidP="00C359C7" w14:paraId="2E96FCD1" w14:textId="77777777">
      <w:pPr>
        <w:pStyle w:val="NormalHanging12a"/>
      </w:pPr>
      <w:r w:rsidRPr="00390BD8">
        <w:t>8.</w:t>
      </w:r>
      <w:r w:rsidRPr="00390BD8">
        <w:tab/>
        <w:t>udtrykker bekymring over de uforholdsmæssige miljømæssige, sociale og ledelsesmæssige (ESG) rapporteringskrav, der pålægges EIB's låntagere; advarer om, at overdrevne offentliggørelsesforpligtelser har en afskrækkende virkning på økonomisk levedygtige projekter og skaber konkurrencemæssige ulemper for europæiske virksomheder; opfordrer EIB til at revidere sine ESG-rapporteringskrav med henblik på at sikre proportionalitet;</w:t>
      </w:r>
    </w:p>
    <w:p w:rsidR="00C359C7" w:rsidRPr="00390BD8" w:rsidP="00C359C7" w14:paraId="716DBA76" w14:textId="77777777">
      <w:pPr>
        <w:pStyle w:val="Normal12a"/>
      </w:pPr>
      <w:r w:rsidRPr="00390BD8">
        <w:rPr>
          <w:b/>
          <w:i/>
        </w:rPr>
        <w:t>Forsvars- og sikkerhedspolitik</w:t>
      </w:r>
    </w:p>
    <w:p w:rsidR="00C359C7" w:rsidRPr="00390BD8" w:rsidP="00C359C7" w14:paraId="19972739" w14:textId="77777777">
      <w:pPr>
        <w:pStyle w:val="NormalHanging12a"/>
      </w:pPr>
      <w:r w:rsidRPr="00390BD8">
        <w:t>9.</w:t>
      </w:r>
      <w:r w:rsidRPr="00390BD8">
        <w:tab/>
        <w:t>understreger betydningen af EIB-Gruppens bidrag til Europas fred, forsvar og sikkerhed, som fastsat i hvidbogen om europæisk forsvarsberedskab 2030, gennem dens støtte til initiativer, der styrker EU's strategiske autonomi og modstandsdygtighed, styrker EU's forsvarsindustri, forbedrer cybersikkerhedsinfrastrukturen og fremmer innovation inden for kritiske forsvarsteknologier ved at yde finansiering og mobilisere private investeringer;</w:t>
      </w:r>
    </w:p>
    <w:p w:rsidR="00C359C7" w:rsidRPr="00390BD8" w:rsidP="00C359C7" w14:paraId="56C86DFA" w14:textId="77777777">
      <w:pPr>
        <w:pStyle w:val="NormalHanging12a"/>
      </w:pPr>
      <w:r w:rsidRPr="00390BD8">
        <w:t>10.</w:t>
      </w:r>
      <w:r w:rsidRPr="00390BD8">
        <w:tab/>
        <w:t xml:space="preserve">noterer sig EIB's bestyrelses afgørelse af 21. marts 2025 om at udvide EIB-Gruppens støtteberettigelseskriterier for sikkerheds- og forsvarsinvesteringer og begrænse </w:t>
      </w:r>
      <w:r w:rsidRPr="00390BD8">
        <w:t>udelukkede aktiviteter i overensstemmelse med de forslag, som EU's ledere godkendte på Det Europæiske Råds møde den 6. marts 2025;</w:t>
      </w:r>
    </w:p>
    <w:p w:rsidR="00C359C7" w:rsidRPr="00390BD8" w:rsidP="00C359C7" w14:paraId="622FF978" w14:textId="77777777">
      <w:pPr>
        <w:pStyle w:val="NormalHanging12a"/>
      </w:pPr>
      <w:r w:rsidRPr="00390BD8">
        <w:t>11.</w:t>
      </w:r>
      <w:r w:rsidRPr="00390BD8">
        <w:tab/>
        <w:t>glæder sig over EIB's fortsatte og større rolle med hensyn til at styrke Europas sikkerhed gennem målrettede investeringer i både forsvarsinfrastruktur og civil infrastruktur i overensstemmelse med EU's bredere mål om at fremme innovation og øge EU's sikkerhed; understreger, at EIB fortsat bør investere i et trygt og sikkert Europa og støtte den europæiske forsvarsteknologiske og ‑industrielle base og leveringen af produkter, tjenester og teknologier, der styrker Europas forsvarskapacitet, forskning og udvikling samt innovation; opfordrer til, at omfanget af støtteberettigede investeringer tilpasses yderligere for at opfylde det ambitiøse mål om at bidrage til Europas forsvar og sikkerhed;</w:t>
      </w:r>
    </w:p>
    <w:p w:rsidR="00C359C7" w:rsidRPr="00390BD8" w:rsidP="00C359C7" w14:paraId="65824EC7" w14:textId="77777777">
      <w:pPr>
        <w:pStyle w:val="NormalHanging12a"/>
      </w:pPr>
      <w:r w:rsidRPr="00390BD8">
        <w:t>12.</w:t>
      </w:r>
      <w:r w:rsidRPr="00390BD8">
        <w:tab/>
        <w:t>bemærker den kraftige stigning i EIB's sikkerheds- og forsvarsfinansiering fra 0,5 mia. EUR i 2023 til 1,04 mia. EUR i 2024 og den yderligere opskalering i 2025; påpeger, at EIB's nuværende strategiske europæiske sikkerhedsinitiativ på 8 mia. EUR vil blive integreret i et permanent, tværgående mål for den offentlige politik, der supplerer eksisterende mål for den offentlige politik, fjerner foruddefinerede lofter for sikkerhedsfinansiering og giver mulighed for øget og fleksibel støtte i overensstemmelse med Rådets prioriteter; opfordrer til, at Parlamentet forelægges et særligt årligt rapporteringsbilag om sikkerheds- og forsvarsoperationer, herunder additionalitet, gennemførelseshastighed, indkøbsgarantier, integritetskontrol og risikodelingsordninger;</w:t>
      </w:r>
    </w:p>
    <w:p w:rsidR="00C359C7" w:rsidRPr="00390BD8" w:rsidP="00C359C7" w14:paraId="53150E7F" w14:textId="77777777">
      <w:pPr>
        <w:pStyle w:val="NormalHanging12a"/>
      </w:pPr>
      <w:r w:rsidRPr="00390BD8">
        <w:t>13.</w:t>
      </w:r>
      <w:r w:rsidRPr="00390BD8">
        <w:tab/>
        <w:t>opfordrer EIB til yderligere at styrke synergierne med forsvarsinvesteringer, der finansieres over EU-budgettet, og til i højere grad at tilpasse disse investeringer til EU-dækkende initiativer; understreger over for EIB, at det er nødvendigt at sikre, at dets investeringer supplerer EU's bredere forsvarspolitiske mål og bidrager til at opnå stordriftsfordele i den europæiske forsvarskapacitet;</w:t>
      </w:r>
    </w:p>
    <w:p w:rsidR="00C359C7" w:rsidRPr="00390BD8" w:rsidP="00C359C7" w14:paraId="69D9EEAF" w14:textId="77777777">
      <w:pPr>
        <w:pStyle w:val="NormalHanging12a"/>
      </w:pPr>
      <w:r w:rsidRPr="00390BD8">
        <w:t>14.</w:t>
      </w:r>
      <w:r w:rsidRPr="00390BD8">
        <w:tab/>
        <w:t>bemærker den betydelige udvidelse af EIB's støtte til sikkerheds- og forsvarsoperationer; understreger, at enhver potentiel udvidelse af EIB's støtte på sikkerheds- og forsvarsområdet skal være underlagt streng gennemsigtighed, ansvarlighed og menneskerettighedsgarantier, klare udelukkelseskriterier, overvågning af slutanvendelser og regelmæssig rapportering til Parlamentet;</w:t>
      </w:r>
    </w:p>
    <w:p w:rsidR="00C359C7" w:rsidRPr="00390BD8" w:rsidP="00C359C7" w14:paraId="68A69387" w14:textId="77777777">
      <w:pPr>
        <w:pStyle w:val="NormalHanging12a"/>
      </w:pPr>
      <w:r w:rsidRPr="00390BD8">
        <w:t>15.</w:t>
      </w:r>
      <w:r w:rsidRPr="00390BD8">
        <w:tab/>
        <w:t xml:space="preserve">opfordrer EIB til at identificere hindringer for forsvars- og grænsebeskyttelsesinvesteringer, der vil styrke Unionens modstandsdygtighed og sikkerhed, samtidig med at der sikres overholdelse af EU-retten og demokratisk tilsyn; understreger, at fjernelse af hindringer er afgørende for håndgribelige sikkerhedsresultater; minder om, at enhver tildeling af midler fra EIB gennem InvestEU og andre finansielle instrumenter til forsvarsformål og til investeringer i kritiske teknologier fuldt ud skal respektere medlemsstaternes nationale sikkerhedsinteresser; understreger, at EU-institutionernes kompetente revisionsmyndigheder og ‑organer bør levere grundige og løbende revisionskontroller til tredjelandsenheder og tredjelande, der modtager EU-midler, og som leverer investeringer og projekter inden for forsvarsområdet, for at sikre en gennemsigtig anvendelse af EU-midler; understreger, at resultatet af sådanne investeringer og projekter ikke må underminere medlemsstaternes nationale sikkerhedsinteresser; anmoder EIB om at udvide sit fokus på at øge den regionale sikkerhed og modstandsdygtighed; understreger den vigtige rolle, som EIB </w:t>
      </w:r>
      <w:r w:rsidRPr="00390BD8">
        <w:t>kan spille i skabelsen af infrastruktur, der støtter regional sikkerhed og fremmer et større samarbejde mellem medlemsstaterne på energi- og forsvarsområdet;</w:t>
      </w:r>
    </w:p>
    <w:p w:rsidR="00C359C7" w:rsidRPr="00390BD8" w:rsidP="00C359C7" w14:paraId="597687B8" w14:textId="77777777">
      <w:pPr>
        <w:pStyle w:val="NormalHanging12a"/>
      </w:pPr>
      <w:r w:rsidRPr="00390BD8">
        <w:t>16.</w:t>
      </w:r>
      <w:r w:rsidRPr="00390BD8">
        <w:tab/>
        <w:t>glæder sig over det tætte og strukturerede samarbejde med NATO's Innovationsfond for at sikre synergier og undgå dobbeltarbejde, navnlig med hensyn til at opskalere teknologier, hvor den private kapital er utilstrækkelig;</w:t>
      </w:r>
    </w:p>
    <w:p w:rsidR="00C359C7" w:rsidRPr="00390BD8" w:rsidP="00C359C7" w14:paraId="33418A57" w14:textId="77777777">
      <w:pPr>
        <w:pStyle w:val="Normal12a"/>
      </w:pPr>
      <w:r w:rsidRPr="00390BD8">
        <w:rPr>
          <w:b/>
          <w:i/>
        </w:rPr>
        <w:t xml:space="preserve">Investeringer på områder, der henhører under national kompetence </w:t>
      </w:r>
    </w:p>
    <w:p w:rsidR="00C359C7" w:rsidRPr="00390BD8" w:rsidP="00C359C7" w14:paraId="7465060B" w14:textId="77777777">
      <w:pPr>
        <w:pStyle w:val="NormalHanging12a"/>
      </w:pPr>
      <w:r w:rsidRPr="00390BD8">
        <w:t>17.</w:t>
      </w:r>
      <w:r w:rsidRPr="00390BD8">
        <w:tab/>
        <w:t>minder om, at boligudfordringer kan tackles mere effektivt på lokalt eller nationalt plan; noterer sig EIB-Gruppens bestræbelser på at sikre EU-merværdi i forbindelse med at tackle boligudfordringerne på lokalt og nationalt plan ved at støtte skalerbare løsninger, der supplerer den nationale indsats og leverer målbare resultater; anerkender, at investeringer i boliginfrastruktur i mindre udviklede regioner er i fuld overensstemmelse med EIB's mandat og med EIB's traktatfæstede mål om at fremme økonomisk, social og territorial samhørighed ved at fokusere på mindre udviklede regioner;</w:t>
      </w:r>
    </w:p>
    <w:p w:rsidR="00C359C7" w:rsidRPr="00390BD8" w:rsidP="00C359C7" w14:paraId="62A5B70D" w14:textId="77777777">
      <w:pPr>
        <w:pStyle w:val="NormalHanging12a"/>
      </w:pPr>
      <w:r w:rsidRPr="00390BD8">
        <w:t>18.</w:t>
      </w:r>
      <w:r w:rsidRPr="00390BD8">
        <w:tab/>
        <w:t>noterer sig EIB-Gruppens handlingsplan for økonomisk overkommelige og bæredygtige boliger og dens tilsagn om at investere i sektoren; anerkender EIB-Gruppens tilsagn om at øge investeringerne i social infrastruktur, herunder sociale og økonomisk overkommelige boliger, som fastsat i dens strategiske prioriteter for 2024-2027 og dens operationelle plan for 2026-2028; bemærker potentialet i målrettet EIB-støtte til renovering af eksisterende boligmasse med henblik på at forbedre energieffektiviteten, forudsat at sådanne transaktioner viser additionalitet og valuta for pengene;</w:t>
      </w:r>
    </w:p>
    <w:p w:rsidR="00C359C7" w:rsidRPr="00390BD8" w:rsidP="00C359C7" w14:paraId="0A6C4CA9" w14:textId="77777777">
      <w:pPr>
        <w:pStyle w:val="NormalHanging12a"/>
      </w:pPr>
      <w:r w:rsidRPr="00390BD8">
        <w:t>19.</w:t>
      </w:r>
      <w:r w:rsidRPr="00390BD8">
        <w:tab/>
        <w:t>minder om behovet for at sikre additionalitet og komplementaritet med andre offentlige midler og kommercielle långivere, samtidig med at den europæiske søjle for sociale rettigheder gennemføres, herunder på uddannelsesområdet, og understreger, at EIB's deltagelse bør begrænses til projekter, hvor der er påviselig valuta for pengene, såsom grænseoverskridende forskningsinfrastruktur eller færdighedsprogrammer, der afhjælper mangler på arbejdsmarkedet i hele EU; insisterer på, at EIB's finansiering ikke må være en erstatning for de nationale uddannelsesbudgetter;</w:t>
      </w:r>
    </w:p>
    <w:p w:rsidR="00C359C7" w:rsidRPr="00390BD8" w:rsidP="00C359C7" w14:paraId="77C5A830" w14:textId="77777777">
      <w:pPr>
        <w:pStyle w:val="Normal12a"/>
      </w:pPr>
      <w:r w:rsidRPr="00390BD8">
        <w:rPr>
          <w:b/>
          <w:i/>
        </w:rPr>
        <w:t>Støtte til SMV'er, midcapselskaber, startupvirksomheder, vækstvirksomheder og andre virksomheder</w:t>
      </w:r>
    </w:p>
    <w:p w:rsidR="00C359C7" w:rsidRPr="00390BD8" w:rsidP="00C359C7" w14:paraId="74D22D80" w14:textId="77777777">
      <w:pPr>
        <w:pStyle w:val="NormalHanging12a"/>
      </w:pPr>
      <w:r w:rsidRPr="00390BD8">
        <w:t>20.</w:t>
      </w:r>
      <w:r w:rsidRPr="00390BD8">
        <w:tab/>
        <w:t>understreger, at EIB skal fokusere på reelle markedssvigt og finansiering og finansiere projekter, som den private sektor alene ikke ville finansiere eller kun ville finansiere på mindre gunstige vilkår; understreger, at EIB's investeringer ikke må erstatte privat kapital eller tjene som erstatning for nationale tilbagevendende budgetudgifter; understreger, at det er afgørende at beskytte et konkurrencepræget markedsmiljø;</w:t>
      </w:r>
    </w:p>
    <w:p w:rsidR="00C359C7" w:rsidRPr="00390BD8" w:rsidP="00C359C7" w14:paraId="3E286F47" w14:textId="77777777">
      <w:pPr>
        <w:pStyle w:val="NormalHanging12a"/>
      </w:pPr>
      <w:r w:rsidRPr="00390BD8">
        <w:t>21.</w:t>
      </w:r>
      <w:r w:rsidRPr="00390BD8">
        <w:tab/>
        <w:t>understreger den afgørende rolle, som store EU-virksomheder spiller i EU's økonomiske struktur, navnlig dem, der opererer i vigtige sektorer såsom energi, forsvar og infrastruktur; opfordrer til en afbalanceret tilgang, der sikrer, at EIB fortsat støtter store EU-virksomheder i at sikre investeringskapital til store projekter og forsknings- og udviklingsinitiativer og dermed styrker EU's globale konkurrenceevne og økonomiske suverænitet;</w:t>
      </w:r>
    </w:p>
    <w:p w:rsidR="00C359C7" w:rsidRPr="00390BD8" w:rsidP="00C359C7" w14:paraId="3041C04D" w14:textId="77777777">
      <w:pPr>
        <w:pStyle w:val="NormalHanging12a"/>
      </w:pPr>
      <w:r w:rsidRPr="00390BD8">
        <w:t>22.</w:t>
      </w:r>
      <w:r w:rsidRPr="00390BD8">
        <w:tab/>
        <w:t>opfordrer EIB til at fortsætte sin rolle med hensyn til at forbedre adgangen til finansiering for SMV'er, startupvirksomheder og vækstvirksomheder, der styrker EU's konkurrenceevne på langt sigt, da de ofte står over for hindringer for finansiering fra traditionelle finansielle institutioner, og med hensyn til at yde målrettet finansiering for at sikre, at de har tilstrækkelige ressourcer til at vokse og trives; glæder sig over den konstante udvidelse af antallet af partnerinstitutioner og opfordrer til, at dette fortsætter for at nå en bred geografisk og sektoriel dækning; opfordrer EIB til at øge andelen af finansiering, der er rettet mod investeringer, som styrker konkurrenceevnen, navnlig i strategiske sektorer såsom avanceret fremstilling, digitale teknologier og energimodstandsdygtighed;</w:t>
      </w:r>
    </w:p>
    <w:p w:rsidR="00C359C7" w:rsidRPr="00390BD8" w:rsidP="00C359C7" w14:paraId="657B04B7" w14:textId="77777777">
      <w:pPr>
        <w:pStyle w:val="NormalHanging12a"/>
      </w:pPr>
      <w:r w:rsidRPr="00390BD8">
        <w:t>23.</w:t>
      </w:r>
      <w:r w:rsidRPr="00390BD8">
        <w:tab/>
        <w:t>noterer sig konklusionerne i Revisionsrettens særberetning 07/2025, der bekræfter, at støtten fra Den Europæiske Fond for Strategiske Investeringer (EFSI) er relevant, men også at dens additionalitet ikke var blevet påvist i tilstrækkelig grad, og at Kommissionen ikke havde kontrolleret EFSI's fortrængningseffekt; understreger, at de samme bekymringer også kan rejses med hensyn til EIB's transaktioner under InvestEU; understreger risikoen for at fortrænge private investeringer, f.eks. ved kunstigt at komprimere risikopræmier, navnlig på markeder såsom vedvarende energi, hvilket undergraver prissignaler, der styrer effektive investeringer, og kan opfattes som en form for grønvaskning; opfordrer til efterfølgende fortrængningsvurderinger;</w:t>
      </w:r>
    </w:p>
    <w:p w:rsidR="00C359C7" w:rsidRPr="00390BD8" w:rsidP="00C359C7" w14:paraId="3B70C9E8" w14:textId="77777777">
      <w:pPr>
        <w:pStyle w:val="NormalHanging12a"/>
      </w:pPr>
      <w:r w:rsidRPr="00390BD8">
        <w:t>24.</w:t>
      </w:r>
      <w:r w:rsidRPr="00390BD8">
        <w:tab/>
        <w:t>bemærker, at EIB-lån til tider medfører større administrative byrder end kommercielle lån; advarer om, at overdrevne rapporteringskrav gør EIB-finansiering mindre attraktiv for den private sektor og kan have en afskrækkende virkning på økonomisk levedygtige projekter; opfordrer EIB til at offentliggøre planer for at mindske begrænsningerne; opfordrer Kommissionen og EIB til at vurdere, hvordan EIB's produktionstid kan mindskes, samt til at forenkle finansieringsmandater og rapporteringskrav uden at gå på kompromis med revisionsstandarderne; anmoder EIB om at aflægge rapport om markedskløfter og efterfølgende resultater samt om administrativ forenkling, behandlingstider og dokumentationsbyrde i lyset af EIB-Gruppens initiativer med hensyn til digitalisering og produktionstid;</w:t>
      </w:r>
    </w:p>
    <w:p w:rsidR="00C359C7" w:rsidRPr="00390BD8" w:rsidP="00C359C7" w14:paraId="70FE928F" w14:textId="77777777">
      <w:pPr>
        <w:pStyle w:val="Normal12a"/>
      </w:pPr>
      <w:r w:rsidRPr="00390BD8">
        <w:rPr>
          <w:b/>
          <w:i/>
        </w:rPr>
        <w:t>Politikområderne samhørighed, klima, digitalisering og miljømæssig bæredygtighed</w:t>
      </w:r>
    </w:p>
    <w:p w:rsidR="00C359C7" w:rsidRPr="00390BD8" w:rsidP="00C359C7" w14:paraId="71496A83" w14:textId="77777777">
      <w:pPr>
        <w:pStyle w:val="NormalHanging12a"/>
      </w:pPr>
      <w:r w:rsidRPr="00390BD8">
        <w:t>25.</w:t>
      </w:r>
      <w:r w:rsidRPr="00390BD8">
        <w:tab/>
        <w:t>understreger, at rapportering baseret på mængde måler output og ikke resultater; opfordrer EIB til at fortsætte og endda øge anvendelsen af resultatorienterede indikatorer såsom undgåede CO</w:t>
      </w:r>
      <w:r w:rsidRPr="00390BD8">
        <w:rPr>
          <w:vertAlign w:val="subscript"/>
        </w:rPr>
        <w:t>2</w:t>
      </w:r>
      <w:r w:rsidRPr="00390BD8">
        <w:t>-emissioner og antallet af langsigtede job, der skabes i den private sektor pr. investeret euro; går ind for benchmarking i forhold til sammenlignelige interventioner;</w:t>
      </w:r>
    </w:p>
    <w:p w:rsidR="00C359C7" w:rsidRPr="00390BD8" w:rsidP="00C359C7" w14:paraId="28881974" w14:textId="77777777">
      <w:pPr>
        <w:pStyle w:val="NormalHanging12a"/>
      </w:pPr>
      <w:r w:rsidRPr="00390BD8">
        <w:t>26.</w:t>
      </w:r>
      <w:r w:rsidRPr="00390BD8">
        <w:tab/>
        <w:t>understreger, at klima- og bæredygtighedsrapportering skal være baseret på verificerbare output og resultater (herunder emissionsreduktioner, resiliensgevinster og løftestangseffekter) understøttet af en sammenhængende porteføljemetode og uafhængig evaluering;</w:t>
      </w:r>
    </w:p>
    <w:p w:rsidR="00C359C7" w:rsidRPr="00390BD8" w:rsidP="00C359C7" w14:paraId="08454658" w14:textId="77777777">
      <w:pPr>
        <w:pStyle w:val="NormalHanging12a"/>
      </w:pPr>
      <w:r w:rsidRPr="00390BD8">
        <w:t>27.</w:t>
      </w:r>
      <w:r w:rsidRPr="00390BD8">
        <w:tab/>
        <w:t>noterer sig EIB-Gruppens rekordhøje samhørighedsfinansiering på 38,3 mia. EUR i 2024, hvilket svarer til 48 % af den samlede EU-finansiering; opfordrer EIB til at offentliggøre data om indvirkning for de enkelte regioner for at muliggøre en effektiv kontrol;</w:t>
      </w:r>
    </w:p>
    <w:p w:rsidR="00C359C7" w:rsidRPr="00390BD8" w:rsidP="00C359C7" w14:paraId="64A85138" w14:textId="77777777">
      <w:pPr>
        <w:pStyle w:val="NormalHanging12a"/>
      </w:pPr>
      <w:r w:rsidRPr="00390BD8">
        <w:t>28.</w:t>
      </w:r>
      <w:r w:rsidRPr="00390BD8">
        <w:tab/>
        <w:t>opfordrer EIB til at øge gennemsigtigheden med hensyn til sine tværgående mål ved klart at skelne mellem de mål, der er fastsat i EU-forordninger, og de mål, som EIB selv har taget initiativ til; anmoder om en detaljeret opdeling af, hvordan forskellige mål konkurrerer om ressourcer; advarer om, at den fortsatte akkumulering af overlappende mainstreamingmål risikerer at skabe en matematisk umulig porteføljesammensætning; opfordrer EIB til på gennemsigtig vis at rapportere om afvejningerne mellem konkurrerende politiske mål; gentager, at mainstreamingmålene bør evalueres med hensyn til deres reelle virkning; bemærker, at forsvars- og sikkerhedsinvesteringer, herunder støtte til infrastruktur til beskyttelse af de ydre grænser, bør styrkes i betragtning af den nuværende geopolitiske kontekst og de sikkerhedsmæssige udfordringer, som Europa står over for;</w:t>
      </w:r>
    </w:p>
    <w:p w:rsidR="00C359C7" w:rsidRPr="00390BD8" w:rsidP="00C359C7" w14:paraId="2840B47A" w14:textId="77777777">
      <w:pPr>
        <w:pStyle w:val="NormalHanging12a"/>
      </w:pPr>
      <w:r w:rsidRPr="00390BD8">
        <w:t>29.</w:t>
      </w:r>
      <w:r w:rsidRPr="00390BD8">
        <w:tab/>
        <w:t>opfordrer EIB og EIF til at støtte investeringer i cybersikkerhed, overvågning og digitale teknologier for at gøre Europa mere modstandsdygtigt og samtidig styrke eksisterende samarbejdsmekanismer og beskytte væsentlige tjenester;</w:t>
      </w:r>
    </w:p>
    <w:p w:rsidR="00C359C7" w:rsidRPr="00390BD8" w:rsidP="00C359C7" w14:paraId="55586BB5" w14:textId="77777777">
      <w:pPr>
        <w:pStyle w:val="Normal12a"/>
      </w:pPr>
      <w:r w:rsidRPr="00390BD8">
        <w:rPr>
          <w:b/>
          <w:i/>
        </w:rPr>
        <w:t xml:space="preserve">EIB's aktiviteter uden for EU </w:t>
      </w:r>
    </w:p>
    <w:p w:rsidR="00C359C7" w:rsidRPr="00390BD8" w:rsidP="00C359C7" w14:paraId="3C28F238" w14:textId="77777777">
      <w:pPr>
        <w:pStyle w:val="NormalHanging12a"/>
      </w:pPr>
      <w:r w:rsidRPr="00390BD8">
        <w:t>30.</w:t>
      </w:r>
      <w:r w:rsidRPr="00390BD8">
        <w:tab/>
        <w:t>insisterer på, at omfanget af långivning uden for EU skal være underlagt solide garantier for gennemsigtighed, beskyttelse mod svig, overholdelse af sanktioner, menneskerettigheder og retsstatsprincippet, og at det tager hensyn til samarbejdet om tilbagesendelsesaftaler og forbliver i overensstemmelse med EU's udenrigspolitiske mål; opfordrer til en styrket forudgående og efterfølgende kontrol, herunder sporbarhed af de endelige støttemodtagere, og til solide foranstaltninger til bekæmpelse af korruption, større eller tilsvarende gennemsigtighed, forudgående konsekvensanalyser og fuld offentlig ansvarlighed i alle EIB's transaktioner uden for EU;</w:t>
      </w:r>
    </w:p>
    <w:p w:rsidR="00C359C7" w:rsidRPr="00390BD8" w:rsidP="00C359C7" w14:paraId="09E124AA" w14:textId="77777777">
      <w:pPr>
        <w:pStyle w:val="NormalHanging12a"/>
      </w:pPr>
      <w:r w:rsidRPr="00390BD8">
        <w:t>31.</w:t>
      </w:r>
      <w:r w:rsidRPr="00390BD8">
        <w:tab/>
        <w:t>glæder sig over vedtagelsen i 2024 af Ukrainefaciliteten, som følger EIB's initiativ EU for Ukraine og opretter en støttemekanisme baseret på EU's budgetmidler; opfordrer medlemsstaterne til at sikre, at der fortsat ydes solid støtte til landet i overensstemmelse med dets behov; opfordrer EIB til at sikre gennemsigtigheden og sporbarheden af sine projekter i Ukraine; fremhæver betydningen af at styrke den administrative kapacitet og revisionskapaciteten hos de ukrainske myndigheder, der har til opgave at gennemføre, overvåge og kontrollere de finansierede foranstaltninger;</w:t>
      </w:r>
    </w:p>
    <w:p w:rsidR="00C359C7" w:rsidRPr="00390BD8" w:rsidP="00C359C7" w14:paraId="1D484AD4" w14:textId="77777777">
      <w:pPr>
        <w:pStyle w:val="NormalHanging12a"/>
      </w:pPr>
      <w:r w:rsidRPr="00390BD8">
        <w:t>32.</w:t>
      </w:r>
      <w:r w:rsidRPr="00390BD8">
        <w:tab/>
        <w:t>bemærker, at EIB har udbetalt 2,3 mia. EUR i nødhjælp og projektstøtte til Ukraine siden begyndelsen af Ruslands angrebskrig; bemærker, at EIB's udbetalte eksponering i Ukraine overvejende er dækket af EU-garantier under EU's eksterne lånemandat</w:t>
      </w:r>
      <w:r>
        <w:rPr>
          <w:rStyle w:val="FootnoteReference"/>
        </w:rPr>
        <w:footnoteReference w:customMarkFollows="1" w:id="5"/>
        <w:t xml:space="preserve">4</w:t>
      </w:r>
      <w:r w:rsidRPr="00390BD8">
        <w:t xml:space="preserve">; fremhæver, at EIB's støtte til den private sektor har gjort det muligt for ukrainske banker fortsat at udlåne til realøkonomien; bemærker, at EIB ved udgangen af 2024 havde ydet finansielle garantier for eksponeringer på 500,5 mio. EUR, som også var fuldt dækket af EU-garantier, til modparter i Ukraine; bemærker, at EIB opretholder en lokal tilstedeværelse i Ukraine, og at der gradvist er blevet genindsat personale i kontoret i Kyiv; gentager sin opfordring til EIB om regelmæssigt og detaljeret at informere </w:t>
      </w:r>
      <w:r w:rsidRPr="00390BD8">
        <w:t>budgetmyndigheden og de relevante revisionsorganer om udbetalingen og gennemførelsen af midler, der er omfattet af EU-garantier;</w:t>
      </w:r>
    </w:p>
    <w:p w:rsidR="00C359C7" w:rsidRPr="00390BD8" w:rsidP="00C359C7" w14:paraId="796B5BE9" w14:textId="77777777">
      <w:pPr>
        <w:pStyle w:val="NormalHanging12a"/>
      </w:pPr>
      <w:r w:rsidRPr="00390BD8">
        <w:t>33.</w:t>
      </w:r>
      <w:r w:rsidRPr="00390BD8">
        <w:tab/>
        <w:t>bemærker, at EIB-Gruppen i 2024 blev udvalgt som en af de vigtigste gennemførelsespartnere i investeringsrammen for Ukraine, som er en del af Ukrainefaciliteten, hvorunder EU vil tildele 50 mia. EUR i perioden 2024-2027 til finansiering af Ukraines statsbudget, stimulering af investeringer og til teknisk støtte; bemærker, at rammen består af garantier og tilskud til europæiske og andre udviklingsfinansieringsinstitutioner, og at mindst 2 mia. EUR af den tilgængelige støtte skal understøtte EIB-lån til den offentlige sektor;</w:t>
      </w:r>
    </w:p>
    <w:p w:rsidR="00C359C7" w:rsidRPr="00390BD8" w:rsidP="00C359C7" w14:paraId="26B202FD" w14:textId="77777777">
      <w:pPr>
        <w:pStyle w:val="NormalHanging12a"/>
      </w:pPr>
      <w:r w:rsidRPr="00390BD8">
        <w:t>34.</w:t>
      </w:r>
      <w:r w:rsidRPr="00390BD8">
        <w:tab/>
        <w:t>minder om, at EIB er engageret i at forebygge og bekæmpe svig og korruption i forbindelse med gennemførelsen af EIB-Gruppens projekter i Ukraine; glæder sig over EIB's samarbejdsordninger med ukrainske antikorruptions- og efterforskningsmyndigheder og opfordrer EIB til i sin rapport til Parlamentet at medtage oplysninger om integritetsgarantier, afbødning af risikoen for svig og inddrivelsesmekanismer for transaktioner med tilknytning til Ukraine, samtidig med at den operationelle sikkerhed og fortroligheden sikres; gentager sin opfordring til at sikre, at anvendelsen af finansiel bistand ledsages af effektive tilsynsmekanismer, og fastholder, at EIB i forbindelse med de projekter, der ydes støtte og bistand til, til enhver tid og uden begrænsninger klart bør kunne føre tilsyn med alle sine investeringer uden for EU;</w:t>
      </w:r>
    </w:p>
    <w:p w:rsidR="00C359C7" w:rsidRPr="00390BD8" w:rsidP="00C359C7" w14:paraId="16297BCE" w14:textId="77777777">
      <w:pPr>
        <w:pStyle w:val="NormalHanging12a"/>
      </w:pPr>
      <w:r w:rsidRPr="00390BD8">
        <w:t>35.</w:t>
      </w:r>
      <w:r w:rsidRPr="00390BD8">
        <w:tab/>
        <w:t>noterer sig, at EIB's bestyrelse har vedtaget EIB's globale strategiske køreplan; bemærker endvidere EIB's rolle i Global Gateway og EIB's partnerskaber med Team Europe- og FN-partnere for at opnå maksimal indvirkning på stedet; opfordrer EIB og medlemsstaterne til at styrke europæiske erhvervsfremmende bankers og andre internationale finansielle institutioners rolle i at bidrage til yderligere at fremme offentlige og private investeringer; anmoder EIB om også at fokusere på meget vigtige offentlige tjenester i sine projekter uden for EU;</w:t>
      </w:r>
    </w:p>
    <w:p w:rsidR="00C359C7" w:rsidRPr="00390BD8" w:rsidP="00C359C7" w14:paraId="507F43C9" w14:textId="77777777">
      <w:pPr>
        <w:pStyle w:val="NormalHanging12a"/>
      </w:pPr>
      <w:r w:rsidRPr="00390BD8">
        <w:t>36.</w:t>
      </w:r>
      <w:r w:rsidRPr="00390BD8">
        <w:tab/>
        <w:t>anerkender, at Ukraine forsvarer sig mod Ruslands ulovlige aggression, og at indsatsen for at bekæmpe korruption skal fortsættes i videst muligt omfang, samtidig med at der tages højde for disse ekstraordinære omstændigheder; understreger, at solide foranstaltninger til bekæmpelse af svig og korruption er afgørende for at opretholde skatteydernes tillid og sikre fortsat offentlig støtte til Ukraine; opfordrer EIB til at sikre, at midler fra Ukrainefaciliteten er underlagt strenge revisionsstandarder; fastholder, at EIB bør have ubegrænset tilsyn med alle sine investeringer uden for EU;</w:t>
      </w:r>
    </w:p>
    <w:p w:rsidR="00C359C7" w:rsidRPr="00390BD8" w:rsidP="00C359C7" w14:paraId="3D584778" w14:textId="77777777">
      <w:pPr>
        <w:pStyle w:val="NormalHanging12a"/>
      </w:pPr>
      <w:r w:rsidRPr="00390BD8">
        <w:t>37.</w:t>
      </w:r>
      <w:r w:rsidRPr="00390BD8">
        <w:tab/>
        <w:t>opfordrer EIB til i alle aftaler med formidlere, partnerinstitutioner og gennemførelsesenheder, navnlig for alle sine aktiviteter uden for EU, at sikre effektive adgangsrettigheder for Revisionsretten, Det Europæiske Kontor for Bekæmpelse af Svig (OLAF) og Den Europæiske Anklagemyndighed (EPPO) og tilgængeligheden af revisionsspor helt ned til de endelige modtagere, hvor det er muligt, i overensstemmelse med EU's regler om beskyttelse af EU's finansielle interesser;</w:t>
      </w:r>
    </w:p>
    <w:p w:rsidR="00C359C7" w:rsidRPr="00390BD8" w:rsidP="00C359C7" w14:paraId="7EBA8B13" w14:textId="77777777">
      <w:pPr>
        <w:pStyle w:val="Normal12a"/>
      </w:pPr>
      <w:r w:rsidRPr="00390BD8">
        <w:rPr>
          <w:b/>
          <w:i/>
        </w:rPr>
        <w:t>EIB's ansvarlighedsstruktur</w:t>
      </w:r>
    </w:p>
    <w:p w:rsidR="00C359C7" w:rsidRPr="00390BD8" w:rsidP="00C359C7" w14:paraId="557658DA" w14:textId="77777777">
      <w:pPr>
        <w:pStyle w:val="NormalHanging12a"/>
      </w:pPr>
      <w:r w:rsidRPr="00390BD8">
        <w:t>38.</w:t>
      </w:r>
      <w:r w:rsidRPr="00390BD8">
        <w:tab/>
        <w:t xml:space="preserve">bemærker, at EIB-Gruppens nuværende ansvarlighedsniveau er resultatet af, at EIB opererer under en dobbelt ordning, hvor transaktioner, der støttes af EU-budgettet, kontrolleres indirekte af Kommissionen og Revisionsretten og af Parlamentet i dets </w:t>
      </w:r>
      <w:r w:rsidRPr="00390BD8">
        <w:t>afgørelse om decharge for EU-budgettet, mens transaktioner, der finansieres over EIB's egne indtægter fra medlemsstaterne – mere end tre fjerdedele af EIB's transaktioner – i vid udstrækning ikke er omfattet af systematisk ekstern revision og national og europæisk parlamentarisk kontrol; bemærker endvidere, at EIB ikke er underlagt noget eksternt banktilsyn i modsætning til Den Europæiske Centralbank, som overvåges af den fælles tilsynsmekanisme;</w:t>
      </w:r>
    </w:p>
    <w:p w:rsidR="00C359C7" w:rsidRPr="00390BD8" w:rsidP="00C359C7" w14:paraId="383B9443" w14:textId="77777777">
      <w:pPr>
        <w:pStyle w:val="NormalHanging12a"/>
      </w:pPr>
      <w:r w:rsidRPr="00390BD8">
        <w:t>39.</w:t>
      </w:r>
      <w:r w:rsidRPr="00390BD8">
        <w:tab/>
        <w:t>bemærker, at EIB har en tæt intern ansvarlighedsstruktur, og at en ekstern revisor fører tilsyn med EIB's transaktioner og regnskabssystem; er enigt i, at denne struktur stort set er i overensstemmelse med international praksis; understreger, at som EIB's traditionelle rolle udvides sideløbende med en øget anvendelse af komplekse finansielle instrumenter og blandede transaktioner, sættes der ofte spørgsmålstegn ved EIB's gennemsigtighed og offentliggørelse, dets etiske rammer er suboptimale, dets rapportering til Parlamentet er lejlighedsvis, samarbejdet med Den Europæiske Ombudsmand er ændret, og Revisionsrettens rolle er begrænset af de nuværende regler og gennemførelsesordninger; fremhæver, at der er behov for konkrete foranstaltninger fra EIB's side for at afhjælpe denne situation i overensstemmelse med de tidligere opfordringer i Parlamentets beslutninger og den mulighed for dialog og samarbejde, som EU's budget- og dechargemyndighed har givet udtryk for;</w:t>
      </w:r>
    </w:p>
    <w:p w:rsidR="00C359C7" w:rsidRPr="00390BD8" w:rsidP="00C359C7" w14:paraId="60B3ABD9" w14:textId="77777777">
      <w:pPr>
        <w:pStyle w:val="NormalHanging12a"/>
      </w:pPr>
      <w:r w:rsidRPr="00390BD8">
        <w:t>40.</w:t>
      </w:r>
      <w:r w:rsidRPr="00390BD8">
        <w:tab/>
        <w:t>minder om konklusionerne i kontaktudvalgets erklæring CC 1/2025, som formelt identificerede kritiske mangler i den eksterne offentlige revision af EIB; bemærker, at det er paradoksalt, at EIB's mandat og EU's budgetgarantier udvides, men at revisionsbeføjelserne fortsat er begrænsede; opfordrer EIB til aktivt at inddrage de nationale overordnede revisionsorganer i denne proces for at sikre ansvarlighed for transaktioner, der i øjeblikket ikke er omfattet af Revisionsretten, og garantere robust ansvarlighed og tilsyn, herunder gennem regelmæssig informationsudveksling om risikoområder og opfølgning på revisionsanbefalinger; gentager, at det er nødvendigt med en traktatændring for at give Revisionsretten, i udøvelsen af dens mandat, fuld og ubegrænset adgang til alle EIB's transaktioner for at tilpasse den demokratiske ansvarlighed til udviklingen i EIB's finansielle eksponering;</w:t>
      </w:r>
    </w:p>
    <w:p w:rsidR="00C359C7" w:rsidRPr="00390BD8" w:rsidP="00C359C7" w14:paraId="67D4980B" w14:textId="77777777">
      <w:pPr>
        <w:pStyle w:val="NormalHanging12a"/>
      </w:pPr>
      <w:r w:rsidRPr="00390BD8">
        <w:t>41.</w:t>
      </w:r>
      <w:r w:rsidRPr="00390BD8">
        <w:tab/>
        <w:t>udtrykker bekymring over, at konkursen af Northvolt AB, batteriproducenten, der indgav konkursbegæring i Sverige den 12. marts 2025 efter at have modtaget en betydelig EIB-lånepakke på lidt over 942,6 mio. EUR, der blev undertegnet i 2020 som led i en gældsfinansiering, som blev rejst for at udvide et gigafabriksområde; bemærker, at der synes at være lignende risici forbundet med tilsvarende store foretagender såsom Stegra (H2 Green Steel); opfordrer til offentliggørelse af EIB's risikovurderinger og af vurderingerne efter transaktionen, herunder evalueringen af den finansielle eksponering og tilstrækkeligheden af indikatorer for tidlig varsling, så snart de igangværende processer tillader det; kræver en gennemgang af erfaringerne fra Northvolt-sagen; opfordrer Kommissionen og EIB's bestyrelse til at etablere mekanismer til tidlig påvisning af systemiske risici i flagskibsinvesteringer med henblik på at forhindre, at der igen opstår lignende situationer; opfordrer EIB til at offentliggøre risikovurderingsprofilerne for disse og andre lignende forpligtelser, herunder for styrings-, koncentrations- og teknologirisici, på en passende aggregeret måde, der respekterer fortroligheden; gentager sin opfordring til EIB om at fremlægge detaljerede oplysninger om den evaluerings- og beslutningsproces, der fandt sted forud for investeringen i Northvolt AB, og til at forklare, hvordan et så afgørende projekt mislykkedes på trods af EIB's påstande om, at den foretager passende og løbende overvågning af modtagerne af dens finansielle støtte;</w:t>
      </w:r>
    </w:p>
    <w:p w:rsidR="00C359C7" w:rsidRPr="00390BD8" w:rsidP="00C359C7" w14:paraId="61D9D3A2" w14:textId="77777777">
      <w:pPr>
        <w:pStyle w:val="NormalHanging12a"/>
      </w:pPr>
      <w:r w:rsidRPr="00390BD8">
        <w:t>42.</w:t>
      </w:r>
      <w:r w:rsidRPr="00390BD8">
        <w:tab/>
        <w:t>opfordrer EIB til at indføre øgede stresstest- og risikokoncentrationsgrænser for store strategiske projekter og til at aflægge rapport til Parlamentet om den samlede eksponering for individuelle højrisikolåntagere;</w:t>
      </w:r>
    </w:p>
    <w:p w:rsidR="00C359C7" w:rsidRPr="00390BD8" w:rsidP="00C359C7" w14:paraId="7C98CE6E" w14:textId="77777777">
      <w:pPr>
        <w:pStyle w:val="NormalHanging12a"/>
      </w:pPr>
      <w:r w:rsidRPr="00390BD8">
        <w:t>43.</w:t>
      </w:r>
      <w:r w:rsidRPr="00390BD8">
        <w:tab/>
        <w:t>opfordrer EIB til systematisk at evaluere og offentligt rapportere om forekomsten af forsinkede betalinger og støttemodtagernes konkurser i hele sin udlånsportefølje; insisterer på, at en sådan evaluering bør omfatte en analyse af de grundlæggende årsager for at fastslå, om fejl skyldes utilstrækkelig due diligence, eksterne chok eller systemiske problemer i projektudvælgelsesmetoderne; understreger, at gennemsigtig rapportering er afgørende for at vurdere valuta for pengene og bevare skatteydernes tillid;</w:t>
      </w:r>
    </w:p>
    <w:p w:rsidR="00C359C7" w:rsidRPr="00390BD8" w:rsidP="00C359C7" w14:paraId="0D345756" w14:textId="77777777">
      <w:pPr>
        <w:pStyle w:val="NormalHanging12a"/>
      </w:pPr>
      <w:r w:rsidRPr="00390BD8">
        <w:t>44.</w:t>
      </w:r>
      <w:r w:rsidRPr="00390BD8">
        <w:tab/>
        <w:t>insisterer kraftigt på, at forebyggelsen af interessekonflikter styrkes i lyset af de seneste svingdørssager og Den Europæiske Ombudsmands henstillinger; opfordrer til en revision af adfærdskodeksen for at håndhæve strengere afkølingsperioder for EIB's næstformænd, give udvalget for etik og overholdelse beføjelse til at pålægge risikobegrænsende foranstaltninger og fastsætte klarere regler for EIB's næstformænds deltagelse i beslutninger vedrørende deres oprindelseslande; understreger der i nyligt offentliggjorte oplysninger konstateres fem tilfælde siden 2019, hvor tidligere medlemmer af EIB's besluttende organer angiveligt har været involveret i svingdørssituationer, herunder en sag, hvor en næstformand for EIB blev udnævnt til bestyrelsesmedlem i en enhed, for hvilken han havde undertegnet et EIB-lån; bemærker, at afkølingsperioden er blevet forlænget til 24 måneder; minder om, at medlemmerne af forretningsudvalget anmodes om at underrette udvalget for etik og compliance om og søge godkendelse til eventuelle forhandlinger om fremtidig beskæftigelse; er enigt med Den Europæiske Ombudsmand i, at EIB's udvalg for etik og compliance bør styrkes; minder om, at afbødende foranstaltninger såsom øremærkning og afkølingsperioder bør opfattes som ubestridelige;</w:t>
      </w:r>
    </w:p>
    <w:p w:rsidR="00C359C7" w:rsidRPr="00390BD8" w:rsidP="00C359C7" w14:paraId="2C073E02" w14:textId="77777777">
      <w:pPr>
        <w:pStyle w:val="NormalHanging12a"/>
      </w:pPr>
      <w:r w:rsidRPr="00390BD8">
        <w:t>45.</w:t>
      </w:r>
      <w:r w:rsidRPr="00390BD8">
        <w:tab/>
        <w:t>bemærker med bekymring, at der findes en lækket intern revision fra EIB, hvori det markeres, at der i forbindelse med bestemmelserne om interessekonflikter er "behov for betydelige forbedringer", herunder af manglende dækning af åbenbare og potentielle konflikter; understreger, at interesseerklæringer fra EIB's og EIF's styrende organer og revisionsorganer ikke er i overensstemmelse med andre multilaterale udviklingsbanker og Den Europæiske Centralbank og straks skal rettes; understreger den manglende autoritet, uafhængighed og rækkevidde af EIB's og EIF's etiske compliancefunktioner og risiciene i forbindelse med komplekse rapporteringsveje, som afslører følsomme personoplysninger; opfordrer indtrængende EIB til at tilpasse sine regler til Ethics Network of Multilateral Organisations og aflægge rapport om, hvilke opfølgende foranstaltninger der træffes;</w:t>
      </w:r>
    </w:p>
    <w:p w:rsidR="00C359C7" w:rsidRPr="00390BD8" w:rsidP="00C359C7" w14:paraId="2CE29C4F" w14:textId="77777777">
      <w:pPr>
        <w:pStyle w:val="NormalHanging12a"/>
      </w:pPr>
      <w:r w:rsidRPr="00390BD8">
        <w:t>46.</w:t>
      </w:r>
      <w:r w:rsidRPr="00390BD8">
        <w:tab/>
        <w:t>er klar over, at forordning (EF) nr. 1049/2001</w:t>
      </w:r>
      <w:r>
        <w:rPr>
          <w:rStyle w:val="FootnoteReference"/>
        </w:rPr>
        <w:footnoteReference w:customMarkFollows="1" w:id="6"/>
        <w:t xml:space="preserve">5</w:t>
      </w:r>
      <w:r w:rsidRPr="00390BD8">
        <w:t xml:space="preserve"> ikke formelt finder anvendelse på EIB, og at EIB's gennemsigtighedspolitik, der er baseret på "formodningen om offentliggørelse", skal fungere adskilt fra, men tilpasset til, denne forordning; opfordrer EIB til i forbindelse med sin revision af gennemsigtighedspolitikken i 2026 at begrænse undtagelserne fra "formodningen om offentliggørelse" til strengt nødvendige og begrundede tilfælde; opfordrer EIB til at offentliggøre mere detaljerede referater fra </w:t>
      </w:r>
      <w:r w:rsidRPr="00390BD8">
        <w:t>bestyrelsesmøderne, herunder afstemningsreferater og projektspecifikke begrundelser, mens den legitime fortrolighed respekteres, hvor det er nødvendigt;</w:t>
      </w:r>
    </w:p>
    <w:p w:rsidR="00C359C7" w:rsidRPr="00390BD8" w:rsidP="00C359C7" w14:paraId="0C93446A" w14:textId="77777777">
      <w:pPr>
        <w:pStyle w:val="NormalHanging12a"/>
      </w:pPr>
      <w:r w:rsidRPr="00390BD8">
        <w:t>47.</w:t>
      </w:r>
      <w:r w:rsidRPr="00390BD8">
        <w:tab/>
        <w:t>bemærker det stigende antal sager, der behandles af EIB's klagemekanisme (113 sager i 2024, 104 i 2023 og 97 i 2022); understreger, at klagemekanismen fortsat er en selvrefererende tvistbilæggelsesproces, der er fuldt integreret i EIB's struktur på bekostning af dens uafhængighed, og hvis konklusioner gennemgås og godkendes af de samme forvaltningsstrukturer, som det er meningen, den skal kontrollere; bemærker, at udnævnelser foretages internt uden eksternt tilsyn; beklager, at den ikke rapporterer individuelle sager til bestyrelsen, men kun sammenfatter dem i halvårlige rapporter; opfordrer EIB til at reformere klagemekanismen for at sikre reel uafhængighed og ekstern ansvarlighed;</w:t>
      </w:r>
    </w:p>
    <w:p w:rsidR="00C359C7" w:rsidRPr="00390BD8" w:rsidP="00C359C7" w14:paraId="08B45574" w14:textId="77777777">
      <w:pPr>
        <w:pStyle w:val="NormalHanging12a"/>
      </w:pPr>
      <w:r w:rsidRPr="00390BD8">
        <w:t>48.</w:t>
      </w:r>
      <w:r w:rsidRPr="00390BD8">
        <w:tab/>
        <w:t>bemærker den øgede arbejdsbyrde i undersøgelsesafdelingen (IG/IN) i 2024 (244 nye påstande, hvoraf 49 blev henvist til OLAF og EPPO); beklager, at IG/IN's årsberetning fortsat mangler tilstrækkelige oplysninger om det finansielle omfang, de berørte midler og mandater, projekttyper, afbødende foranstaltninger og de berørte medlemsstater; opfordrer på ny EIB's generalinspektør og chefen for IG/IN til at forbedre datakvaliteten og samarbejde med Parlamentet for bedre at bidrage til beskyttelsen af de involverede finansielle interesser og tilstræbe en passende balance mellem gennemsigtighed og fortrolighed; understreger, at en sådan rapportering bør omfatte en analyse af de grundlæggende årsager for at fastslå, om fejl skyldes utilstrækkelig due diligence, eksterne faktorer eller systemiske problemer i projektudvælgelsen;</w:t>
      </w:r>
    </w:p>
    <w:p w:rsidR="00C359C7" w:rsidRPr="00390BD8" w:rsidP="00C359C7" w14:paraId="093EE66F" w14:textId="77777777">
      <w:pPr>
        <w:pStyle w:val="NormalHanging12a"/>
      </w:pPr>
      <w:r w:rsidRPr="00390BD8">
        <w:t>49.</w:t>
      </w:r>
      <w:r w:rsidRPr="00390BD8">
        <w:tab/>
        <w:t>glæder sig over EIB-Gruppens samarbejde med OLAF, EPPO og Europol og noterer sig dets rapporterede 29 henvisninger til OLAF og 20 henvisninger til EPPO i 2024; glæder sig over EIB's interesse i at få adgang til Kommissionens risikovurderingsværktøj Arachne; opfordrer Kommissionen til straks at lette en sådan adgang med henblik på at styrke opdagelsen og forebyggelsen af svig på tværs af alle EIB's transaktioner;</w:t>
      </w:r>
    </w:p>
    <w:p w:rsidR="00C359C7" w:rsidRPr="00390BD8" w:rsidP="00C359C7" w14:paraId="4D1AF901" w14:textId="77777777">
      <w:pPr>
        <w:pStyle w:val="NormalHanging12a"/>
      </w:pPr>
      <w:r w:rsidRPr="00390BD8">
        <w:t>50.</w:t>
      </w:r>
      <w:r w:rsidRPr="00390BD8">
        <w:tab/>
        <w:t>bemærker med bekymring, at EIB's autonome udelukkelsessystem og Kommissionens system for tidlig opdagelse og udelukkelse (EDES) ikke er fuldt ud ækvivalente og ikke fungerer med automatisk gensidighed; opfordrer EIB til fuldt ud at tilpasse sin udelukkelsespolitik til Kommissionens EDES-system med hensyn til standarder for beslutningstagning, resultater og retsmidler, herunder systematisk gensidig anerkendelse af udelukkelsesafgørelser, hvor det er juridisk muligt; gentager sin opfordring til EIB-Gruppen og Kommissionen om at samarbejde om at udpege potentielle mangler og foreslå afhjælpende foranstaltninger, herunder en fremskyndet procedure for håndhævelse af EIB's afgørelser om udelukkelse via EDES-systemet;</w:t>
      </w:r>
    </w:p>
    <w:p w:rsidR="00C359C7" w:rsidRPr="00390BD8" w:rsidP="00C359C7" w14:paraId="1ECF7C8C" w14:textId="77777777">
      <w:pPr>
        <w:pStyle w:val="NormalHanging12a"/>
      </w:pPr>
      <w:r w:rsidRPr="00390BD8">
        <w:t>51.</w:t>
      </w:r>
      <w:r w:rsidRPr="00390BD8">
        <w:tab/>
        <w:t>glæder sig over EIB's program for overholdelse af sanktioner og opfordrer til regelmæssig rapportering om kontrol med sanktioner og foranstaltninger til modvirkning af omgåelse i EIB-finansierede transaktioner; opfordrer EIB-Gruppen til at forbedre screeningsprocedurerne for egenkapitalinvesteringer, der foretages gennem finansielle formidlere, herunder venturekapitalfonde;</w:t>
      </w:r>
    </w:p>
    <w:p w:rsidR="00C359C7" w:rsidRPr="00390BD8" w:rsidP="00C359C7" w14:paraId="18E9D0E4" w14:textId="77777777">
      <w:pPr>
        <w:pStyle w:val="NormalHanging12a"/>
      </w:pPr>
      <w:r w:rsidRPr="00390BD8">
        <w:t>52.</w:t>
      </w:r>
      <w:r w:rsidRPr="00390BD8">
        <w:tab/>
        <w:t xml:space="preserve">bemærker, at EIB den 10. juni 2024 offentliggjorde et bilag XII til sine personaleregler om en ramme for anerkendelse af fagforeninger i Den Europæiske Investeringsbank; noterer sig EIB's igangværende bestræbelser med hensyn til personalets trivsel, herunder mental sundhed, og lige muligheder; opfordrer EIB til at styrke mangfoldigheds- og inklusionspolitikkerne, herunder foranstaltninger vedrørende </w:t>
      </w:r>
      <w:r w:rsidRPr="00390BD8">
        <w:t>inklusion af personer med handicap og lige muligheder; minder om betydningen af en retfærdig geografisk repræsentation og kønsbalance i rekruttering og ledelsesstillinger og bekræfter samtidig, at meritbaseret udvælgelse bør være det primære kriterium, og anmoder EIB om at aflægge rapport om geografisk repræsentation og kønsfordeling på alle niveauer;</w:t>
      </w:r>
    </w:p>
    <w:p w:rsidR="00C359C7" w:rsidRPr="00390BD8" w:rsidP="00C359C7" w14:paraId="5CFF7FFC" w14:textId="77777777">
      <w:pPr>
        <w:pStyle w:val="NormalHanging12a"/>
      </w:pPr>
      <w:r w:rsidRPr="00390BD8">
        <w:t>53.</w:t>
      </w:r>
      <w:r w:rsidRPr="00390BD8">
        <w:tab/>
        <w:t>minder om betydningen af beskyttelse af whistleblowere og stærke rammer for bekæmpelse af korruption;</w:t>
      </w:r>
    </w:p>
    <w:p w:rsidR="00C359C7" w:rsidRPr="00390BD8" w:rsidP="00C359C7" w14:paraId="50DDD97C" w14:textId="77777777">
      <w:pPr>
        <w:pStyle w:val="Normal12a"/>
      </w:pPr>
      <w:r w:rsidRPr="00390BD8">
        <w:rPr>
          <w:b/>
          <w:i/>
        </w:rPr>
        <w:t>Gennemsigtighed, kontrol og tilsyn</w:t>
      </w:r>
    </w:p>
    <w:p w:rsidR="00C359C7" w:rsidRPr="00390BD8" w:rsidP="00C359C7" w14:paraId="69ED5C4F" w14:textId="77777777">
      <w:pPr>
        <w:pStyle w:val="NormalHanging12a"/>
      </w:pPr>
      <w:r w:rsidRPr="00390BD8">
        <w:t>54.</w:t>
      </w:r>
      <w:r w:rsidRPr="00390BD8">
        <w:tab/>
        <w:t>anerkender, at de vigtigste relevante revisionsopgaver varetages af EIB's revisionsudvalg; mener, at deltagelse af kvalificerede eksterne repræsentanter i specifikke opgaver i revisionsudvalget kan øge objektiviteten af revisionsudvalgets analyser;</w:t>
      </w:r>
    </w:p>
    <w:p w:rsidR="00C359C7" w:rsidRPr="00390BD8" w:rsidP="00C359C7" w14:paraId="51FB42FA" w14:textId="77777777">
      <w:pPr>
        <w:pStyle w:val="NormalHanging12a"/>
      </w:pPr>
      <w:r w:rsidRPr="00390BD8">
        <w:t>55.</w:t>
      </w:r>
      <w:r w:rsidRPr="00390BD8">
        <w:tab/>
        <w:t>bemærker, at gennemsigtigheden og adgangen til oplysninger er blevet forbedret i de seneste år, såsom bestræbelserne på at forbedre dokumentationen af beslutningstagningen, herunder angivelsen af krævede flertal, hvor det er relevant; bemærker, at offentliggørelsen og sporbarheden på projektniveau fortsat er uensartede, navnlig for transaktioner, der involverer finansielle formidlere og komplekse garantistrukturer; opfordrer EIB til i højere grad at tilpasse sine interne indikatorer til EU-dækkende bæredygtighedsstandarder (f.eks. ved at rette op på uoverensstemmelsen mellem parametrene for EIB's klimaindsats og EU's nøgletal for grønne aktiver); minder om, at passende rapportering er en nødvendig forudsætning for gennemsigtighed, og beklager, at rapporteringen til Parlamentet afhænger af EIB's formands frivillige og lejlighedsvise fremmøde, enten på et plenarmøde eller på et møde med udvalget med sektorspecifikke kompetencer;</w:t>
      </w:r>
    </w:p>
    <w:p w:rsidR="00C359C7" w:rsidRPr="00390BD8" w:rsidP="00C359C7" w14:paraId="2F454976" w14:textId="77777777">
      <w:pPr>
        <w:pStyle w:val="NormalHanging12a"/>
      </w:pPr>
      <w:r w:rsidRPr="00390BD8">
        <w:t>56.</w:t>
      </w:r>
      <w:r w:rsidRPr="00390BD8">
        <w:tab/>
        <w:t>noterer sig resultaterne af gennemsigtighedsindekset for udviklingsfinansieringsinstitutioner for 2025, som viser, at EIB scorer lavere end andre multilaterale udviklingsbanker såsom Verdensbanken, Den Asiatiske Udviklingsbank og Den Afrikanske Udviklingsbank med hensyn til overordnede gennemsigtighedsparametre; anerkender imidlertid EIB's betydelige styrker, der blev identificeret i rapporten "Behind the Billions"</w:t>
      </w:r>
      <w:r>
        <w:rPr>
          <w:rStyle w:val="FootnoteReference"/>
        </w:rPr>
        <w:footnoteReference w:customMarkFollows="1" w:id="7"/>
        <w:t xml:space="preserve">6</w:t>
      </w:r>
      <w:r w:rsidRPr="00390BD8">
        <w:t xml:space="preserve"> fra november 2025, hvori EIB's offentliggørelse betegnes som "god praksis" for at have sikret næsten fuldstændig sporbarhed af bankens klimafinansiering; understreger, at EIB nu bør udnytte sit demonstrerede lederskab inden for datadækning til at levere de detaljerede data om indvirkning og standardiserede metoder, der er nødvendige for at kontrollere effektiviteten og valuta for pengene af bankens investeringer;</w:t>
      </w:r>
    </w:p>
    <w:p w:rsidR="00C359C7" w:rsidRPr="00390BD8" w:rsidP="00C359C7" w14:paraId="10200924" w14:textId="77777777">
      <w:pPr>
        <w:pStyle w:val="NormalHanging12a"/>
      </w:pPr>
      <w:r w:rsidRPr="00390BD8">
        <w:t>57.</w:t>
      </w:r>
      <w:r w:rsidRPr="00390BD8">
        <w:tab/>
        <w:t>er klar over, at EIB-lån ikke er underlagt de samme synlighedsforpligtelser som tilskud; anmoder imidlertid EIB om at sikre, at de gældende kontraktmæssige og retlige rammer skaber gennemsigtighed i alle projekter, der finansieres med støtte fra EIB, og en klar angivelse af, at de finansieres med støtte fra medlemsstaternes borgere, med henblik på at øge offentlighedens bevidsthed om de håndgribelige fordele ved EU-investeringer og styrke skatteydernes tillid til anvendelsen af offentlige midler;</w:t>
      </w:r>
    </w:p>
    <w:p w:rsidR="00C359C7" w:rsidRPr="00390BD8" w:rsidP="00C359C7" w14:paraId="380B5251" w14:textId="77777777">
      <w:pPr>
        <w:pStyle w:val="NormalHanging12a"/>
      </w:pPr>
      <w:r w:rsidRPr="00390BD8">
        <w:t>58.</w:t>
      </w:r>
      <w:r w:rsidRPr="00390BD8">
        <w:tab/>
        <w:t>gentager sine bemærkninger om vigtigheden af fuldt ud at gennemføre en politik om skattesvig, skatteunddragelse og skatteundgåelse; glæder sig over afprøvningen af et nyt risikoklassificeringsværktøj for skatteintegritet i 2024 til vurdering af skatterisiciene i forbindelse med projekter og ser frem til at vurdere gennemførelsen i hele gruppen i 2025; gentager sin opfordring til EIB om at afstå fra at finansiere støttemodtagere eller finansielle formidlere, der har vist sig at være eller er i høj risiko for at blive involveret i skattemæssige uregelmæssigheder, og understreger, at dobbeltbeskatning af grænseoverskridende investeringer samt komplekse skattemiljøer begrænser investeringer;</w:t>
      </w:r>
    </w:p>
    <w:p w:rsidR="00C359C7" w:rsidRPr="00390BD8" w:rsidP="00C359C7" w14:paraId="2561B5A9" w14:textId="092D4628">
      <w:pPr>
        <w:pStyle w:val="NormalHanging12a"/>
      </w:pPr>
      <w:r w:rsidRPr="00390BD8">
        <w:t>59.</w:t>
      </w:r>
      <w:r w:rsidRPr="00390BD8">
        <w:tab/>
        <w:t>beklager EIB's forsinkede opfølgning på Parlamentets årlige betænkning om kontrollen med bankens finansielle aktiviteter for 2023</w:t>
      </w:r>
      <w:r>
        <w:rPr>
          <w:rStyle w:val="FootnoteReference"/>
        </w:rPr>
        <w:footnoteReference w:customMarkFollows="1" w:id="8"/>
        <w:t xml:space="preserve">7</w:t>
      </w:r>
      <w:r w:rsidRPr="00390BD8">
        <w:t xml:space="preserve">, som traditionelt fremsættes i overensstemmelse med en praksis, der er fastlagt gennem mange tidligere år; understreger, at et mere struktureret og forudsigeligt samarbejde ville være til gavn for begge parter; fastholder, at et aftalememorandum eller en interinstitutionel aftale er afgørende for at etablere et sådant samarbejde om udveksling af oplysninger, høringer og opfølgning, som formelt ville indføre de praksisser, der i vidt omfang allerede er etableret med EIB; glæder sig over EIB's erklærede villighed til at indgå i en dialog for at sikre, at samarbejdet er baseret på forudsigelige institutionelle forpligtelser frem for uformelle ordninger; gentager sin opfordring til, at denne ordning færdiggøres hurtigt; opfordrer til, at der undersøges yderligere måder, hvorpå koordineringen mellem Parlamentet, de nationale parlamenter og de overordnede revisionsorganer kan forbedres, og til en øget udveksling med civilsamfundet og den akademiske verden, hvilket vil fremme større gennemsigtighed; </w:t>
      </w:r>
    </w:p>
    <w:p w:rsidR="00C359C7" w:rsidRPr="00390BD8" w:rsidP="00C359C7" w14:paraId="3082CBC5" w14:textId="77777777">
      <w:pPr>
        <w:pStyle w:val="Normal12a"/>
      </w:pPr>
      <w:r w:rsidRPr="00390BD8">
        <w:rPr>
          <w:b/>
          <w:i/>
        </w:rPr>
        <w:t>Opfølgning på Parlamentets henstillinger</w:t>
      </w:r>
    </w:p>
    <w:p w:rsidR="00291B4D" w:rsidRPr="00390BD8" w:rsidP="00C359C7" w14:paraId="3521A98D" w14:textId="28E91FEF">
      <w:pPr>
        <w:pStyle w:val="NormalHanging12a"/>
      </w:pPr>
      <w:r w:rsidRPr="00390BD8">
        <w:t>60.</w:t>
      </w:r>
      <w:r w:rsidRPr="00390BD8">
        <w:tab/>
        <w:t>opfordrer indtrængende EIB til rettidigt at følge op på Parlamentets henstillinger og aflægge rapport om de opnåede resultater og om virkningen af de foranstaltninger, der er truffet for at gennemføre dets prioriteter og EU's politikker, navnlig med hensyn til:</w:t>
      </w:r>
    </w:p>
    <w:p w:rsidR="00291B4D" w:rsidRPr="00390BD8" w:rsidP="00291B4D" w14:paraId="0894629A" w14:textId="0EB7BE8F">
      <w:pPr>
        <w:pStyle w:val="NormalHanging12a"/>
        <w:ind w:left="1134"/>
      </w:pPr>
      <w:r w:rsidRPr="00390BD8">
        <w:t>a)</w:t>
      </w:r>
      <w:r w:rsidRPr="00390BD8">
        <w:tab/>
      </w:r>
      <w:r w:rsidRPr="00390BD8">
        <w:t>virkningerne (økonomiske, miljømæssige og sociale) af investeringsstrategien og de resultater, der er opnået med hensyn til at bidrage til en afbalanceret og stabil udvikling af det indre marked i EU's interesse</w:t>
      </w:r>
    </w:p>
    <w:p w:rsidR="00291B4D" w:rsidRPr="00390BD8" w:rsidP="00291B4D" w14:paraId="63C301B1" w14:textId="7D2766F5">
      <w:pPr>
        <w:pStyle w:val="NormalHanging12a"/>
        <w:ind w:left="1134"/>
      </w:pPr>
      <w:r w:rsidRPr="00390BD8">
        <w:t>b)</w:t>
      </w:r>
      <w:r w:rsidRPr="00390BD8">
        <w:tab/>
      </w:r>
      <w:r w:rsidRPr="00390BD8">
        <w:t>de foranstaltninger, der er vedtaget for at forbedre forebyggelsen og bekæmpelsen af interessekonflikter, svig, korruption og andre potentielle former for forseelser</w:t>
      </w:r>
    </w:p>
    <w:p w:rsidR="00291B4D" w:rsidRPr="00390BD8" w:rsidP="00291B4D" w14:paraId="15D96CFE" w14:textId="528E085C">
      <w:pPr>
        <w:pStyle w:val="NormalHanging12a"/>
        <w:ind w:left="1134"/>
      </w:pPr>
      <w:r w:rsidRPr="00390BD8">
        <w:t>c)</w:t>
      </w:r>
      <w:r w:rsidRPr="00390BD8">
        <w:tab/>
      </w:r>
      <w:r w:rsidRPr="00390BD8">
        <w:t>nye foranstaltninger til styrkelse af gennemsigtighed</w:t>
      </w:r>
    </w:p>
    <w:p w:rsidR="00C359C7" w:rsidRPr="00390BD8" w:rsidP="002558A7" w14:paraId="24D000F6" w14:textId="2DE39E98">
      <w:pPr>
        <w:pStyle w:val="NormalHanging12a"/>
        <w:ind w:left="1134"/>
      </w:pPr>
      <w:r w:rsidRPr="00390BD8">
        <w:t>d)</w:t>
      </w:r>
      <w:r w:rsidRPr="00390BD8" w:rsidR="00291B4D">
        <w:tab/>
      </w:r>
      <w:r w:rsidRPr="00390BD8">
        <w:t>foranstaltninger til styrkelse af støtten til SMV'er og støtteberettigede økonomiske aktører i forbindelse med gennemførelsen af EU's politikker;</w:t>
      </w:r>
    </w:p>
    <w:p w:rsidR="00C359C7" w:rsidRPr="00390BD8" w:rsidP="00C359C7" w14:paraId="5AC1A047" w14:textId="77777777">
      <w:pPr>
        <w:pStyle w:val="NormalCenter12a"/>
      </w:pPr>
      <w:r w:rsidRPr="00390BD8">
        <w:t>°</w:t>
      </w:r>
    </w:p>
    <w:p w:rsidR="00C359C7" w:rsidRPr="00390BD8" w:rsidP="00C359C7" w14:paraId="512EA580" w14:textId="77777777">
      <w:pPr>
        <w:pStyle w:val="NormalCenter12a"/>
      </w:pPr>
      <w:r w:rsidRPr="00390BD8">
        <w:t>°</w:t>
      </w:r>
      <w:r w:rsidRPr="00390BD8">
        <w:tab/>
        <w:t>°</w:t>
      </w:r>
    </w:p>
    <w:p w:rsidR="00FD2119" w:rsidRPr="00390BD8" w:rsidP="00FD2119" w14:paraId="058FF3F3" w14:textId="5EC4E731">
      <w:pPr>
        <w:pStyle w:val="NormalHanging12a"/>
      </w:pPr>
      <w:r w:rsidRPr="00390BD8">
        <w:t>61.</w:t>
      </w:r>
      <w:r w:rsidRPr="00390BD8">
        <w:tab/>
        <w:t>pålægger sin formand at sende denne beslutning til Rådet og Kommissionen og anmoder Rådet og EIB's bestyrelse om at drøfte Parlamentets holdninger som fremsat heri.</w:t>
      </w:r>
    </w:p>
    <w:p w:rsidR="00E365E1" w:rsidRPr="00390BD8" w:rsidP="00DA1DC3" w14:paraId="691F6540" w14:textId="2A162F2F"/>
    <w:sectPr w:rsidSect="00FD211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2119" w14:paraId="5BA7EDE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2119" w14:paraId="344138D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2119" w14:paraId="6BC38D3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A1DC3" w:rsidRPr="00FD2119" w14:paraId="5D1CA4DA" w14:textId="77777777">
      <w:r w:rsidRPr="00FD2119">
        <w:separator/>
      </w:r>
    </w:p>
  </w:footnote>
  <w:footnote w:type="continuationSeparator" w:id="1">
    <w:p w:rsidR="00DA1DC3" w:rsidRPr="00FD2119" w14:paraId="5D0DD017" w14:textId="77777777">
      <w:r w:rsidRPr="00FD2119">
        <w:continuationSeparator/>
      </w:r>
    </w:p>
  </w:footnote>
  <w:footnote w:id="2">
    <w:p w:rsidR="00C359C7" w:rsidRPr="00FD2119" w:rsidP="00FD2119" w14:paraId="360FC50E" w14:textId="7B5A23D0">
      <w:pPr>
        <w:pStyle w:val="FootnoteText"/>
        <w:ind w:left="567" w:hanging="567"/>
        <w:rPr>
          <w:sz w:val="24"/>
          <w:lang w:val="da-DK"/>
        </w:rPr>
      </w:pPr>
      <w:r w:rsidRPr="00FD2119">
        <w:rPr>
          <w:sz w:val="24"/>
          <w:vertAlign w:val="superscript"/>
          <w:lang w:val="da-DK"/>
        </w:rPr>
        <w:t>1</w:t>
      </w:r>
      <w:r w:rsidRPr="00FD2119" w:rsidR="00FD2119">
        <w:rPr>
          <w:sz w:val="24"/>
          <w:vertAlign w:val="superscript"/>
          <w:lang w:val="da-DK"/>
        </w:rPr>
        <w:t xml:space="preserve"> </w:t>
      </w:r>
      <w:r w:rsidRPr="00FD2119" w:rsidR="00FD2119">
        <w:rPr>
          <w:sz w:val="24"/>
          <w:vertAlign w:val="superscript"/>
          <w:lang w:val="da-DK"/>
        </w:rPr>
        <w:tab/>
      </w:r>
      <w:r w:rsidRPr="00FD2119">
        <w:rPr>
          <w:sz w:val="24"/>
          <w:lang w:val="da-DK"/>
        </w:rPr>
        <w:t xml:space="preserve">EUT L, 2025/504, 14.3.2025, ELI: </w:t>
      </w:r>
      <w:hyperlink r:id="rId1" w:tgtFrame="http://data.europa.eu/eli/dec/2025/504/oj" w:history="1">
        <w:r w:rsidRPr="00FD2119">
          <w:rPr>
            <w:rStyle w:val="Hyperlink"/>
            <w:sz w:val="24"/>
            <w:lang w:val="da-DK"/>
          </w:rPr>
          <w:t>http://data.europa.eu/eli/dec/2025/504/oj</w:t>
        </w:r>
      </w:hyperlink>
      <w:r w:rsidRPr="00FD2119">
        <w:rPr>
          <w:sz w:val="24"/>
          <w:lang w:val="da-DK"/>
        </w:rPr>
        <w:t>.</w:t>
      </w:r>
    </w:p>
  </w:footnote>
  <w:footnote w:id="3">
    <w:p w:rsidR="00C359C7" w:rsidRPr="00FD2119" w:rsidP="00FD2119" w14:paraId="160783C7" w14:textId="098ADE18">
      <w:pPr>
        <w:pStyle w:val="FootnoteText"/>
        <w:ind w:left="567" w:hanging="567"/>
        <w:rPr>
          <w:sz w:val="24"/>
          <w:lang w:val="da-DK"/>
        </w:rPr>
      </w:pPr>
      <w:r w:rsidRPr="00FD2119">
        <w:rPr>
          <w:sz w:val="24"/>
          <w:vertAlign w:val="superscript"/>
          <w:lang w:val="da-DK"/>
        </w:rPr>
        <w:t>2</w:t>
      </w:r>
      <w:r w:rsidRPr="00FD2119" w:rsidR="00FD2119">
        <w:rPr>
          <w:sz w:val="24"/>
          <w:vertAlign w:val="superscript"/>
          <w:lang w:val="da-DK"/>
        </w:rPr>
        <w:t xml:space="preserve"> </w:t>
      </w:r>
      <w:r w:rsidRPr="00FD2119" w:rsidR="00FD2119">
        <w:rPr>
          <w:sz w:val="24"/>
          <w:vertAlign w:val="superscript"/>
          <w:lang w:val="da-DK"/>
        </w:rPr>
        <w:tab/>
      </w:r>
      <w:r w:rsidRPr="00FD2119">
        <w:rPr>
          <w:sz w:val="24"/>
          <w:lang w:val="da-DK"/>
        </w:rPr>
        <w:t xml:space="preserve">Europa-Kommissionen: Generaldirektoratet for Forsvarsindustri og Rummet, </w:t>
      </w:r>
      <w:r w:rsidRPr="00FD2119">
        <w:rPr>
          <w:i/>
          <w:sz w:val="24"/>
          <w:lang w:val="da-DK"/>
        </w:rPr>
        <w:t>Access to equity funding for European defence SMEs</w:t>
      </w:r>
      <w:r w:rsidRPr="00FD2119">
        <w:rPr>
          <w:sz w:val="24"/>
          <w:lang w:val="da-DK"/>
        </w:rPr>
        <w:t xml:space="preserve">, Den Europæiske Unions Publikationskontor, 2024, </w:t>
      </w:r>
      <w:hyperlink r:id="rId2" w:tgtFrame="https://data.europa.eu/doi/10.2889/698738" w:history="1">
        <w:r w:rsidRPr="00FD2119">
          <w:rPr>
            <w:rStyle w:val="Hyperlink"/>
            <w:sz w:val="24"/>
            <w:lang w:val="da-DK"/>
          </w:rPr>
          <w:t>https://data.europa.eu/doi/10.2889/698738</w:t>
        </w:r>
      </w:hyperlink>
      <w:r w:rsidRPr="00FD2119">
        <w:rPr>
          <w:sz w:val="24"/>
          <w:lang w:val="da-DK"/>
        </w:rPr>
        <w:t>.</w:t>
      </w:r>
    </w:p>
  </w:footnote>
  <w:footnote w:id="4">
    <w:p w:rsidR="00C359C7" w:rsidRPr="00FD2119" w:rsidP="00FD2119" w14:paraId="39572D07" w14:textId="019AD550">
      <w:pPr>
        <w:pStyle w:val="FootnoteText"/>
        <w:ind w:left="567" w:hanging="567"/>
        <w:rPr>
          <w:sz w:val="24"/>
          <w:lang w:val="da-DK"/>
        </w:rPr>
      </w:pPr>
      <w:r w:rsidRPr="00FD2119">
        <w:rPr>
          <w:sz w:val="24"/>
          <w:vertAlign w:val="superscript"/>
          <w:lang w:val="da-DK"/>
        </w:rPr>
        <w:t>3</w:t>
      </w:r>
      <w:r w:rsidRPr="00FD2119" w:rsidR="00FD2119">
        <w:rPr>
          <w:sz w:val="24"/>
          <w:vertAlign w:val="superscript"/>
          <w:lang w:val="da-DK"/>
        </w:rPr>
        <w:t xml:space="preserve"> </w:t>
      </w:r>
      <w:r w:rsidRPr="00FD2119" w:rsidR="00FD2119">
        <w:rPr>
          <w:sz w:val="24"/>
          <w:vertAlign w:val="superscript"/>
          <w:lang w:val="da-DK"/>
        </w:rPr>
        <w:tab/>
      </w:r>
      <w:r w:rsidRPr="00FD2119">
        <w:rPr>
          <w:sz w:val="24"/>
          <w:lang w:val="da-DK"/>
        </w:rPr>
        <w:t xml:space="preserve">EUT C, C/2025/3151, 20.6.2025, ELI: </w:t>
      </w:r>
      <w:hyperlink r:id="rId3" w:tgtFrame="http://data.europa.eu/eli/C/2025/3151/oj" w:history="1">
        <w:r w:rsidRPr="00FD2119">
          <w:rPr>
            <w:rStyle w:val="Hyperlink"/>
            <w:sz w:val="24"/>
            <w:lang w:val="da-DK"/>
          </w:rPr>
          <w:t>http://data.europa.eu/eli/C/2025/3151/oj</w:t>
        </w:r>
      </w:hyperlink>
      <w:r w:rsidRPr="00FD2119">
        <w:rPr>
          <w:sz w:val="24"/>
          <w:lang w:val="da-DK"/>
        </w:rPr>
        <w:t>.</w:t>
      </w:r>
    </w:p>
  </w:footnote>
  <w:footnote w:id="5">
    <w:p w:rsidR="00C359C7" w:rsidRPr="00FD2119" w:rsidP="00FD2119" w14:paraId="6067472C" w14:textId="1B5BFDAD">
      <w:pPr>
        <w:pStyle w:val="FootnoteText"/>
        <w:ind w:left="567" w:hanging="567"/>
        <w:rPr>
          <w:sz w:val="24"/>
          <w:lang w:val="da-DK"/>
        </w:rPr>
      </w:pPr>
      <w:r w:rsidRPr="00FD2119">
        <w:rPr>
          <w:sz w:val="24"/>
          <w:vertAlign w:val="superscript"/>
          <w:lang w:val="da-DK"/>
        </w:rPr>
        <w:t>4</w:t>
      </w:r>
      <w:r w:rsidRPr="00FD2119" w:rsidR="00FD2119">
        <w:rPr>
          <w:sz w:val="24"/>
          <w:vertAlign w:val="superscript"/>
          <w:lang w:val="da-DK"/>
        </w:rPr>
        <w:t xml:space="preserve"> </w:t>
      </w:r>
      <w:r w:rsidRPr="00FD2119" w:rsidR="00FD2119">
        <w:rPr>
          <w:sz w:val="24"/>
          <w:vertAlign w:val="superscript"/>
          <w:lang w:val="da-DK"/>
        </w:rPr>
        <w:tab/>
      </w:r>
      <w:r w:rsidRPr="00FD2119">
        <w:rPr>
          <w:sz w:val="24"/>
          <w:lang w:val="da-DK"/>
        </w:rPr>
        <w:t>Ved udgangen af 2024 beløb den samlede udbetalte eksponering sig til 3 227,1 mio. EUR (sammenlignet med 3 144,3 mio. EUR ved udgangen af 2023), og af dette beløb er 3 068,1 mio. EUR (95 %) dækket af EU's omfattende garantier, 146,6 mio. EUR (5 %) er dækket af EU's politiske risikogarantier, og 12,4 mio. EUR er dækket af risikodelingsmandater (sammenlignet med henholdsvis 2 962,7 mio. EUR (94 %, 166,8 mio. EUR (5 %) og 14,8 mio. EUR (1 %) ved udgangen af 2023).</w:t>
      </w:r>
    </w:p>
  </w:footnote>
  <w:footnote w:id="6">
    <w:p w:rsidR="00C359C7" w:rsidRPr="00FD2119" w:rsidP="00FD2119" w14:paraId="752256D2" w14:textId="6007472A">
      <w:pPr>
        <w:pStyle w:val="FootnoteText"/>
        <w:ind w:left="567" w:hanging="567"/>
        <w:rPr>
          <w:sz w:val="24"/>
          <w:lang w:val="da-DK"/>
        </w:rPr>
      </w:pPr>
      <w:r w:rsidRPr="00FD2119">
        <w:rPr>
          <w:sz w:val="24"/>
          <w:vertAlign w:val="superscript"/>
          <w:lang w:val="da-DK"/>
        </w:rPr>
        <w:t>5</w:t>
      </w:r>
      <w:r w:rsidRPr="00FD2119" w:rsidR="00FD2119">
        <w:rPr>
          <w:sz w:val="24"/>
          <w:vertAlign w:val="superscript"/>
          <w:lang w:val="da-DK"/>
        </w:rPr>
        <w:t xml:space="preserve"> </w:t>
      </w:r>
      <w:r w:rsidRPr="00FD2119" w:rsidR="00FD2119">
        <w:rPr>
          <w:sz w:val="24"/>
          <w:vertAlign w:val="superscript"/>
          <w:lang w:val="da-DK"/>
        </w:rPr>
        <w:tab/>
      </w:r>
      <w:r w:rsidRPr="00FD2119">
        <w:rPr>
          <w:sz w:val="24"/>
          <w:lang w:val="da-DK"/>
        </w:rPr>
        <w:t xml:space="preserve">Europa-Parlamentets og Rådets forordning (EF) nr. 1049/2001 af 30. maj 2001 om aktindsigt i Europa-Parlamentets, Rådets og Kommissionens dokumenter (EFT L 145 af 31.5.2001, s. 43, ELI: </w:t>
      </w:r>
      <w:hyperlink r:id="rId4" w:tgtFrame="http://data.europa.eu/eli/reg/2001/1049/oj" w:history="1">
        <w:r w:rsidRPr="00FD2119">
          <w:rPr>
            <w:rStyle w:val="Hyperlink"/>
            <w:sz w:val="24"/>
            <w:lang w:val="da-DK"/>
          </w:rPr>
          <w:t>http://data.europa.eu/eli/reg/2001/1049/oj</w:t>
        </w:r>
      </w:hyperlink>
      <w:r w:rsidRPr="00FD2119">
        <w:rPr>
          <w:sz w:val="24"/>
          <w:lang w:val="da-DK"/>
        </w:rPr>
        <w:t>).</w:t>
      </w:r>
    </w:p>
  </w:footnote>
  <w:footnote w:id="7">
    <w:p w:rsidR="00C359C7" w:rsidRPr="00FD2119" w:rsidP="00FD2119" w14:paraId="4169AF73" w14:textId="0BD634E8">
      <w:pPr>
        <w:pStyle w:val="FootnoteText"/>
        <w:ind w:left="567" w:hanging="567"/>
        <w:rPr>
          <w:sz w:val="24"/>
          <w:lang w:val="da-DK"/>
        </w:rPr>
      </w:pPr>
      <w:r w:rsidRPr="00FD2119">
        <w:rPr>
          <w:sz w:val="24"/>
          <w:vertAlign w:val="superscript"/>
          <w:lang w:val="da-DK"/>
        </w:rPr>
        <w:t>6</w:t>
      </w:r>
      <w:r w:rsidRPr="00FD2119" w:rsidR="00FD2119">
        <w:rPr>
          <w:sz w:val="24"/>
          <w:vertAlign w:val="superscript"/>
          <w:lang w:val="da-DK"/>
        </w:rPr>
        <w:t xml:space="preserve"> </w:t>
      </w:r>
      <w:r w:rsidRPr="00FD2119" w:rsidR="00FD2119">
        <w:rPr>
          <w:sz w:val="24"/>
          <w:vertAlign w:val="superscript"/>
          <w:lang w:val="da-DK"/>
        </w:rPr>
        <w:tab/>
      </w:r>
      <w:r w:rsidRPr="00FD2119">
        <w:rPr>
          <w:sz w:val="24"/>
          <w:lang w:val="da-DK"/>
        </w:rPr>
        <w:t>Publish What You Fund, "Behind the Billions: Tracking the missing pieces of MDB climate finance data", november 2025.</w:t>
      </w:r>
    </w:p>
  </w:footnote>
  <w:footnote w:id="8">
    <w:p w:rsidR="00C359C7" w:rsidRPr="00FD2119" w:rsidP="00FD2119" w14:paraId="0E7C9DAE" w14:textId="43E124EC">
      <w:pPr>
        <w:pStyle w:val="FootnoteText"/>
        <w:ind w:left="567" w:hanging="567"/>
        <w:rPr>
          <w:sz w:val="24"/>
          <w:lang w:val="da-DK"/>
        </w:rPr>
      </w:pPr>
      <w:r w:rsidRPr="00FD2119">
        <w:rPr>
          <w:sz w:val="24"/>
          <w:vertAlign w:val="superscript"/>
          <w:lang w:val="da-DK"/>
        </w:rPr>
        <w:t>7</w:t>
      </w:r>
      <w:r w:rsidRPr="00FD2119" w:rsidR="00FD2119">
        <w:rPr>
          <w:sz w:val="24"/>
          <w:vertAlign w:val="superscript"/>
          <w:lang w:val="da-DK"/>
        </w:rPr>
        <w:t xml:space="preserve"> </w:t>
      </w:r>
      <w:r w:rsidRPr="00FD2119" w:rsidR="00FD2119">
        <w:rPr>
          <w:sz w:val="24"/>
          <w:vertAlign w:val="superscript"/>
          <w:lang w:val="da-DK"/>
        </w:rPr>
        <w:tab/>
      </w:r>
      <w:r w:rsidRPr="00FD2119">
        <w:rPr>
          <w:sz w:val="24"/>
          <w:lang w:val="da-DK"/>
        </w:rPr>
        <w:t xml:space="preserve">Europa-Parlamentets beslutning af 6. maj 2025 om kontrol med Den Europæiske Investeringsbanks finansielle aktiviteter – årsberetning 2023 (EUT C, C/2026/574, 24.2.2026, ELI: </w:t>
      </w:r>
      <w:hyperlink r:id="rId5" w:tgtFrame="http://data.europa.eu/eli/C/2026/574/oj" w:history="1">
        <w:r w:rsidRPr="00FD2119">
          <w:rPr>
            <w:rStyle w:val="Hyperlink"/>
            <w:sz w:val="24"/>
            <w:lang w:val="da-DK"/>
          </w:rPr>
          <w:t>http://data.europa.eu/eli/C/2026/574/oj</w:t>
        </w:r>
      </w:hyperlink>
      <w:r w:rsidRPr="00FD2119">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2119" w14:paraId="56DD901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2119" w14:paraId="1E5DF3C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2119" w14:paraId="4C0C069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0301947">
    <w:abstractNumId w:val="9"/>
  </w:num>
  <w:num w:numId="2" w16cid:durableId="1780486126">
    <w:abstractNumId w:val="9"/>
  </w:num>
  <w:num w:numId="3" w16cid:durableId="1260682010">
    <w:abstractNumId w:val="7"/>
  </w:num>
  <w:num w:numId="4" w16cid:durableId="669993003">
    <w:abstractNumId w:val="7"/>
  </w:num>
  <w:num w:numId="5" w16cid:durableId="12806028">
    <w:abstractNumId w:val="6"/>
  </w:num>
  <w:num w:numId="6" w16cid:durableId="179248203">
    <w:abstractNumId w:val="6"/>
  </w:num>
  <w:num w:numId="7" w16cid:durableId="793333693">
    <w:abstractNumId w:val="5"/>
  </w:num>
  <w:num w:numId="8" w16cid:durableId="654335075">
    <w:abstractNumId w:val="5"/>
  </w:num>
  <w:num w:numId="9" w16cid:durableId="1965771823">
    <w:abstractNumId w:val="4"/>
  </w:num>
  <w:num w:numId="10" w16cid:durableId="1735155520">
    <w:abstractNumId w:val="4"/>
  </w:num>
  <w:num w:numId="11" w16cid:durableId="1072897938">
    <w:abstractNumId w:val="8"/>
  </w:num>
  <w:num w:numId="12" w16cid:durableId="1880432106">
    <w:abstractNumId w:val="8"/>
  </w:num>
  <w:num w:numId="13" w16cid:durableId="1073939250">
    <w:abstractNumId w:val="3"/>
  </w:num>
  <w:num w:numId="14" w16cid:durableId="336075561">
    <w:abstractNumId w:val="3"/>
  </w:num>
  <w:num w:numId="15" w16cid:durableId="2043478897">
    <w:abstractNumId w:val="2"/>
  </w:num>
  <w:num w:numId="16" w16cid:durableId="1802192912">
    <w:abstractNumId w:val="2"/>
  </w:num>
  <w:num w:numId="17" w16cid:durableId="856234386">
    <w:abstractNumId w:val="1"/>
  </w:num>
  <w:num w:numId="18" w16cid:durableId="880824201">
    <w:abstractNumId w:val="1"/>
  </w:num>
  <w:num w:numId="19" w16cid:durableId="441264711">
    <w:abstractNumId w:val="0"/>
  </w:num>
  <w:num w:numId="20" w16cid:durableId="1706519675">
    <w:abstractNumId w:val="0"/>
  </w:num>
  <w:num w:numId="21" w16cid:durableId="1558079539">
    <w:abstractNumId w:val="9"/>
  </w:num>
  <w:num w:numId="22" w16cid:durableId="2009670075">
    <w:abstractNumId w:val="7"/>
  </w:num>
  <w:num w:numId="23" w16cid:durableId="1942836719">
    <w:abstractNumId w:val="6"/>
  </w:num>
  <w:num w:numId="24" w16cid:durableId="1498643398">
    <w:abstractNumId w:val="5"/>
  </w:num>
  <w:num w:numId="25" w16cid:durableId="2015768266">
    <w:abstractNumId w:val="4"/>
  </w:num>
  <w:num w:numId="26" w16cid:durableId="1195267202">
    <w:abstractNumId w:val="8"/>
  </w:num>
  <w:num w:numId="27" w16cid:durableId="691686839">
    <w:abstractNumId w:val="3"/>
  </w:num>
  <w:num w:numId="28" w16cid:durableId="527916258">
    <w:abstractNumId w:val="2"/>
  </w:num>
  <w:num w:numId="29" w16cid:durableId="1402289863">
    <w:abstractNumId w:val="1"/>
  </w:num>
  <w:num w:numId="30" w16cid:durableId="346293757">
    <w:abstractNumId w:val="0"/>
  </w:num>
  <w:num w:numId="31" w16cid:durableId="1794514773">
    <w:abstractNumId w:val="9"/>
  </w:num>
  <w:num w:numId="32" w16cid:durableId="420831350">
    <w:abstractNumId w:val="7"/>
  </w:num>
  <w:num w:numId="33" w16cid:durableId="877546038">
    <w:abstractNumId w:val="6"/>
  </w:num>
  <w:num w:numId="34" w16cid:durableId="1757744238">
    <w:abstractNumId w:val="5"/>
  </w:num>
  <w:num w:numId="35" w16cid:durableId="219176591">
    <w:abstractNumId w:val="4"/>
  </w:num>
  <w:num w:numId="36" w16cid:durableId="674379621">
    <w:abstractNumId w:val="8"/>
  </w:num>
  <w:num w:numId="37" w16cid:durableId="703598810">
    <w:abstractNumId w:val="3"/>
  </w:num>
  <w:num w:numId="38" w16cid:durableId="983698893">
    <w:abstractNumId w:val="2"/>
  </w:num>
  <w:num w:numId="39" w16cid:durableId="675691975">
    <w:abstractNumId w:val="1"/>
  </w:num>
  <w:num w:numId="40" w16cid:durableId="896547465">
    <w:abstractNumId w:val="0"/>
  </w:num>
  <w:num w:numId="41" w16cid:durableId="1514302855">
    <w:abstractNumId w:val="10"/>
  </w:num>
  <w:num w:numId="42" w16cid:durableId="1313869886">
    <w:abstractNumId w:val="10"/>
  </w:num>
  <w:num w:numId="43" w16cid:durableId="1376156495">
    <w:abstractNumId w:val="10"/>
  </w:num>
  <w:num w:numId="44" w16cid:durableId="10124135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DC3"/>
    <w:rsid w:val="00002272"/>
    <w:rsid w:val="00064002"/>
    <w:rsid w:val="000677B9"/>
    <w:rsid w:val="000831BA"/>
    <w:rsid w:val="000A42CC"/>
    <w:rsid w:val="000E7DD9"/>
    <w:rsid w:val="0010095E"/>
    <w:rsid w:val="00125B37"/>
    <w:rsid w:val="00187494"/>
    <w:rsid w:val="001911E1"/>
    <w:rsid w:val="001F32AE"/>
    <w:rsid w:val="002558A7"/>
    <w:rsid w:val="002767FF"/>
    <w:rsid w:val="00291B4D"/>
    <w:rsid w:val="002B18FE"/>
    <w:rsid w:val="002B5493"/>
    <w:rsid w:val="002D060D"/>
    <w:rsid w:val="00343214"/>
    <w:rsid w:val="00361C00"/>
    <w:rsid w:val="00390BD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7FC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7BB"/>
    <w:rsid w:val="00BD48FE"/>
    <w:rsid w:val="00BD7BD8"/>
    <w:rsid w:val="00BE6ADC"/>
    <w:rsid w:val="00C05BFE"/>
    <w:rsid w:val="00C23CD4"/>
    <w:rsid w:val="00C359C7"/>
    <w:rsid w:val="00C61C0C"/>
    <w:rsid w:val="00C941CB"/>
    <w:rsid w:val="00CC2357"/>
    <w:rsid w:val="00CF071A"/>
    <w:rsid w:val="00D058B8"/>
    <w:rsid w:val="00D56C11"/>
    <w:rsid w:val="00D834A0"/>
    <w:rsid w:val="00D872DF"/>
    <w:rsid w:val="00D91E21"/>
    <w:rsid w:val="00DA1DC3"/>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119"/>
  </w:rsids>
  <w:docVars>
    <w:docVar w:name="dvdocse" w:val="A10-0086/2026"/>
    <w:docVar w:name="dvlangue" w:val="DA"/>
    <w:docVar w:name="dvnumam" w:val="0"/>
    <w:docVar w:name="dvpe" w:val="784.237"/>
    <w:docVar w:name="dvrapporteur" w:val="Ordfører: "/>
    <w:docVar w:name="dvtitre" w:val="Europa-Parlamentets beslutning af xx. april 2026 om kontrol af Den Europæiske Investeringsbank-Gruppens finansielle aktiviteter – årlig betænkning 2024(2025/223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AF4343B"/>
  <w15:chartTrackingRefBased/>
  <w15:docId w15:val="{2D243377-57CA-491C-9495-3B5EE292B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359C7"/>
    <w:pPr>
      <w:widowControl/>
      <w:spacing w:after="240"/>
    </w:pPr>
    <w:rPr>
      <w:szCs w:val="24"/>
      <w:lang w:eastAsia="en-US"/>
    </w:rPr>
  </w:style>
  <w:style w:type="paragraph" w:customStyle="1" w:styleId="NormalHanging12a">
    <w:name w:val="NormalHanging12a"/>
    <w:basedOn w:val="Normal"/>
    <w:rsid w:val="00C359C7"/>
    <w:pPr>
      <w:widowControl/>
      <w:spacing w:after="240"/>
      <w:ind w:left="566" w:hanging="566"/>
    </w:pPr>
    <w:rPr>
      <w:szCs w:val="24"/>
      <w:lang w:eastAsia="en-US"/>
    </w:rPr>
  </w:style>
  <w:style w:type="paragraph" w:customStyle="1" w:styleId="Normal12">
    <w:name w:val="Normal12"/>
    <w:basedOn w:val="Normal"/>
    <w:rsid w:val="00C359C7"/>
    <w:pPr>
      <w:widowControl/>
      <w:spacing w:after="240"/>
    </w:pPr>
    <w:rPr>
      <w:szCs w:val="24"/>
      <w:lang w:eastAsia="en-US"/>
    </w:rPr>
  </w:style>
  <w:style w:type="paragraph" w:customStyle="1" w:styleId="NormalHanging">
    <w:name w:val="NormalHanging"/>
    <w:basedOn w:val="Normal"/>
    <w:rsid w:val="00C359C7"/>
    <w:pPr>
      <w:widowControl/>
      <w:spacing w:after="240"/>
      <w:ind w:left="566" w:hanging="566"/>
    </w:pPr>
    <w:rPr>
      <w:szCs w:val="24"/>
      <w:lang w:eastAsia="en-US"/>
    </w:rPr>
  </w:style>
  <w:style w:type="paragraph" w:customStyle="1" w:styleId="NormalCenter12a">
    <w:name w:val="NormalCenter12a"/>
    <w:basedOn w:val="Normal"/>
    <w:rsid w:val="00C359C7"/>
    <w:pPr>
      <w:widowControl/>
      <w:spacing w:after="240"/>
      <w:jc w:val="center"/>
    </w:pPr>
    <w:rPr>
      <w:szCs w:val="24"/>
      <w:lang w:eastAsia="en-US"/>
    </w:rPr>
  </w:style>
  <w:style w:type="character" w:styleId="Hyperlink">
    <w:name w:val="Hyperlink"/>
    <w:basedOn w:val="DefaultParagraphFont"/>
    <w:rsid w:val="00C359C7"/>
    <w:rPr>
      <w:color w:val="0000FF"/>
      <w:u w:val="single"/>
    </w:rPr>
  </w:style>
  <w:style w:type="paragraph" w:styleId="Revision">
    <w:name w:val="Revision"/>
    <w:hidden/>
    <w:uiPriority w:val="99"/>
    <w:semiHidden/>
    <w:rsid w:val="00291B4D"/>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5/504/oj" TargetMode="External" /><Relationship Id="rId2" Type="http://schemas.openxmlformats.org/officeDocument/2006/relationships/hyperlink" Target="https://data.europa.eu/doi/10.2889/698738" TargetMode="External" /><Relationship Id="rId3" Type="http://schemas.openxmlformats.org/officeDocument/2006/relationships/hyperlink" Target="http://data.europa.eu/eli/C/2025/3151/oj" TargetMode="External" /><Relationship Id="rId4" Type="http://schemas.openxmlformats.org/officeDocument/2006/relationships/hyperlink" Target="http://data.europa.eu/eli/reg/2001/1049/oj" TargetMode="External" /><Relationship Id="rId5" Type="http://schemas.openxmlformats.org/officeDocument/2006/relationships/hyperlink" Target="http://data.europa.eu/eli/C/2026/57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6688</Words>
  <Characters>43393</Characters>
  <Application>Microsoft Office Word</Application>
  <DocSecurity>0</DocSecurity>
  <Lines>361</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4</cp:revision>
  <cp:lastPrinted>2004-11-19T15:42:00Z</cp:lastPrinted>
  <dcterms:created xsi:type="dcterms:W3CDTF">2026-04-28T09:43:00Z</dcterms:created>
  <dcterms:modified xsi:type="dcterms:W3CDTF">2026-04-28T11:29:00Z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A10-0086/2026</vt:lpwstr>
  </property>
  <property fmtid="{D5CDD505-2E9C-101B-9397-08002B2CF9AE}" pid="4" name="&lt;Type&gt;">
    <vt:lpwstr>RR</vt:lpwstr>
  </property>
</Properties>
</file>