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E45B00" w14:textId="77777777" w:rsidTr="0010095E">
        <w:tblPrEx>
          <w:tblW w:w="9072" w:type="dxa"/>
          <w:tblLook w:val="01E0"/>
        </w:tblPrEx>
        <w:trPr>
          <w:trHeight w:hRule="exact" w:val="1418"/>
        </w:trPr>
        <w:tc>
          <w:tcPr>
            <w:tcW w:w="6804" w:type="dxa"/>
            <w:shd w:val="clear" w:color="auto" w:fill="auto"/>
            <w:vAlign w:val="center"/>
          </w:tcPr>
          <w:p w:rsidR="00751A4A" w:rsidRPr="00CB3B38" w:rsidP="0010095E" w14:paraId="4EBBDF67" w14:textId="77777777">
            <w:pPr>
              <w:pStyle w:val="EPName"/>
            </w:pPr>
            <w:r w:rsidRPr="00CB3B38">
              <w:t>Ευρωπαϊκό Κοινοβούλιο</w:t>
            </w:r>
          </w:p>
          <w:p w:rsidR="00751A4A" w:rsidRPr="00CB3B38" w:rsidP="005F1B17" w14:paraId="18765DDE" w14:textId="77777777">
            <w:pPr>
              <w:pStyle w:val="EPTerm"/>
              <w:rPr>
                <w:rStyle w:val="HideTWBExt"/>
                <w:noProof w:val="0"/>
                <w:vanish w:val="0"/>
                <w:color w:val="auto"/>
              </w:rPr>
            </w:pPr>
            <w:r w:rsidRPr="00CB3B38">
              <w:t>2024</w:t>
            </w:r>
            <w:r w:rsidRPr="00CB3B38" w:rsidR="00817416">
              <w:t>-202</w:t>
            </w:r>
            <w:r w:rsidRPr="00CB3B38">
              <w:t>9</w:t>
            </w:r>
          </w:p>
        </w:tc>
        <w:tc>
          <w:tcPr>
            <w:tcW w:w="2268" w:type="dxa"/>
            <w:shd w:val="clear" w:color="auto" w:fill="auto"/>
          </w:tcPr>
          <w:p w:rsidR="00751A4A" w:rsidRPr="00CB3B38" w:rsidP="0010095E" w14:paraId="0FFBD343" w14:textId="77777777">
            <w:pPr>
              <w:pStyle w:val="EPLogo"/>
            </w:pPr>
            <w:r w:rsidRPr="00CB3B3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B3B38" w:rsidP="004C5D52" w14:paraId="3583E88A" w14:textId="77777777">
      <w:pPr>
        <w:pStyle w:val="LineTop"/>
      </w:pPr>
    </w:p>
    <w:p w:rsidR="00680577" w:rsidRPr="00CB3B38" w:rsidP="00680577" w14:paraId="207CD24C" w14:textId="77777777">
      <w:pPr>
        <w:pStyle w:val="EPBodyTA1"/>
      </w:pPr>
      <w:r w:rsidRPr="00CB3B38">
        <w:t>ΚΕΙΜΕΝΑ ΠΟΥ ΕΓΚΡΙΘΗΚΑΝ</w:t>
      </w:r>
    </w:p>
    <w:p w:rsidR="00D058B8" w:rsidRPr="00CB3B38" w:rsidP="00D058B8" w14:paraId="6F9C711E" w14:textId="77777777">
      <w:pPr>
        <w:pStyle w:val="LineBottom"/>
      </w:pPr>
    </w:p>
    <w:p w:rsidR="006756DC" w:rsidRPr="00487673" w:rsidP="006756DC" w14:paraId="5FAC7EFD" w14:textId="4752391C">
      <w:pPr>
        <w:pStyle w:val="ATHeading1"/>
      </w:pPr>
      <w:bookmarkStart w:id="0" w:name="TANumber"/>
      <w:r w:rsidRPr="00CB3B38">
        <w:t>P10_TA(2026)0</w:t>
      </w:r>
      <w:r w:rsidRPr="00B43CA1" w:rsidR="00487673">
        <w:t>119</w:t>
      </w:r>
      <w:bookmarkEnd w:id="0"/>
    </w:p>
    <w:p w:rsidR="006756DC" w:rsidRPr="00CB3B38" w:rsidP="006756DC" w14:paraId="779089BF" w14:textId="77777777">
      <w:pPr>
        <w:pStyle w:val="ATHeading2"/>
      </w:pPr>
      <w:bookmarkStart w:id="1" w:name="title"/>
      <w:r w:rsidRPr="00CB3B38">
        <w:t>Έλεγχος των οικονομικών δραστηριοτήτων του Ομίλου της Ευρωπαϊκής Τράπεζας Επενδύσεων — ετήσια έκθεση 2024</w:t>
      </w:r>
      <w:bookmarkEnd w:id="1"/>
    </w:p>
    <w:p w:rsidR="006756DC" w:rsidRPr="00CB3B38" w:rsidP="006756DC" w14:paraId="7F015C6B" w14:textId="77777777">
      <w:pPr>
        <w:rPr>
          <w:i/>
          <w:vanish/>
        </w:rPr>
      </w:pPr>
      <w:r>
        <w:rPr>
          <w:i/>
        </w:rPr>
        <w:fldChar w:fldCharType="begin"/>
      </w:r>
      <w:r w:rsidRPr="00CB3B38">
        <w:rPr>
          <w:i/>
        </w:rPr>
        <w:instrText xml:space="preserve"> TC"(</w:instrText>
      </w:r>
      <w:bookmarkStart w:id="2" w:name="DocNumber"/>
      <w:r w:rsidRPr="00CB3B38">
        <w:rPr>
          <w:i/>
        </w:rPr>
        <w:instrText>A10-0086/2026</w:instrText>
      </w:r>
      <w:bookmarkEnd w:id="2"/>
      <w:r w:rsidRPr="00CB3B38">
        <w:rPr>
          <w:i/>
        </w:rPr>
        <w:instrText xml:space="preserve"> - Εισηγητής: Dick Erixon)"\l3 \n&gt; \* MERGEFORMAT </w:instrText>
      </w:r>
      <w:r>
        <w:rPr>
          <w:i/>
        </w:rPr>
        <w:fldChar w:fldCharType="end"/>
      </w:r>
    </w:p>
    <w:p w:rsidR="006756DC" w:rsidRPr="00CB3B38" w:rsidP="006756DC" w14:paraId="724374C5" w14:textId="77777777">
      <w:pPr>
        <w:rPr>
          <w:vanish/>
        </w:rPr>
      </w:pPr>
      <w:bookmarkStart w:id="3" w:name="Commission"/>
      <w:r w:rsidRPr="00CB3B38">
        <w:rPr>
          <w:vanish/>
        </w:rPr>
        <w:t>Επιτροπή Ελέγχου του Προϋπολογισμού</w:t>
      </w:r>
      <w:bookmarkEnd w:id="3"/>
    </w:p>
    <w:p w:rsidR="006756DC" w:rsidRPr="00CB3B38" w:rsidP="006756DC" w14:paraId="20E3AC2B" w14:textId="77777777">
      <w:pPr>
        <w:rPr>
          <w:vanish/>
        </w:rPr>
      </w:pPr>
      <w:bookmarkStart w:id="4" w:name="PE"/>
      <w:r w:rsidRPr="00CB3B38">
        <w:rPr>
          <w:vanish/>
        </w:rPr>
        <w:t>PE784.237</w:t>
      </w:r>
      <w:bookmarkEnd w:id="4"/>
    </w:p>
    <w:p w:rsidR="006756DC" w:rsidRPr="00CB3B38" w:rsidP="006756DC" w14:paraId="5950B82C" w14:textId="0477F04E">
      <w:pPr>
        <w:pStyle w:val="ATHeading3"/>
      </w:pPr>
      <w:bookmarkStart w:id="5" w:name="Sujet"/>
      <w:r w:rsidRPr="00CB3B38">
        <w:t xml:space="preserve">Ψήφισμα του Ευρωπαϊκού Κοινοβουλίου της </w:t>
      </w:r>
      <w:r w:rsidR="00193B2E">
        <w:t>28ης Απριλίου 2026</w:t>
      </w:r>
      <w:r w:rsidRPr="00CB3B38" w:rsidR="00193B2E">
        <w:t xml:space="preserve"> </w:t>
      </w:r>
      <w:r w:rsidRPr="00CB3B38">
        <w:t>2026 σχετικά με τον έλεγχο των οικονομικών δραστηριοτήτων του Ομίλου της Ευρωπαϊκής Τράπεζας Επενδύσεων — ετήσια έκθεση 2024</w:t>
      </w:r>
      <w:bookmarkEnd w:id="5"/>
      <w:r w:rsidRPr="00CB3B38">
        <w:t xml:space="preserve"> </w:t>
      </w:r>
      <w:bookmarkStart w:id="6" w:name="References"/>
      <w:r w:rsidRPr="00CB3B38">
        <w:t>(2025/2237(INI))</w:t>
      </w:r>
      <w:bookmarkEnd w:id="6"/>
    </w:p>
    <w:p w:rsidR="00B43CA1" w:rsidP="003A091C" w14:paraId="36DE900D" w14:textId="77777777">
      <w:pPr>
        <w:pStyle w:val="Normal12"/>
      </w:pPr>
    </w:p>
    <w:p w:rsidR="003A091C" w:rsidRPr="00B43CA1" w:rsidP="003A091C" w14:paraId="0EB2581C" w14:textId="2FED1F82">
      <w:pPr>
        <w:pStyle w:val="Normal12"/>
        <w:rPr>
          <w:i/>
          <w:iCs/>
        </w:rPr>
      </w:pPr>
      <w:r w:rsidRPr="00B43CA1">
        <w:rPr>
          <w:i/>
          <w:iCs/>
        </w:rPr>
        <w:t>Το Ευρωπαϊκό Κοινοβούλιο,</w:t>
      </w:r>
    </w:p>
    <w:p w:rsidR="003A091C" w:rsidRPr="00CB3B38" w:rsidP="003A091C" w14:paraId="6AEAE570" w14:textId="77777777">
      <w:pPr>
        <w:pStyle w:val="NormalHanging"/>
      </w:pPr>
      <w:r w:rsidRPr="00CB3B38">
        <w:t>–</w:t>
      </w:r>
      <w:r w:rsidRPr="00CB3B38">
        <w:tab/>
        <w:t>έχοντας υπόψη την έκθεση δραστηριοτήτων του Ομίλου της Ευρωπαϊκής Τράπεζας Επενδύσεων (ΕΤΕπ) για το 2024, της 30ής Ιανουαρίου 2025, με τίτλο «Προτεραιότητες για την ευημερία»,</w:t>
      </w:r>
    </w:p>
    <w:p w:rsidR="003A091C" w:rsidRPr="00CB3B38" w:rsidP="003A091C" w14:paraId="5070ED87" w14:textId="77777777">
      <w:pPr>
        <w:pStyle w:val="NormalHanging"/>
      </w:pPr>
      <w:r w:rsidRPr="00CB3B38">
        <w:t>–</w:t>
      </w:r>
      <w:r w:rsidRPr="00CB3B38">
        <w:tab/>
        <w:t>έχοντας υπόψη την έκθεση 2024/2025 της ΕΤΕπ για τις επενδύσεις, της 5ης Μαρτίου 2025, με τίτλο «</w:t>
      </w:r>
      <w:r w:rsidRPr="00CB3B38">
        <w:t>Innovation</w:t>
      </w:r>
      <w:r w:rsidRPr="00CB3B38">
        <w:t xml:space="preserve">, </w:t>
      </w:r>
      <w:r w:rsidRPr="00CB3B38">
        <w:t>integration</w:t>
      </w:r>
      <w:r w:rsidRPr="00CB3B38">
        <w:t xml:space="preserve"> and </w:t>
      </w:r>
      <w:r w:rsidRPr="00CB3B38">
        <w:t>simplification</w:t>
      </w:r>
      <w:r w:rsidRPr="00CB3B38">
        <w:t xml:space="preserve"> in Europe» (Καινοτομία, ολοκλήρωση και απλούστευση στην Ευρώπη), καθώς και την έκθεση 2023/2024 της ΕΤΕπ για τις επενδύσεις, της 7ης Φεβρουαρίου 2024, με τίτλο «</w:t>
      </w:r>
      <w:r w:rsidRPr="00CB3B38">
        <w:t>Transforming</w:t>
      </w:r>
      <w:r w:rsidRPr="00CB3B38">
        <w:t xml:space="preserve"> for </w:t>
      </w:r>
      <w:r w:rsidRPr="00CB3B38">
        <w:t>competitiveness</w:t>
      </w:r>
      <w:r w:rsidRPr="00CB3B38">
        <w:t>» (Μετασχηματισμός για την ανταγωνιστικότητα),</w:t>
      </w:r>
    </w:p>
    <w:p w:rsidR="003A091C" w:rsidRPr="00CB3B38" w:rsidP="003A091C" w14:paraId="175526FE" w14:textId="77777777">
      <w:pPr>
        <w:pStyle w:val="NormalHanging"/>
      </w:pPr>
      <w:r w:rsidRPr="00CB3B38">
        <w:t>–</w:t>
      </w:r>
      <w:r w:rsidRPr="00CB3B38">
        <w:tab/>
        <w:t>έχοντας υπόψη την έκθεση του Ομίλου ΕΤΕπ σχετικά με την εφαρμογή της πολιτικής διαφάνειας του Ομίλου ΕΤΕπ το 2023, η οποία δημοσιεύτηκε την 1η Ιουλίου 2024, καθώς και την πολιτική διαφάνειας της ΕΤΕπ, η οποία εγκρίθηκε στις 17 Νοεμβρίου 2021 και τροποποιήθηκε στις 16 Ιουλίου 2025,</w:t>
      </w:r>
    </w:p>
    <w:p w:rsidR="003A091C" w:rsidRPr="00CB3B38" w:rsidP="003A091C" w14:paraId="38C594AC" w14:textId="77777777">
      <w:pPr>
        <w:pStyle w:val="NormalHanging"/>
      </w:pPr>
      <w:r w:rsidRPr="00CB3B38">
        <w:t>–</w:t>
      </w:r>
      <w:r w:rsidRPr="00CB3B38">
        <w:tab/>
        <w:t>έχοντας υπόψη τον στρατηγικό χάρτη πορείας του Ομίλου ΕΤΕπ για την περίοδο 2024-2027, της 21ης Ιουνίου 2024,</w:t>
      </w:r>
    </w:p>
    <w:p w:rsidR="003A091C" w:rsidRPr="00CB3B38" w:rsidP="003A091C" w14:paraId="0EE55F62" w14:textId="77777777">
      <w:pPr>
        <w:pStyle w:val="NormalHanging"/>
      </w:pPr>
      <w:r w:rsidRPr="00CB3B38">
        <w:t>–</w:t>
      </w:r>
      <w:r w:rsidRPr="00CB3B38">
        <w:tab/>
        <w:t>έχοντας υπόψη την έκθεση 2023/2024 της ΕΤΕπ για τον παγκόσμιο αντίκτυπο, της 13ης Ιουνίου 2024,</w:t>
      </w:r>
    </w:p>
    <w:p w:rsidR="003A091C" w:rsidRPr="00CB3B38" w:rsidP="003A091C" w14:paraId="1088DE5D" w14:textId="52230153">
      <w:pPr>
        <w:pStyle w:val="NormalHanging"/>
      </w:pPr>
      <w:r w:rsidRPr="00CB3B38">
        <w:t>–</w:t>
      </w:r>
      <w:r w:rsidRPr="00CB3B38">
        <w:tab/>
        <w:t>έχοντας υπόψη την απόφαση (ΕΕ) 2025/504 του Συμβουλίου, της 11ης Μαρτίου 2025, για την τροποποίηση του πρωτοκόλλου αριθ. 5 περί του καταστατικού της Ευρωπαϊκής Τράπεζας Επενδύσεων</w:t>
      </w:r>
      <w:r>
        <w:rPr>
          <w:rStyle w:val="FootnoteReference"/>
        </w:rPr>
        <w:footnoteReference w:id="2"/>
      </w:r>
      <w:r w:rsidRPr="00CB3B38">
        <w:t>,</w:t>
      </w:r>
    </w:p>
    <w:p w:rsidR="003A091C" w:rsidRPr="00CB3B38" w:rsidP="003A091C" w14:paraId="6DC74C41" w14:textId="77777777">
      <w:pPr>
        <w:pStyle w:val="NormalHanging"/>
      </w:pPr>
      <w:r w:rsidRPr="00CB3B38">
        <w:t>–</w:t>
      </w:r>
      <w:r w:rsidRPr="00CB3B38">
        <w:tab/>
        <w:t>έχοντας υπόψη το σχέδιο δράσης του Ομίλου ΕΤΕπ για την ασφάλεια και την αμυντική βιομηχανία το οποίο παρουσιάστηκε κατά τη σύνοδο του Συμβουλίου Οικονομικών και Δημοσιονομικών Θεμάτων στο Λουξεμβούργο στις 12 Απριλίου 2024,</w:t>
      </w:r>
    </w:p>
    <w:p w:rsidR="003A091C" w:rsidRPr="00CB3B38" w:rsidP="003A091C" w14:paraId="11C55BD8" w14:textId="77777777">
      <w:pPr>
        <w:pStyle w:val="NormalHanging"/>
      </w:pPr>
      <w:r w:rsidRPr="00CB3B38">
        <w:t>–</w:t>
      </w:r>
      <w:r w:rsidRPr="00CB3B38">
        <w:tab/>
        <w:t>έχοντας υπόψη το επιχειρησιακό σχέδιο του Ομίλου ΕΤΕπ για την περίοδο 2024-2026, της 9ης Φεβρουαρίου 2024, και το επιχειρησιακό σχέδιο του Ομίλου ΕΤΕπ για την περίοδο 2025-2027, της 30ής Ιανουαρίου 2025,</w:t>
      </w:r>
    </w:p>
    <w:p w:rsidR="003A091C" w:rsidRPr="00CB3B38" w:rsidP="003A091C" w14:paraId="5B611541" w14:textId="77777777">
      <w:pPr>
        <w:pStyle w:val="NormalHanging"/>
      </w:pPr>
      <w:r w:rsidRPr="00CB3B38">
        <w:t>–</w:t>
      </w:r>
      <w:r w:rsidRPr="00CB3B38">
        <w:tab/>
        <w:t xml:space="preserve">έχοντας υπόψη την τρίτη ετήσια έκθεση του Ομίλου ΕΤΕπ, της 15ης Ιουλίου 2024, με τίτλο «EIB </w:t>
      </w:r>
      <w:r w:rsidRPr="00CB3B38">
        <w:t>Group</w:t>
      </w:r>
      <w:r w:rsidRPr="00CB3B38">
        <w:t xml:space="preserve"> </w:t>
      </w:r>
      <w:r w:rsidRPr="00CB3B38">
        <w:t>activities</w:t>
      </w:r>
      <w:r w:rsidRPr="00CB3B38">
        <w:t xml:space="preserve"> in EU </w:t>
      </w:r>
      <w:r w:rsidRPr="00CB3B38">
        <w:t>cohesion</w:t>
      </w:r>
      <w:r w:rsidRPr="00CB3B38">
        <w:t xml:space="preserve"> </w:t>
      </w:r>
      <w:r w:rsidRPr="00CB3B38">
        <w:t>regions</w:t>
      </w:r>
      <w:r w:rsidRPr="00CB3B38">
        <w:t>» (Δραστηριότητες του Ομίλου ΕΤΕπ στις περιφέρειες συνοχής της ΕΕ),</w:t>
      </w:r>
    </w:p>
    <w:p w:rsidR="003A091C" w:rsidRPr="00CB3B38" w:rsidP="003A091C" w14:paraId="367949C3" w14:textId="77777777">
      <w:pPr>
        <w:pStyle w:val="NormalHanging"/>
      </w:pPr>
      <w:r w:rsidRPr="00CB3B38">
        <w:t>–</w:t>
      </w:r>
      <w:r w:rsidRPr="00CB3B38">
        <w:tab/>
        <w:t>έχοντας υπόψη την απόφαση του διοικητικού συμβουλίου της ΕΤΕπ, της 21ης Μαρτίου 2025, για τον περιορισμό των εξαιρούμενων δραστηριοτήτων, η οποία ακολουθεί τη θέση του Ευρωπαϊκού Συμβουλίου, της 6ης Μαρτίου 2025,</w:t>
      </w:r>
    </w:p>
    <w:p w:rsidR="003A091C" w:rsidRPr="00CB3B38" w:rsidP="003A091C" w14:paraId="660F8DF0" w14:textId="77777777">
      <w:pPr>
        <w:pStyle w:val="NormalHanging"/>
      </w:pPr>
      <w:r w:rsidRPr="00CB3B38">
        <w:t>–</w:t>
      </w:r>
      <w:r w:rsidRPr="00CB3B38">
        <w:tab/>
        <w:t>έχοντας υπόψη την 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p>
    <w:p w:rsidR="003A091C" w:rsidRPr="00CB3B38" w:rsidP="003A091C" w14:paraId="7DC510B1" w14:textId="77777777">
      <w:pPr>
        <w:pStyle w:val="NormalHanging"/>
      </w:pPr>
      <w:r w:rsidRPr="00CB3B38">
        <w:t>–</w:t>
      </w:r>
      <w:r w:rsidRPr="00CB3B38">
        <w:tab/>
        <w:t>έχοντας υπόψη την έκθεση του Ομίλου ΕΤΕπ, της 10ης Ιουνίου 2025, με τίτλο «</w:t>
      </w:r>
      <w:r w:rsidRPr="00CB3B38">
        <w:t>Complaints</w:t>
      </w:r>
      <w:r w:rsidRPr="00CB3B38">
        <w:t xml:space="preserve"> </w:t>
      </w:r>
      <w:r w:rsidRPr="00CB3B38">
        <w:t>Mechanism</w:t>
      </w:r>
      <w:r w:rsidRPr="00CB3B38">
        <w:t xml:space="preserve"> – 2024 </w:t>
      </w:r>
      <w:r w:rsidRPr="00CB3B38">
        <w:t>annual</w:t>
      </w:r>
      <w:r w:rsidRPr="00CB3B38">
        <w:t xml:space="preserve"> </w:t>
      </w:r>
      <w:r w:rsidRPr="00CB3B38">
        <w:t>report</w:t>
      </w:r>
      <w:r w:rsidRPr="00CB3B38">
        <w:t>» (Μηχανισμός καταγγελιών – ετήσια έκθεση 2024),</w:t>
      </w:r>
    </w:p>
    <w:p w:rsidR="003A091C" w:rsidRPr="00CB3B38" w:rsidP="003A091C" w14:paraId="0C1E54B5" w14:textId="77777777">
      <w:pPr>
        <w:pStyle w:val="NormalHanging"/>
      </w:pPr>
      <w:r w:rsidRPr="00CB3B38">
        <w:t>–</w:t>
      </w:r>
      <w:r w:rsidRPr="00CB3B38">
        <w:tab/>
        <w:t>έχοντας υπόψη τις ετήσιες εκθέσεις της Ελεγκτικής Επιτροπής της ΕΤΕπ για το 2024, που δημοσιεύτηκαν στις 12 Σεπτεμβρίου 2025,</w:t>
      </w:r>
    </w:p>
    <w:p w:rsidR="003A091C" w:rsidRPr="00CB3B38" w:rsidP="003A091C" w14:paraId="02A467B8" w14:textId="77777777">
      <w:pPr>
        <w:pStyle w:val="NormalHanging"/>
      </w:pPr>
      <w:r w:rsidRPr="00CB3B38">
        <w:t>–</w:t>
      </w:r>
      <w:r w:rsidRPr="00CB3B38">
        <w:tab/>
        <w:t xml:space="preserve">έχοντας υπόψη την έκθεση του Ομίλου ΕΤΕπ, της 26ης Ιουνίου 2024, με τίτλο «EIB </w:t>
      </w:r>
      <w:r w:rsidRPr="00CB3B38">
        <w:t>Group</w:t>
      </w:r>
      <w:r w:rsidRPr="00CB3B38">
        <w:t xml:space="preserve"> </w:t>
      </w:r>
      <w:r w:rsidRPr="00CB3B38">
        <w:t>support</w:t>
      </w:r>
      <w:r w:rsidRPr="00CB3B38">
        <w:t xml:space="preserve"> for EU </w:t>
      </w:r>
      <w:r w:rsidRPr="00CB3B38">
        <w:t>businesses</w:t>
      </w:r>
      <w:r w:rsidRPr="00CB3B38">
        <w:t xml:space="preserve">:  </w:t>
      </w:r>
      <w:r w:rsidRPr="00CB3B38">
        <w:t>Evidence</w:t>
      </w:r>
      <w:r w:rsidRPr="00CB3B38">
        <w:t xml:space="preserve"> of </w:t>
      </w:r>
      <w:r w:rsidRPr="00CB3B38">
        <w:t>impact</w:t>
      </w:r>
      <w:r w:rsidRPr="00CB3B38">
        <w:t xml:space="preserve"> in </w:t>
      </w:r>
      <w:r w:rsidRPr="00CB3B38">
        <w:t>addressing</w:t>
      </w:r>
      <w:r w:rsidRPr="00CB3B38">
        <w:t xml:space="preserve"> </w:t>
      </w:r>
      <w:r w:rsidRPr="00CB3B38">
        <w:t>market</w:t>
      </w:r>
      <w:r w:rsidRPr="00CB3B38">
        <w:t xml:space="preserve"> </w:t>
      </w:r>
      <w:r w:rsidRPr="00CB3B38">
        <w:t>failures</w:t>
      </w:r>
      <w:r w:rsidRPr="00CB3B38">
        <w:t>» (Η στήριξη του Ομίλου ΕΤΕπ στις επιχειρήσεις της ΕΕ: στοιχεία που καταδεικνύουν τον αντίκτυπο στην αντιμετώπιση των αδυναμιών της αγοράς),</w:t>
      </w:r>
    </w:p>
    <w:p w:rsidR="003A091C" w:rsidRPr="00CB3B38" w:rsidP="003A091C" w14:paraId="782BA7A7" w14:textId="77777777">
      <w:pPr>
        <w:pStyle w:val="NormalHanging"/>
      </w:pPr>
      <w:r w:rsidRPr="00CB3B38">
        <w:t>–</w:t>
      </w:r>
      <w:r w:rsidRPr="00CB3B38">
        <w:tab/>
        <w:t>έχοντας υπόψη την κοινή ανακοίνωση της Επιτροπής και του Ύπατου Εκπροσώπου της Ένωσης για θέματα Εξωτερικής Πολιτικής και Πολιτικής Ασφαλείας, της 5ης Μαρτίου 2024, με τίτλο «Μια νέα στρατηγική για την ευρωπαϊκή αμυντική βιομηχανία: επίτευξη ετοιμότητας στην ΕΕ μέσω μιας ανθεκτικής αμυντικής βιομηχανίας με υψηλό βαθμό ανταπόκρισης» (JOIN(2024)0010),</w:t>
      </w:r>
    </w:p>
    <w:p w:rsidR="003A091C" w:rsidRPr="00CB3B38" w:rsidP="003A091C" w14:paraId="3DCB9926" w14:textId="04535FEC">
      <w:pPr>
        <w:pStyle w:val="NormalHanging"/>
      </w:pPr>
      <w:r w:rsidRPr="00CB3B38">
        <w:t>–</w:t>
      </w:r>
      <w:r w:rsidRPr="00CB3B38">
        <w:tab/>
        <w:t xml:space="preserve">έχοντας υπόψη την ειδική έκθεση 22/2024 του Ευρωπαϊκού Ελεγκτικού Συνεδρίου </w:t>
      </w:r>
      <w:r w:rsidR="00F56D37">
        <w:t xml:space="preserve">της 21ης Οκτωβρίου 2024 </w:t>
      </w:r>
      <w:r w:rsidRPr="00CB3B38">
        <w:t>με τίτλο «Διπλή χρηματοδότηση από τον προϋπολογισμό της ΕΕ»,</w:t>
      </w:r>
    </w:p>
    <w:p w:rsidR="003A091C" w:rsidRPr="00CB3B38" w:rsidP="003A091C" w14:paraId="46BF0B5D" w14:textId="77777777">
      <w:pPr>
        <w:pStyle w:val="NormalHanging"/>
      </w:pPr>
      <w:r w:rsidRPr="00CB3B38">
        <w:t>–</w:t>
      </w:r>
      <w:r w:rsidRPr="00CB3B38">
        <w:tab/>
        <w:t>έχοντας υπόψη την ειδική έκθεση 07/2025 του Ευρωπαϊκού Ελεγκτικού Συνεδρίου, της 19ης Μαρτίου 2025, με τίτλο «Ευρωπαϊκό Ταμείο Στρατηγικών Επενδύσεων»,</w:t>
      </w:r>
    </w:p>
    <w:p w:rsidR="003A091C" w:rsidRPr="00CB3B38" w:rsidP="003A091C" w14:paraId="2A23D058" w14:textId="77777777">
      <w:pPr>
        <w:pStyle w:val="NormalHanging"/>
      </w:pPr>
      <w:r w:rsidRPr="00CB3B38">
        <w:t>–</w:t>
      </w:r>
      <w:r w:rsidRPr="00CB3B38">
        <w:tab/>
        <w:t>έχοντας υπόψη την έκθεση του Ομίλου ΕΤΕπ, της 8ης Αυγούστου 2025, με τίτλο «</w:t>
      </w:r>
      <w:r w:rsidRPr="00CB3B38">
        <w:t>December</w:t>
      </w:r>
      <w:r w:rsidRPr="00CB3B38">
        <w:t xml:space="preserve"> 2024 European Investment Bank </w:t>
      </w:r>
      <w:r w:rsidRPr="00CB3B38">
        <w:t>Group</w:t>
      </w:r>
      <w:r w:rsidRPr="00CB3B38">
        <w:t xml:space="preserve"> </w:t>
      </w:r>
      <w:r w:rsidRPr="00CB3B38">
        <w:t>Risk</w:t>
      </w:r>
      <w:r w:rsidRPr="00CB3B38">
        <w:t xml:space="preserve"> </w:t>
      </w:r>
      <w:r w:rsidRPr="00CB3B38">
        <w:t>Management</w:t>
      </w:r>
      <w:r w:rsidRPr="00CB3B38">
        <w:t xml:space="preserve"> </w:t>
      </w:r>
      <w:r w:rsidRPr="00CB3B38">
        <w:t>Disclosure</w:t>
      </w:r>
      <w:r w:rsidRPr="00CB3B38">
        <w:t xml:space="preserve"> </w:t>
      </w:r>
      <w:r w:rsidRPr="00CB3B38">
        <w:t>Report</w:t>
      </w:r>
      <w:r w:rsidRPr="00CB3B38">
        <w:t>» (Έκθεση γνωστοποίησης πληροφοριών σχετικά με τη διαχείριση κινδύνων του Ομίλου ΕΤΕπ – Δεκέμβριος 2024),</w:t>
      </w:r>
    </w:p>
    <w:p w:rsidR="003A091C" w:rsidRPr="00CB3B38" w:rsidP="003A091C" w14:paraId="3AFC867A" w14:textId="77777777">
      <w:pPr>
        <w:pStyle w:val="NormalHanging"/>
      </w:pPr>
      <w:r w:rsidRPr="00CB3B38">
        <w:t>–</w:t>
      </w:r>
      <w:r w:rsidRPr="00CB3B38">
        <w:tab/>
        <w:t>έχοντας υπόψη την έκθεση δραστηριοτήτων της ΕΤΕπ σχετικά με τις έρευνες απάτης για το 2024, που δημοσιεύτηκε στις 4 Αυγούστου 2025,</w:t>
      </w:r>
    </w:p>
    <w:p w:rsidR="003A091C" w:rsidRPr="00CB3B38" w:rsidP="003A091C" w14:paraId="04BFCD3E" w14:textId="77777777">
      <w:pPr>
        <w:pStyle w:val="NormalHanging"/>
      </w:pPr>
      <w:r w:rsidRPr="00CB3B38">
        <w:t>–</w:t>
      </w:r>
      <w:r w:rsidRPr="00CB3B38">
        <w:tab/>
        <w:t>έχοντας υπόψη την κοινή ανακοίνωση της Επιτροπής και της Ύπατης Εκπροσώπου της Ένωσης για θέματα Κοινής Εξωτερικής Πολιτικής και Πολιτικής Ασφαλείας, της 19ης Μαρτίου 2025, με τίτλο «Κοινή Λευκή Βίβλος για την ευρωπαϊκή αμυντική ετοιμότητα έως το 2030» (JOIN(2025)0120),</w:t>
      </w:r>
    </w:p>
    <w:p w:rsidR="003A091C" w:rsidRPr="00CB3B38" w:rsidP="003A091C" w14:paraId="4D316B9C" w14:textId="77777777">
      <w:pPr>
        <w:pStyle w:val="NormalHanging"/>
      </w:pPr>
      <w:r w:rsidRPr="00CB3B38">
        <w:t>–</w:t>
      </w:r>
      <w:r w:rsidRPr="00CB3B38">
        <w:tab/>
        <w:t xml:space="preserve">έχοντας υπόψη την έκθεση του Ομίλου ΕΤΕπ, του Ιουλίου 2025, με τίτλο «EIB </w:t>
      </w:r>
      <w:r w:rsidRPr="00CB3B38">
        <w:t>Group’s</w:t>
      </w:r>
      <w:r w:rsidRPr="00CB3B38">
        <w:t xml:space="preserve"> </w:t>
      </w:r>
      <w:r w:rsidRPr="00CB3B38">
        <w:t>contribution</w:t>
      </w:r>
      <w:r w:rsidRPr="00CB3B38">
        <w:t xml:space="preserve"> </w:t>
      </w:r>
      <w:r w:rsidRPr="00CB3B38">
        <w:t>to</w:t>
      </w:r>
      <w:r w:rsidRPr="00CB3B38">
        <w:t xml:space="preserve"> the European </w:t>
      </w:r>
      <w:r w:rsidRPr="00CB3B38">
        <w:t>Union’s</w:t>
      </w:r>
      <w:r w:rsidRPr="00CB3B38">
        <w:t xml:space="preserve"> 2021 – 2027 </w:t>
      </w:r>
      <w:r w:rsidRPr="00CB3B38">
        <w:t>Multiannual</w:t>
      </w:r>
      <w:r w:rsidRPr="00CB3B38">
        <w:t xml:space="preserve"> </w:t>
      </w:r>
      <w:r w:rsidRPr="00CB3B38">
        <w:t>Financial</w:t>
      </w:r>
      <w:r w:rsidRPr="00CB3B38">
        <w:t xml:space="preserve"> </w:t>
      </w:r>
      <w:r w:rsidRPr="00CB3B38">
        <w:t>Framework</w:t>
      </w:r>
      <w:r w:rsidRPr="00CB3B38">
        <w:t xml:space="preserve"> (MFF): A </w:t>
      </w:r>
      <w:r w:rsidRPr="00CB3B38">
        <w:t>synthesis</w:t>
      </w:r>
      <w:r w:rsidRPr="00CB3B38">
        <w:t xml:space="preserve"> of </w:t>
      </w:r>
      <w:r w:rsidRPr="00CB3B38">
        <w:t>evaluative</w:t>
      </w:r>
      <w:r w:rsidRPr="00CB3B38">
        <w:t xml:space="preserve"> </w:t>
      </w:r>
      <w:r w:rsidRPr="00CB3B38">
        <w:t>evidence</w:t>
      </w:r>
      <w:r w:rsidRPr="00CB3B38">
        <w:t>» (Η συνεισφορά του Ομίλου ΕΤΕπ στο πολυετές δημοσιονομικό πλαίσιο (ΠΔΠ) της Ευρωπαϊκής Ένωσης για την περίοδο 2021-2027: Σύνθεση αξιολογικών στοιχείων)</w:t>
      </w:r>
    </w:p>
    <w:p w:rsidR="003A091C" w:rsidRPr="00CB3B38" w:rsidP="003A091C" w14:paraId="7BFA2053" w14:textId="4056AF05">
      <w:pPr>
        <w:pStyle w:val="NormalHanging"/>
      </w:pPr>
      <w:r w:rsidRPr="00CB3B38">
        <w:t>–</w:t>
      </w:r>
      <w:r w:rsidRPr="00CB3B38">
        <w:tab/>
        <w:t xml:space="preserve">έχοντας υπόψη τη μελέτη της Επιτροπής, του 2024, με τίτλο «Access </w:t>
      </w:r>
      <w:r w:rsidRPr="00CB3B38">
        <w:t>to</w:t>
      </w:r>
      <w:r w:rsidRPr="00CB3B38">
        <w:t xml:space="preserve"> </w:t>
      </w:r>
      <w:r w:rsidRPr="00CB3B38">
        <w:t>equity</w:t>
      </w:r>
      <w:r w:rsidRPr="00CB3B38">
        <w:t xml:space="preserve"> </w:t>
      </w:r>
      <w:r w:rsidRPr="00CB3B38">
        <w:t>financing</w:t>
      </w:r>
      <w:r w:rsidRPr="00CB3B38">
        <w:t xml:space="preserve"> for European </w:t>
      </w:r>
      <w:r w:rsidRPr="00CB3B38">
        <w:t>defence</w:t>
      </w:r>
      <w:r w:rsidRPr="00CB3B38">
        <w:t xml:space="preserve"> </w:t>
      </w:r>
      <w:r w:rsidRPr="00CB3B38">
        <w:t>SMEs</w:t>
      </w:r>
      <w:r w:rsidRPr="00CB3B38">
        <w:t>» (Πρόσβαση των ευρωπαϊκών ΜΜΕ στον τομέα της άμυνας σε χρηματοδότηση με ίδια κεφάλαια)</w:t>
      </w:r>
      <w:r>
        <w:rPr>
          <w:rStyle w:val="FootnoteReference"/>
        </w:rPr>
        <w:footnoteReference w:id="3"/>
      </w:r>
      <w:r w:rsidRPr="00CB3B38">
        <w:t>,</w:t>
      </w:r>
    </w:p>
    <w:p w:rsidR="003A091C" w:rsidRPr="00CB3B38" w:rsidP="003A091C" w14:paraId="45B71C7E" w14:textId="77777777">
      <w:pPr>
        <w:pStyle w:val="NormalHanging"/>
      </w:pPr>
      <w:r w:rsidRPr="00CB3B38">
        <w:t>–</w:t>
      </w:r>
      <w:r w:rsidRPr="00CB3B38">
        <w:tab/>
        <w:t>έχοντας υπόψη τη γνώμη 01/2026 του Ελεγκτικού Συνεδρίου, της 12ης Ιανουαρίου 2026,</w:t>
      </w:r>
    </w:p>
    <w:p w:rsidR="003A091C" w:rsidRPr="00CB3B38" w:rsidP="003A091C" w14:paraId="1CCCEFDB" w14:textId="77777777">
      <w:pPr>
        <w:pStyle w:val="NormalHanging"/>
      </w:pPr>
      <w:r w:rsidRPr="00CB3B38">
        <w:t>–</w:t>
      </w:r>
      <w:r w:rsidRPr="00CB3B38">
        <w:tab/>
        <w:t>έχοντας υπόψη τη δήλωση CC 1/2025 της Επιτροπής Επαφών των ανώτατων οργάνων ελέγχου της Ευρωπαϊκής Ένωσης, της 30ής Σεπτεμβρίου 2025, σχετικά με τον εξωτερικό δημόσιο έλεγχο της Ευρωπαϊκής Τράπεζας Επενδύσεων,</w:t>
      </w:r>
    </w:p>
    <w:p w:rsidR="003A091C" w:rsidRPr="00CB3B38" w:rsidP="003A091C" w14:paraId="7D1A757A" w14:textId="77777777">
      <w:pPr>
        <w:pStyle w:val="NormalHanging"/>
      </w:pPr>
      <w:r w:rsidRPr="00CB3B38">
        <w:t>–</w:t>
      </w:r>
      <w:r w:rsidRPr="00CB3B38">
        <w:tab/>
        <w:t xml:space="preserve">έχοντας υπόψη την έκθεση του </w:t>
      </w:r>
      <w:r w:rsidRPr="00CB3B38">
        <w:t>Enrico</w:t>
      </w:r>
      <w:r w:rsidRPr="00CB3B38">
        <w:t xml:space="preserve"> </w:t>
      </w:r>
      <w:r w:rsidRPr="00CB3B38">
        <w:t>Letta</w:t>
      </w:r>
      <w:r w:rsidRPr="00CB3B38">
        <w:t>, της 17ης Απριλίου 2024, με τίτλο «</w:t>
      </w:r>
      <w:r w:rsidRPr="00CB3B38">
        <w:t>Much</w:t>
      </w:r>
      <w:r w:rsidRPr="00CB3B38">
        <w:t xml:space="preserve"> </w:t>
      </w:r>
      <w:r w:rsidRPr="00CB3B38">
        <w:t>more</w:t>
      </w:r>
      <w:r w:rsidRPr="00CB3B38">
        <w:t xml:space="preserve"> </w:t>
      </w:r>
      <w:r w:rsidRPr="00CB3B38">
        <w:t>than</w:t>
      </w:r>
      <w:r w:rsidRPr="00CB3B38">
        <w:t xml:space="preserve"> a </w:t>
      </w:r>
      <w:r w:rsidRPr="00CB3B38">
        <w:t>market</w:t>
      </w:r>
      <w:r w:rsidRPr="00CB3B38">
        <w:t xml:space="preserve"> – </w:t>
      </w:r>
      <w:r w:rsidRPr="00CB3B38">
        <w:t>Speed</w:t>
      </w:r>
      <w:r w:rsidRPr="00CB3B38">
        <w:t xml:space="preserve">, </w:t>
      </w:r>
      <w:r w:rsidRPr="00CB3B38">
        <w:t>Security</w:t>
      </w:r>
      <w:r w:rsidRPr="00CB3B38">
        <w:t xml:space="preserve">, </w:t>
      </w:r>
      <w:r w:rsidRPr="00CB3B38">
        <w:t>Solidarity</w:t>
      </w:r>
      <w:r w:rsidRPr="00CB3B38">
        <w:t xml:space="preserve">: </w:t>
      </w:r>
      <w:r w:rsidRPr="00CB3B38">
        <w:t>Empowering</w:t>
      </w:r>
      <w:r w:rsidRPr="00CB3B38">
        <w:t xml:space="preserve"> the </w:t>
      </w:r>
      <w:r w:rsidRPr="00CB3B38">
        <w:t>Single</w:t>
      </w:r>
      <w:r w:rsidRPr="00CB3B38">
        <w:t xml:space="preserve"> Market </w:t>
      </w:r>
      <w:r w:rsidRPr="00CB3B38">
        <w:t>to</w:t>
      </w:r>
      <w:r w:rsidRPr="00CB3B38">
        <w:t xml:space="preserve"> </w:t>
      </w:r>
      <w:r w:rsidRPr="00CB3B38">
        <w:t>deliver</w:t>
      </w:r>
      <w:r w:rsidRPr="00CB3B38">
        <w:t xml:space="preserve"> a </w:t>
      </w:r>
      <w:r w:rsidRPr="00CB3B38">
        <w:t>sustainable</w:t>
      </w:r>
      <w:r w:rsidRPr="00CB3B38">
        <w:t xml:space="preserve"> </w:t>
      </w:r>
      <w:r w:rsidRPr="00CB3B38">
        <w:t>future</w:t>
      </w:r>
      <w:r w:rsidRPr="00CB3B38">
        <w:t xml:space="preserve"> and </w:t>
      </w:r>
      <w:r w:rsidRPr="00CB3B38">
        <w:t>prosperity</w:t>
      </w:r>
      <w:r w:rsidRPr="00CB3B38">
        <w:t xml:space="preserve"> for </w:t>
      </w:r>
      <w:r w:rsidRPr="00CB3B38">
        <w:t>all</w:t>
      </w:r>
      <w:r w:rsidRPr="00CB3B38">
        <w:t xml:space="preserve"> EU </w:t>
      </w:r>
      <w:r w:rsidRPr="00CB3B38">
        <w:t>Citizens</w:t>
      </w:r>
      <w:r w:rsidRPr="00CB3B38">
        <w:t>» (Πολύ περισσότερο από μια απλή αγορά – Ταχύτητα, ασφάλεια, αλληλεγγύη: ενδυνάμωση της ενιαίας αγοράς για την επίτευξη βιώσιμου μέλλοντος και ευημερίας για όλους τους πολίτες της ΕΕ) (έκθεση Letta),</w:t>
      </w:r>
    </w:p>
    <w:p w:rsidR="003A091C" w:rsidRPr="00CB3B38" w:rsidP="003A091C" w14:paraId="7B19D01D" w14:textId="77777777">
      <w:pPr>
        <w:pStyle w:val="NormalHanging"/>
      </w:pPr>
      <w:r w:rsidRPr="00CB3B38">
        <w:t>–</w:t>
      </w:r>
      <w:r w:rsidRPr="00CB3B38">
        <w:tab/>
        <w:t xml:space="preserve">έχοντας υπόψη την έκθεση της επιτροπής εμπειρογνωμόνων υπό την προεδρία του </w:t>
      </w:r>
      <w:r w:rsidRPr="00CB3B38">
        <w:t>Christian</w:t>
      </w:r>
      <w:r w:rsidRPr="00CB3B38">
        <w:t xml:space="preserve"> </w:t>
      </w:r>
      <w:r w:rsidRPr="00CB3B38">
        <w:t>Noyer</w:t>
      </w:r>
      <w:r w:rsidRPr="00CB3B38">
        <w:t>, της 25ης Απριλίου 2024, με τίτλο «</w:t>
      </w:r>
      <w:r w:rsidRPr="00CB3B38">
        <w:t>Developing</w:t>
      </w:r>
      <w:r w:rsidRPr="00CB3B38">
        <w:t xml:space="preserve"> European </w:t>
      </w:r>
      <w:r w:rsidRPr="00CB3B38">
        <w:t>capital</w:t>
      </w:r>
      <w:r w:rsidRPr="00CB3B38">
        <w:t xml:space="preserve"> </w:t>
      </w:r>
      <w:r w:rsidRPr="00CB3B38">
        <w:t>markets</w:t>
      </w:r>
      <w:r w:rsidRPr="00CB3B38">
        <w:t xml:space="preserve"> </w:t>
      </w:r>
      <w:r w:rsidRPr="00CB3B38">
        <w:t>to</w:t>
      </w:r>
      <w:r w:rsidRPr="00CB3B38">
        <w:t xml:space="preserve"> </w:t>
      </w:r>
      <w:r w:rsidRPr="00CB3B38">
        <w:t>finance</w:t>
      </w:r>
      <w:r w:rsidRPr="00CB3B38">
        <w:t xml:space="preserve"> the </w:t>
      </w:r>
      <w:r w:rsidRPr="00CB3B38">
        <w:t>future</w:t>
      </w:r>
      <w:r w:rsidRPr="00CB3B38">
        <w:t>» (Ανάπτυξη των ευρωπαϊκών κεφαλαιαγορών για τη χρηματοδότηση του μέλλοντος),</w:t>
      </w:r>
    </w:p>
    <w:p w:rsidR="003A091C" w:rsidRPr="00CB3B38" w:rsidP="003A091C" w14:paraId="2851E00C" w14:textId="77777777">
      <w:pPr>
        <w:pStyle w:val="NormalHanging"/>
      </w:pPr>
      <w:r w:rsidRPr="00CB3B38">
        <w:t>–</w:t>
      </w:r>
      <w:r w:rsidRPr="00CB3B38">
        <w:tab/>
        <w:t xml:space="preserve">έχοντας υπόψη την έκθεση του </w:t>
      </w:r>
      <w:r w:rsidRPr="00CB3B38">
        <w:t>Mario</w:t>
      </w:r>
      <w:r w:rsidRPr="00CB3B38">
        <w:t xml:space="preserve"> </w:t>
      </w:r>
      <w:r w:rsidRPr="00CB3B38">
        <w:t>Draghi</w:t>
      </w:r>
      <w:r w:rsidRPr="00CB3B38">
        <w:t xml:space="preserve">, της 9ης Σεπτεμβρίου 2024, με τίτλο «The </w:t>
      </w:r>
      <w:r w:rsidRPr="00CB3B38">
        <w:t>future</w:t>
      </w:r>
      <w:r w:rsidRPr="00CB3B38">
        <w:t xml:space="preserve"> of European </w:t>
      </w:r>
      <w:r w:rsidRPr="00CB3B38">
        <w:t>competitiveness</w:t>
      </w:r>
      <w:r w:rsidRPr="00CB3B38">
        <w:t xml:space="preserve">» (Το μέλλον της ευρωπαϊκής ανταγωνιστικότητας) (έκθεση </w:t>
      </w:r>
      <w:r w:rsidRPr="00CB3B38">
        <w:t>Draghi</w:t>
      </w:r>
      <w:r w:rsidRPr="00CB3B38">
        <w:t>),</w:t>
      </w:r>
    </w:p>
    <w:p w:rsidR="003A091C" w:rsidRPr="00CB3B38" w:rsidP="003A091C" w14:paraId="680CFB68" w14:textId="77777777">
      <w:pPr>
        <w:pStyle w:val="NormalHanging"/>
      </w:pPr>
      <w:r w:rsidRPr="00CB3B38">
        <w:t>–</w:t>
      </w:r>
      <w:r w:rsidRPr="00CB3B38">
        <w:tab/>
        <w:t xml:space="preserve">έχοντας υπόψη τη δήλωση προς τον Τύπο της Προέδρου της Επιτροπής, </w:t>
      </w:r>
      <w:r w:rsidRPr="00CB3B38">
        <w:t>Ursula</w:t>
      </w:r>
      <w:r w:rsidRPr="00CB3B38">
        <w:t xml:space="preserve"> </w:t>
      </w:r>
      <w:r w:rsidRPr="00CB3B38">
        <w:t>von</w:t>
      </w:r>
      <w:r w:rsidRPr="00CB3B38">
        <w:t xml:space="preserve"> </w:t>
      </w:r>
      <w:r w:rsidRPr="00CB3B38">
        <w:t>der</w:t>
      </w:r>
      <w:r w:rsidRPr="00CB3B38">
        <w:t xml:space="preserve"> </w:t>
      </w:r>
      <w:r w:rsidRPr="00CB3B38">
        <w:t>Leyen</w:t>
      </w:r>
      <w:r w:rsidRPr="00CB3B38">
        <w:t>, της 4ης Μαρτίου 2025, σχετικά με τη δέσμη μέτρων για την άμυνα,</w:t>
      </w:r>
    </w:p>
    <w:p w:rsidR="003A091C" w:rsidRPr="00CB3B38" w:rsidP="003A091C" w14:paraId="5515B6D2" w14:textId="44208F2F">
      <w:pPr>
        <w:pStyle w:val="NormalHanging"/>
      </w:pPr>
      <w:r w:rsidRPr="00CB3B38">
        <w:t>–</w:t>
      </w:r>
      <w:r w:rsidRPr="00CB3B38">
        <w:tab/>
        <w:t>έχοντας υπόψη το ψήφισμά του της 12ης Μαρτίου 2025 σχετικά με τη λευκή βίβλο για το μέλλον της ευρωπαϊκής άμυνας</w:t>
      </w:r>
      <w:r>
        <w:rPr>
          <w:rStyle w:val="FootnoteReference"/>
        </w:rPr>
        <w:footnoteReference w:id="4"/>
      </w:r>
      <w:r w:rsidRPr="00CB3B38">
        <w:t>,</w:t>
      </w:r>
    </w:p>
    <w:p w:rsidR="003A091C" w:rsidRPr="00CB3B38" w:rsidP="003A091C" w14:paraId="3D1381A9" w14:textId="77777777">
      <w:pPr>
        <w:pStyle w:val="NormalHanging"/>
      </w:pPr>
      <w:r w:rsidRPr="00CB3B38">
        <w:t>–</w:t>
      </w:r>
      <w:r w:rsidRPr="00CB3B38">
        <w:tab/>
        <w:t>έχοντας υπόψη τον κατάλογο εξαιρούμενων δραστηριοτήτων του Ομίλου ΕΤΕπ, που δημοσιεύτηκε στις 17 Ιουλίου 2025,</w:t>
      </w:r>
    </w:p>
    <w:p w:rsidR="003A091C" w:rsidRPr="00CB3B38" w:rsidP="003A091C" w14:paraId="30621566" w14:textId="77777777">
      <w:pPr>
        <w:pStyle w:val="NormalHanging"/>
      </w:pPr>
      <w:r w:rsidRPr="00CB3B38">
        <w:t>–</w:t>
      </w:r>
      <w:r w:rsidRPr="00CB3B38">
        <w:tab/>
        <w:t>έχοντας υπόψη το άρθρο 55 του Κανονισμού του,</w:t>
      </w:r>
    </w:p>
    <w:p w:rsidR="003A091C" w:rsidRPr="00CB3B38" w:rsidP="003A091C" w14:paraId="3DDBBE33" w14:textId="77777777">
      <w:pPr>
        <w:pStyle w:val="NormalHanging"/>
      </w:pPr>
      <w:r w:rsidRPr="00CB3B38">
        <w:t>–</w:t>
      </w:r>
      <w:r w:rsidRPr="00CB3B38">
        <w:tab/>
        <w:t>έχοντας υπόψη την έκθεση της Επιτροπής Ελέγχου του Προϋπολογισμού (A10-0086/2026),</w:t>
      </w:r>
    </w:p>
    <w:p w:rsidR="003A091C" w:rsidRPr="00CB3B38" w:rsidP="003A091C" w14:paraId="321C83B1" w14:textId="77777777">
      <w:pPr>
        <w:pStyle w:val="NormalHanging"/>
      </w:pPr>
      <w:r w:rsidRPr="00CB3B38">
        <w:t>Α.</w:t>
      </w:r>
      <w:r w:rsidRPr="00CB3B38">
        <w:tab/>
        <w:t>λαμβάνοντας υπόψη ότι ο Όμιλος ΕΤΕπ αποτελείται από την ΕΤΕπ — το μεγαλύτερο πολυμερές χρηματοπιστωτικό ίδρυμα στον κόσμο, που ανήκει εξ ολοκλήρου στα κράτη μέλη της ΕΕ- και το Ευρωπαϊκό Ταμείο Επενδύσεων (</w:t>
      </w:r>
      <w:r w:rsidRPr="00CB3B38">
        <w:t>ΕΤαΕ</w:t>
      </w:r>
      <w:r w:rsidRPr="00CB3B38">
        <w:t>)· λαμβάνοντας υπόψη ότι οι δραστηριότητες μιας δημόσιας τράπεζας θα πρέπει να συνίστανται στην αντιμετώπιση σαφών αδυναμιών της αγοράς και επενδυτικών κενών όπου δεν υπάρχει ιδιωτική χρηματοδότηση·</w:t>
      </w:r>
    </w:p>
    <w:p w:rsidR="003A091C" w:rsidRPr="00CB3B38" w:rsidP="003A091C" w14:paraId="0AF4FCFD" w14:textId="77777777">
      <w:pPr>
        <w:pStyle w:val="NormalHanging"/>
      </w:pPr>
      <w:r w:rsidRPr="00CB3B38">
        <w:t>Β.</w:t>
      </w:r>
      <w:r w:rsidRPr="00CB3B38">
        <w:tab/>
        <w:t>λαμβάνοντας υπόψη ότι ο Όμιλος ΕΤΕπ θα πρέπει, σύμφωνα με τις διατάξεις των ενωσιακών Συνθηκών, να συμβάλλει στην ισορροπημένη και σταθερή ανάπτυξη της εσωτερικής αγοράς προς το συμφέρον της Ένωσης· λαμβάνοντας υπόψη ότι οι επενδύσεις του θα πρέπει να επικεντρώνονται σε έργα που παρέχουν αποδεδειγμένη προσθετικότητα και σχέση κόστους-ωφέλειας και αποσκοπούν στην ανάπτυξη της εσωτερικής αγοράς ή σε έργα κοινού ενδιαφέροντος που δεν μπορούν να χρηματοδοτηθούν εξ ολοκλήρου με τα μέσα που είναι διαθέσιμα σε ένα κράτος μέλος·</w:t>
      </w:r>
    </w:p>
    <w:p w:rsidR="003A091C" w:rsidRPr="00CB3B38" w:rsidP="003A091C" w14:paraId="739A27A9" w14:textId="77777777">
      <w:pPr>
        <w:pStyle w:val="NormalHanging"/>
      </w:pPr>
      <w:r w:rsidRPr="00CB3B38">
        <w:t>Γ.</w:t>
      </w:r>
      <w:r w:rsidRPr="00CB3B38">
        <w:tab/>
        <w:t xml:space="preserve">λαμβάνοντας υπόψη ότι η χρηματοδότηση της ΕΤΕπ θα πρέπει να συμπληρώνει και όχι να αντικαθιστά τους εθνικούς προϋπολογισμούς και την ιδιωτική χρηματοδότηση και να σέβεται την αρχή της επικουρικότητας, ιδίως σε τομείς πολιτικής που εμπίπτουν πρωτίστως στην εθνική αρμοδιότητα· λαμβάνοντας υπόψη ότι η χρηματοδότηση της ΕΤΕπ πρέπει να παρέχει σαφή ενωσιακή προστιθέμενη αξία και να παρουσιάζει μετρήσιμα αποτελέσματα όσον αφορά την πραγματική προσθετικότητα </w:t>
      </w:r>
    </w:p>
    <w:p w:rsidR="003A091C" w:rsidRPr="00CB3B38" w:rsidP="003A091C" w14:paraId="7BF06F9C" w14:textId="77777777">
      <w:pPr>
        <w:pStyle w:val="NormalHanging"/>
      </w:pPr>
      <w:r w:rsidRPr="00CB3B38">
        <w:t>Δ.</w:t>
      </w:r>
      <w:r w:rsidRPr="00CB3B38">
        <w:tab/>
        <w:t>λαμβάνοντας υπόψη ότι ο Όμιλος ΕΤΕπ συμβάλλει στην προώθηση της οικονομικής, κοινωνικής και εδαφικής συνοχής εντός της ΕΕ και υποστηρίζει την πολιτική αναπτυξιακής συνεργασίας της Ένωσης μέσω μέτρων που εφαρμόζονται εκτός της ΕΕ·</w:t>
      </w:r>
    </w:p>
    <w:p w:rsidR="003A091C" w:rsidRPr="00CB3B38" w:rsidP="003A091C" w14:paraId="51F69F31" w14:textId="77777777">
      <w:pPr>
        <w:pStyle w:val="NormalHanging"/>
      </w:pPr>
      <w:r w:rsidRPr="00CB3B38">
        <w:t>Ε.</w:t>
      </w:r>
      <w:r w:rsidRPr="00CB3B38">
        <w:tab/>
        <w:t xml:space="preserve">λαμβάνοντας υπόψη ότι στις εκθέσεις </w:t>
      </w:r>
      <w:r w:rsidRPr="00CB3B38">
        <w:t>Letta</w:t>
      </w:r>
      <w:r w:rsidRPr="00CB3B38">
        <w:t xml:space="preserve"> και </w:t>
      </w:r>
      <w:r w:rsidRPr="00CB3B38">
        <w:t>Draghi</w:t>
      </w:r>
      <w:r w:rsidRPr="00CB3B38">
        <w:t xml:space="preserve"> σχετικά με το μέλλον της ΕΕ αποτυπώνεται ως ζητούμενο η ενίσχυση της ανταγωνιστικότητας της ΕΕ, τονίζεται ο ζωτικός ρόλος της ολοκλήρωσης της αγοράς και υπογραμμίζεται η ανάγκη να επισπευσθούν τόσο οι δημόσιες όσο και οι ιδιωτικές επενδύσεις με στόχο την οικοδόμηση μιας ισχυρότερης Ευρώπης· λαμβάνοντας υπόψη ότι ο όμιλος ΕΤΕπ διαδραματίζει καίριο ρόλο, ιδίως μέσω του </w:t>
      </w:r>
      <w:r w:rsidRPr="00CB3B38">
        <w:t>ΕΤαΕ</w:t>
      </w:r>
      <w:r w:rsidRPr="00CB3B38">
        <w:t>, στη στήριξη των μικρών και μεσαίων επιχειρήσεων (ΜΜΕ), ενισχύοντας την ικανότητά τους να έχουν πρόσβαση στις χρηματοπιστωτικές αγορές· λαμβάνοντας υπόψη ότι ο ρόλος της ΕΤΕπ στον τομέα της στέγασης θα πρέπει να αξιολογείται με βάση κριτήρια προσθετικότητας και να συμπληρώνει τις προσπάθειες που καταβάλλονται σε εθνικό επίπεδο αντί να τις υποκαθιστά·</w:t>
      </w:r>
    </w:p>
    <w:p w:rsidR="003A091C" w:rsidRPr="00CB3B38" w:rsidP="003A091C" w14:paraId="7D460DD0" w14:textId="77777777">
      <w:pPr>
        <w:pStyle w:val="NormalHanging"/>
      </w:pPr>
      <w:r w:rsidRPr="00CB3B38">
        <w:t>ΣΤ.</w:t>
      </w:r>
      <w:r w:rsidRPr="00CB3B38">
        <w:tab/>
        <w:t>λαμβάνοντας υπόψη ότι η αξιολόγηση πιστοληπτικής ικανότητας ΑΑΑ της ΕΤΕπ αποτελεί στρατηγικό πλεονέκτημα για την Ευρωπαϊκή Ένωση και τα κράτη μέλη της·</w:t>
      </w:r>
    </w:p>
    <w:p w:rsidR="003A091C" w:rsidRPr="00CB3B38" w:rsidP="003A091C" w14:paraId="038CDDCD" w14:textId="77777777">
      <w:pPr>
        <w:pStyle w:val="NormalHanging"/>
      </w:pPr>
      <w:r w:rsidRPr="00CB3B38">
        <w:t>Ζ.</w:t>
      </w:r>
      <w:r w:rsidRPr="00CB3B38">
        <w:tab/>
        <w:t xml:space="preserve">λαμβάνοντας υπόψη ότι η παρούσα έκθεση επικεντρώνεται στη διάσταση ελέγχου των δραστηριοτήτων της ΕΤΕπ και αξιολογεί τη σχέση κόστους-ωφέλειας, τη λογοδοσία </w:t>
      </w:r>
      <w:r w:rsidRPr="00CB3B38">
        <w:t>και τη χρηστή διαχείριση των πόρων της ΕΕ· λαμβάνοντας υπόψη ότι η συνεχής επέκταση της εντολής της ΕΤΕπ και η αύξηση των εγγυήσεων που παρέχονται από τον προϋπολογισμού της ΕΕ για τη στήριξη των πράξεων της ΕΤΕπ καθιστούν νόμιμη και αναγκαία την αντίστοιχη αύξηση του επιπέδου εξωτερικού ελέγχου·</w:t>
      </w:r>
    </w:p>
    <w:p w:rsidR="003A091C" w:rsidRPr="00CB3B38" w:rsidP="003A091C" w14:paraId="4E25B10D" w14:textId="77777777">
      <w:pPr>
        <w:pStyle w:val="NormalHanging"/>
      </w:pPr>
      <w:r w:rsidRPr="00CB3B38">
        <w:t>Η.</w:t>
      </w:r>
      <w:r w:rsidRPr="00CB3B38">
        <w:tab/>
        <w:t>λαμβάνοντας υπόψη ότι η δημοκρατική λογοδοσία πρέπει να συμβαδίζει με τον εξελισσόμενο ρόλο της ΕΤΕπ· λαμβάνοντας υπόψη ότι το βάθος και η ποιότητα της εποπτείας των χρηματοδοτικών πράξεων της ΕΤΕπ από το Κοινοβούλιο θα πρέπει να ευθυγραμμίζεται με τον βαθμό συνεργασίας ΕΤΕπ–Επιτροπής, η οποία είναι πλέον πολύ σημαντική· λαμβάνοντας υπόψη ότι ο αυξανόμενος ρόλος της ΕΤΕπ θα πρέπει να συνοδεύεται από μεγαλύτερη δημοκρατική λογοδοσία και διαφάνεια· λαμβάνοντας υπόψη ότι ο αυξημένος κοινοβουλευτικός έλεγχος αναμένεται να ενισχύσει τη δημοκρατική λογοδοσία της ΕΤΕπ και αυτό απαιτεί διαφανή υποβολή εκθέσεων, πρόσβαση στον έλεγχο, καθώς και να δίνεται με τρόπο διαρθρωμένο συνέχεια στις συστάσεις του Κοινοβουλίου·</w:t>
      </w:r>
    </w:p>
    <w:p w:rsidR="003A091C" w:rsidRPr="00CB3B38" w:rsidP="003A091C" w14:paraId="170626AD" w14:textId="77777777">
      <w:pPr>
        <w:pStyle w:val="NormalHanging"/>
      </w:pPr>
      <w:r w:rsidRPr="00CB3B38">
        <w:t>Θ.</w:t>
      </w:r>
      <w:r w:rsidRPr="00CB3B38">
        <w:tab/>
        <w:t>λαμβάνοντας υπόψη ότι η αποτελεσματική προστασία των πληροφοριοδοτών δημοσίου συμφέροντος και η ερευνητική δημοσιογραφία συμβάλλουν στην πρόληψη της απάτης και στην επιδίωξη χρηστής δημοσιονομικής διαχείρισης, διότι ενισχύουν τη διαφάνεια και τον δημόσιο έλεγχο·</w:t>
      </w:r>
    </w:p>
    <w:p w:rsidR="003A091C" w:rsidRPr="00CB3B38" w:rsidP="003A091C" w14:paraId="6206845A" w14:textId="53D6DBA3">
      <w:pPr>
        <w:pStyle w:val="NormalHanging"/>
      </w:pPr>
      <w:r w:rsidRPr="00CB3B38">
        <w:t>Ι.</w:t>
      </w:r>
      <w:r w:rsidRPr="00CB3B38">
        <w:tab/>
        <w:t>λαμβάνοντας υπόψη ότι η ΕΤΕπ ανήκει στα κράτη μέλη, και το εγγεγραμμένο της κεφάλαιο ύψους 248,8 δισ</w:t>
      </w:r>
      <w:r w:rsidR="009828D8">
        <w:t>εκατομμυρίων</w:t>
      </w:r>
      <w:r w:rsidRPr="00CB3B38">
        <w:t> EUR συνιστά υποχρέωση που βαρύνει τους φορολογουμένους· λαμβάνοντας υπόψη ότι ο δανεισμός της ΕΤΕπ δεν εμφανίζεται στα εθνικά στατιστικά στοιχεία για το χρέος· λαμβάνοντας υπόψη ότι το γεγονός ότι αυτά τα στοιχεία βρίσκονται εκτός ισολογισμού καθιστά απαραίτητη την τήρηση αυστηρών προτύπων αποτελεσματικότητας και τη διενέργεια εξωτερικού λογιστικού ελέγχου· λαμβάνοντας υπόψη ότι η επέκταση της εντολής της ΕΤΕπ πρέπει να συνοδεύεται από ενίσχυση των ρυθμίσεων εξωτερικού ελέγχου·</w:t>
      </w:r>
    </w:p>
    <w:p w:rsidR="003A091C" w:rsidRPr="00CB3B38" w:rsidP="003A091C" w14:paraId="2F1051CE" w14:textId="77777777">
      <w:pPr>
        <w:pStyle w:val="NormalHanging"/>
      </w:pPr>
      <w:r w:rsidRPr="00CB3B38">
        <w:t>ΙΑ.</w:t>
      </w:r>
      <w:r w:rsidRPr="00CB3B38">
        <w:tab/>
        <w:t>λαμβάνοντας υπόψη ότι ο Όμιλος ΕΤΕπ διαθέτει εσωτερικούς μηχανισμούς λογοδοσίας, οι οποίοι, ωστόσο, δεν υποκαθιστούν τον ανεξάρτητο εξωτερικό δημοκρατικό έλεγχο και την εποπτεία από το Ελεγκτικό Συνέδριο·</w:t>
      </w:r>
    </w:p>
    <w:p w:rsidR="003A091C" w:rsidRPr="00CB3B38" w:rsidP="003A091C" w14:paraId="201F0EE6" w14:textId="77777777">
      <w:pPr>
        <w:pStyle w:val="NormalHanging"/>
      </w:pPr>
      <w:r w:rsidRPr="00CB3B38">
        <w:t>ΙΒ.</w:t>
      </w:r>
      <w:r w:rsidRPr="00CB3B38">
        <w:tab/>
        <w:t>λαμβάνοντας υπόψη ότι, σύμφωνα με το ισχύον πλαίσιο της Συνθήκης και το καταστατικό της ΕΤΕπ, η συνεργασία μεταξύ της ΕΤΕπ και του Κοινοβουλίου στο πλαίσιο της ετήσιας έκθεσης ελέγχου βασίζεται σε μεγάλο βαθμό σε άτυπες ρυθμίσεις και πάγιες πρακτικές και όχι σε δεσμευτικές θεσμικές υποχρεώσεις·</w:t>
      </w:r>
    </w:p>
    <w:p w:rsidR="003A091C" w:rsidRPr="00CB3B38" w:rsidP="003A091C" w14:paraId="628B56D5" w14:textId="77777777">
      <w:pPr>
        <w:pStyle w:val="NormalHanging"/>
      </w:pPr>
      <w:r w:rsidRPr="00CB3B38">
        <w:t>ΙΓ.</w:t>
      </w:r>
      <w:r w:rsidRPr="00CB3B38">
        <w:tab/>
        <w:t>λαμβάνοντας υπόψη ότι το επιχειρηματικό μοντέλο της ΕΤΕπ απαιτεί τα υψηλότερα δυνατά πρότυπα ακεραιότητας, λογοδοσίας και διαφάνειας, και ότι πρέπει να εγκρίνονται και να επικαιροποιούνται συνεχώς κατάλληλα μέτρα για την αποφυγή της χρηματοδότησης όλων των μορφών απάτης, νομιμοποίησης εσόδων από παράνομες δραστηριότητες, της τρομοκρατίας, του οργανωμένου εγκλήματος και της φοροαποφυγής·</w:t>
      </w:r>
    </w:p>
    <w:p w:rsidR="003A091C" w:rsidRPr="00CB3B38" w:rsidP="003A091C" w14:paraId="168F1BF2" w14:textId="77777777">
      <w:pPr>
        <w:pStyle w:val="NormalHanging"/>
      </w:pPr>
      <w:r w:rsidRPr="00CB3B38">
        <w:t>ΙΔ.</w:t>
      </w:r>
      <w:r w:rsidRPr="00CB3B38">
        <w:tab/>
        <w:t xml:space="preserve">λαμβάνοντας υπόψη ότι η ΕΤΕπ διαδραματίζει καίριο ρόλο στην προώθηση των εξωτερικών στόχων της Ένωσης μέσω των δανειοδοτικών δραστηριοτήτων της σε τρίτες χώρες, μεταξύ άλλων μέσω της δομής «η ΕΤΕπ στον κόσμο», η οποία τέθηκε σε λειτουργία το 2022 και πρόκειται να ευθυγραμμιστεί με τις πολιτικές και τις προτεραιότητες της ΕΕ σε ολόκληρο τον κόσμο· λαμβάνοντας υπόψη ότι η </w:t>
      </w:r>
      <w:r w:rsidRPr="00CB3B38">
        <w:t>αποτελεσματική συνεργασία με τις χώρες εταίρους για τη διαχείριση της μετανάστευσης, συμπεριλαμβανομένης της επανεισδοχής και της επιστροφής των μεταναστών που δεν έχουν νόμιμο δικαίωμα παραμονής στην Ένωση, αποτελεί σημαντικό ζήτημα στο πλαίσιο εξωτερικού δανεισμού της ΕΕ·</w:t>
      </w:r>
    </w:p>
    <w:p w:rsidR="003A091C" w:rsidRPr="00CB3B38" w:rsidP="003A091C" w14:paraId="0B2FE257" w14:textId="77777777">
      <w:pPr>
        <w:pStyle w:val="NormalHanging"/>
      </w:pPr>
      <w:r w:rsidRPr="00CB3B38">
        <w:t>ΙΕ.</w:t>
      </w:r>
      <w:r w:rsidRPr="00CB3B38">
        <w:tab/>
        <w:t>λαμβάνοντας υπόψη ότι θα πρέπει να υπάρχει ισορροπία ως προς την εκπροσώπηση των φύλων και ως προς τη γεωγραφική εκπροσώπηση στο προσωπικό σε όλα τα επίπεδα του Ομίλου ΕΤΕπ, συμπεριλαμβανομένων των ανώτερων διοικητικών στελεχών και του διοικητικού συμβουλίου, οι δε αρχές της αξιοκρατικής επιλογής θα πρέπει να είναι πλήρως σεβαστές· λαμβάνοντας υπόψη ότι η ευημερία του προσωπικού και ένα διαφανές και δίκαιο πλαίσιο για τους ανθρώπινους πόρους είναι ουσιαστικής σημασίας για τη θεσμική ανθεκτικότητα και την ακεραιότητα·</w:t>
      </w:r>
    </w:p>
    <w:p w:rsidR="003A091C" w:rsidRPr="00CB3B38" w:rsidP="003A091C" w14:paraId="470AEBC3" w14:textId="77777777">
      <w:pPr>
        <w:pStyle w:val="Normal12a"/>
      </w:pPr>
      <w:r w:rsidRPr="00CB3B38">
        <w:rPr>
          <w:b/>
          <w:i/>
        </w:rPr>
        <w:t>Χρηματοοικονομικές πράξεις και επιδόσεις</w:t>
      </w:r>
    </w:p>
    <w:p w:rsidR="003A091C" w:rsidRPr="00CB3B38" w:rsidP="00487673" w14:paraId="09036E9C" w14:textId="3E3DDDF2">
      <w:pPr>
        <w:pStyle w:val="NormalHanging12a"/>
        <w:ind w:left="567" w:hanging="570"/>
      </w:pPr>
      <w:r w:rsidRPr="00CB3B38">
        <w:t>1.</w:t>
      </w:r>
      <w:r w:rsidRPr="00CB3B38">
        <w:tab/>
      </w:r>
      <w:r w:rsidRPr="00CB3B38">
        <w:t>σημειώνει τις σταθερές οικονομικές επιδόσεις του Ομίλου ΕΤΕπ το 2024 και τα ενοποιημένα αποτελέσματά του το 2024, ύψους 3,38 δισ</w:t>
      </w:r>
      <w:r w:rsidR="009828D8">
        <w:t>εκατομμυρίων</w:t>
      </w:r>
      <w:r w:rsidRPr="00CB3B38">
        <w:t> EUR· τονίζει ότι η διατήρηση της πιστοληπτικής αξιολόγησης ΑΑΑ της ΕΤΕπ πρέπει να εξακολουθήσει να αποτελεί πρωταρχικό στόχο της διακυβέρνησης της ΕΤΕπ· τονίζει ότι η αξιολόγηση ΑΑΑ της ΕΤΕπ αποτελεί στρατηγικό πλεονέκτημα που επιτρέπει στην ΕΤΕπ να διασφαλίζει ευνοϊκούς όρους χρηματοδότησης· τονίζει ότι η επιτυχία πρέπει να συνεχίσει να αξιολογείται και δη όλο και περισσότερο με αποδεδειγμένα οικονομικά αποτελέσματα και αποτελέσματα πολιτικής, και όχι απλώς βάσει του όγκου των πράξεων που υπογράφονται· τονίζει, επιπλέον, ότι οι οικονομικές επιδόσεις θα πρέπει επίσης να μετρώνται με βάση στοιχεία που καταδεικνύουν την προσθετικότητα της πολιτικής, τη σχέση κόστους-ωφέλειας και μετρήσιμα αποτελέσματα· υπενθυμίζει ότι οι απλουστευμένες διαδικασίες θα πρέπει να υποβάλλονται περιοδικά για ανεξάρτητη επανεξέταση·</w:t>
      </w:r>
    </w:p>
    <w:p w:rsidR="003A091C" w:rsidRPr="00CB3B38" w:rsidP="00487673" w14:paraId="63B7172F" w14:textId="0804E124">
      <w:pPr>
        <w:pStyle w:val="NormalHanging12a"/>
        <w:ind w:left="567" w:hanging="570"/>
      </w:pPr>
      <w:r w:rsidRPr="00CB3B38">
        <w:t>2.</w:t>
      </w:r>
      <w:r w:rsidRPr="00CB3B38">
        <w:tab/>
      </w:r>
      <w:r w:rsidRPr="00CB3B38">
        <w:t>σημειώνει με ανησυχία ότι το μέρος των ληξιπρόθεσμων οφειλών άνω των 90 ημερών τριπλασιάστηκε, και ανερχόταν συνολικά σε 281,3 εκατ</w:t>
      </w:r>
      <w:r w:rsidR="009828D8">
        <w:t>ομμύρια</w:t>
      </w:r>
      <w:r w:rsidRPr="00CB3B38">
        <w:t> EUR στο τέλος του 2024, δηλαδή στο 0,06 % του συνολικού χαρτοφυλακίου δανείων (σε σύγκριση με 82,4 εκατ</w:t>
      </w:r>
      <w:r w:rsidR="009828D8">
        <w:t>ομμύρια</w:t>
      </w:r>
      <w:r w:rsidRPr="00CB3B38">
        <w:t> EUR ή 0,02 % στο τέλος του 2023), και, παρότι αναγνωρίζει ότι παραμένουν σε πολύ χαμηλά επίπεδα με βάση τα τραπεζικά πρότυπα, καλεί την ΕΤΕπ να εξηγήσει τα βαθύτερα αίτια και να υποβάλει έκθεση σχετικά με τα διορθωτικά μέτρα που ελήφθησαν· τονίζει ότι οποιαδήποτε αύξηση των μη εξυπηρετούμενων ανοιγμάτων πρέπει να παρακολουθείται προσεκτικά προκειμένου να διασφαλιστεί η χρηματοπιστωτική σταθερότητα και η πιστοληπτική ικανότητα της ΕΤΕπ· επισημαίνει ότι αυτές οι αυξήσεις των μη εξυπηρετούμενων ανοιγμάτων και των ληξιπρόθεσμων οφειλών υπερβαίνουν σημαντικά την αύξηση κατά 2 % του συνολικού χαρτοφυλακίου δανείων·</w:t>
      </w:r>
    </w:p>
    <w:p w:rsidR="003A091C" w:rsidRPr="00CB3B38" w:rsidP="003A091C" w14:paraId="02014EFA" w14:textId="77777777">
      <w:pPr>
        <w:pStyle w:val="Normal12a"/>
      </w:pPr>
      <w:r w:rsidRPr="00CB3B38">
        <w:rPr>
          <w:b/>
          <w:i/>
        </w:rPr>
        <w:t>Το InvestEU, η απλούστευση του πολυετούς δημοσιονομικού πλαισίου και ο μηχανισμός ανάκαμψης και ανθεκτικότητας</w:t>
      </w:r>
    </w:p>
    <w:p w:rsidR="003A091C" w:rsidRPr="00CB3B38" w:rsidP="00487673" w14:paraId="073F8BB0" w14:textId="50AC960A">
      <w:pPr>
        <w:pStyle w:val="NormalHanging12a"/>
        <w:ind w:left="567" w:hanging="570"/>
      </w:pPr>
      <w:r w:rsidRPr="00CB3B38">
        <w:t>3.</w:t>
      </w:r>
      <w:r w:rsidRPr="00CB3B38">
        <w:tab/>
      </w:r>
      <w:r w:rsidRPr="00CB3B38">
        <w:t>σημειώνει ότι το 2024 η ΕΤΕπ ενέκρινε 38 πράξεις στο πλαίσιο του InvestEU, χρησιμοποιώντας 1,7 δισ</w:t>
      </w:r>
      <w:r w:rsidR="009828D8">
        <w:t>εκατομμύρια</w:t>
      </w:r>
      <w:r w:rsidRPr="00CB3B38">
        <w:t xml:space="preserve"> EUR από την εγγύηση της ΕΕ· επιμένει ότι η υποβολή εκθέσεων πρέπει να συμπληρώνει τους δείκτες που βασίζονται στις εισροές με δείκτες που βασίζονται στον αντίκτυπο και καταδεικνύουν πραγματικά οικονομικά αποτελέσματα και πρέπει να περιλαμβάνει αξιολόγηση της προσθετικότητας και εκ των υστέρων ανάλυση του ενδεχόμενου παραγκωνισμού, μεταξύ άλλων για πράξεις που </w:t>
      </w:r>
      <w:r w:rsidRPr="00CB3B38">
        <w:t>υλοποιούνται μέσω ενδιάμεσων χρηματοπιστωτικών οργανισμών· ζητεί να υιοθετηθεί προσέγγιση κατάρτισης του προϋπολογισμού βάσει επιδόσεων, στο πλαίσιο της οποίας οι κατανομές κεφαλαίων και οι στρατηγικές προτεραιότητες αξιολογούνται με βάση την αποδεδειγμένη αποτελεσματικότητα, την απόδοση των επενδύσεων και την πραγματική σχέση κόστους-ωφέλειας επιπλέον της συμμόρφωσης με προκαθορισμένους ποσοστιαίους στόχους·</w:t>
      </w:r>
    </w:p>
    <w:p w:rsidR="003A091C" w:rsidRPr="00CB3B38" w:rsidP="00487673" w14:paraId="2BDEA1A1" w14:textId="5A2821FC">
      <w:pPr>
        <w:pStyle w:val="NormalHanging12a"/>
        <w:ind w:left="567" w:hanging="570"/>
      </w:pPr>
      <w:r w:rsidRPr="00CB3B38">
        <w:t>4.</w:t>
      </w:r>
      <w:r w:rsidRPr="00CB3B38">
        <w:tab/>
      </w:r>
      <w:r w:rsidRPr="00CB3B38">
        <w:t>τονίζει ότι το πρόγραμμα InvestEU θα πρέπει να αξιολογείται σύμφωνα με την ποιότητα των παρεμβάσεών του και τον μετρήσιμο αντίκτυπό τους και όχι μόνο με βάση την ποσότητα της χρηματοδότησης που διατίθεται· υπενθυμίζει ότι, επί του παρόντος, δεν εφαρμόζονται πλαίσια βάσει επαληθεύσιμων δεικτών για την αξιολόγηση των αποτελεσμάτων των έργων που χρηματοδοτούνται στο πλαίσιο του InvestEU·</w:t>
      </w:r>
    </w:p>
    <w:p w:rsidR="003A091C" w:rsidRPr="00CB3B38" w:rsidP="00487673" w14:paraId="16EB5AEC" w14:textId="5B43FC05">
      <w:pPr>
        <w:pStyle w:val="NormalHanging12a"/>
        <w:ind w:left="567" w:hanging="570"/>
      </w:pPr>
      <w:r w:rsidRPr="00CB3B38">
        <w:t>5.</w:t>
      </w:r>
      <w:r w:rsidRPr="00CB3B38">
        <w:tab/>
      </w:r>
      <w:r w:rsidRPr="00CB3B38">
        <w:t>σημειώνει ότι το κατακερματισμένο και σύνθετο χρηματοδοτικό τοπίο της ΕΕ οδηγεί σε αναποτελεσματικότητα· τονίζει ότι η μείωση της γραφειοκρατίας είναι απαραίτητη για την αποκατάσταση της ανταγωνιστικότητας και ότι η απλούστευση θα πρέπει να μειώσει τον διοικητικό φόρτο χωρίς να αποδυναμώσει τις διαδρομές ελέγχου, τη διαφάνεια ή τους ελέγχους για την καταπολέμηση της απάτης· σημειώνει τις προσπάθειες απλούστευσης της αξιολόγησης της ΕΤΕπ με το εγχείρημα «</w:t>
      </w:r>
      <w:r w:rsidRPr="00CB3B38">
        <w:t>Time</w:t>
      </w:r>
      <w:r w:rsidRPr="00CB3B38">
        <w:t xml:space="preserve"> </w:t>
      </w:r>
      <w:r w:rsidRPr="00CB3B38">
        <w:t>to</w:t>
      </w:r>
      <w:r w:rsidRPr="00CB3B38">
        <w:t xml:space="preserve"> Market» (Χρόνος διάθεσης στην αγορά)· καλεί την ΕΤΕπ να δημοσιεύει ετήσιους βασικούς δείκτες επιδόσεων σχετικά με την έγκριση και να επιδεικνύει μετρήσιμες μειώσεις του διοικητικού φόρτου για τους αιτούντες, ιδίως τις ΜΜΕ και τις επιχειρήσεις μεσαίας κεφαλαιοποίησης·</w:t>
      </w:r>
    </w:p>
    <w:p w:rsidR="003A091C" w:rsidRPr="00CB3B38" w:rsidP="00487673" w14:paraId="5E0BD83A" w14:textId="3F87E409">
      <w:pPr>
        <w:pStyle w:val="NormalHanging12a"/>
        <w:ind w:left="567" w:hanging="570"/>
      </w:pPr>
      <w:r w:rsidRPr="00CB3B38">
        <w:t>6.</w:t>
      </w:r>
      <w:r w:rsidRPr="00CB3B38">
        <w:tab/>
      </w:r>
      <w:r w:rsidRPr="00CB3B38">
        <w:t>εκφράζει την ικανοποίησή του για την εν εξελίξει αξιολόγηση του πλαισίου της ΕΤΕπ για την προσθετικότητα και τη μέτρηση αντικτύπου και σημειώνει ότι αναμένονται αποτελέσματα κατά το πρώτο εξάμηνο του 2026· καλεί την ΕΤΕπ και την Επιτροπή να καθιερώσουν μια κοινή εκ των υστέρων μεθοδολογία όσον αφορά την προσθετικότητα για τις πράξεις που υποστηρίζονται από την ΕΕ και να υποβάλλουν τακτικά εκθέσεις σχετικά με τις επιπτώσεις της ανά χαρτοφυλάκιο και τομέα·</w:t>
      </w:r>
    </w:p>
    <w:p w:rsidR="003A091C" w:rsidRPr="00CB3B38" w:rsidP="003A091C" w14:paraId="07730C04" w14:textId="77777777">
      <w:pPr>
        <w:pStyle w:val="Normal12a"/>
      </w:pPr>
      <w:r w:rsidRPr="00CB3B38">
        <w:rPr>
          <w:b/>
          <w:i/>
        </w:rPr>
        <w:t>Ενεργειακή ασφάλεια</w:t>
      </w:r>
    </w:p>
    <w:p w:rsidR="003A091C" w:rsidRPr="00CB3B38" w:rsidP="00487673" w14:paraId="63A0B6A4" w14:textId="721C3771">
      <w:pPr>
        <w:pStyle w:val="NormalHanging12a"/>
        <w:ind w:left="567" w:hanging="570"/>
      </w:pPr>
      <w:r w:rsidRPr="00CB3B38">
        <w:t>7.</w:t>
      </w:r>
      <w:r w:rsidRPr="00CB3B38">
        <w:tab/>
      </w:r>
      <w:r w:rsidRPr="00CB3B38">
        <w:t>καλεί την ΕΤΕπ να αξιολογήσει όλα τα έργα χαμηλών ανθρακούχων εκπομπών, συμπεριλαμβανομένης της πυρηνικής ενέργειας, με βάση αντικειμενικά και διαφανή κριτήρια, συμπεριλαμβανομένης της έντασης άνθρακα κατά τον κύκλο ζωής, της σταθερότητας του δικτύου και της οικονομικής αποδοτικότητας, εφαρμόζοντας τεχνολογική ουδετερότητα, εστιάζοντας παράλληλα σε στρατηγικά διασυνοριακά έργα με στόχο την αύξηση της ενωσιακής προστιθέμενης αξίας· σημειώνει ότι το 2024 η ΕΤΕπ επένδυσε πάνω από 27 δισ</w:t>
      </w:r>
      <w:r w:rsidR="009828D8">
        <w:t>εκατομμύρια</w:t>
      </w:r>
      <w:r w:rsidRPr="00CB3B38">
        <w:t> EUR στην ενεργειακή μετάβαση και την ενεργειακή ασφάλεια, συμπεριλαμβανομένων των ανανεώσιμων πηγών ενέργειας, των δικτύων και της αποθήκευσης ενέργειας· καλεί την ΕΤΕπ να δώσει προτεραιότητα στην ενεργειακή απόδοση και την οικονομική αποδοτικότητα, με πλήρη σεβασμό του κυριαρχικού δικαιώματος των κρατών μελών να καθορίζουν το ενεργειακό τους μείγμα·</w:t>
      </w:r>
    </w:p>
    <w:p w:rsidR="003A091C" w:rsidRPr="00CB3B38" w:rsidP="00487673" w14:paraId="278B8C78" w14:textId="2E00DC9D">
      <w:pPr>
        <w:pStyle w:val="NormalHanging12a"/>
        <w:ind w:left="567" w:hanging="570"/>
      </w:pPr>
      <w:r w:rsidRPr="00CB3B38">
        <w:t>8.</w:t>
      </w:r>
      <w:r w:rsidRPr="00CB3B38">
        <w:tab/>
      </w:r>
      <w:r w:rsidRPr="00CB3B38">
        <w:t xml:space="preserve">εκφράζει ανησυχία σχετικά με τις δυσανάλογες απαιτήσεις υποβολής στοιχείων όσον αφορά την τήρηση των περιβαλλοντικών και κοινωνικών προτύπων και των προτύπων διακυβέρνησης (ΠΚΔ) που επιβάλλονται στους δανειολήπτες της ΕΤΕπ· προειδοποιεί ότι οι υπερβολικές υποχρεώσεις δημοσιοποίησης αποτρέπουν οικονομικά βιώσιμα έργα και δημιουργούν ανταγωνιστικά μειονεκτήματα για τις ευρωπαϊκές επιχειρήσεις· καλεί </w:t>
      </w:r>
      <w:r w:rsidRPr="00CB3B38">
        <w:t>την ΕΤΕπ να επανεξετάσει τις απαιτήσεις υποβολής στοιχείων ΠΚΔ με σκοπό τη διασφάλιση της αναλογικότητας·</w:t>
      </w:r>
    </w:p>
    <w:p w:rsidR="003A091C" w:rsidRPr="00CB3B38" w:rsidP="003A091C" w14:paraId="2F9897BC" w14:textId="77777777">
      <w:pPr>
        <w:pStyle w:val="Normal12a"/>
      </w:pPr>
      <w:r w:rsidRPr="00CB3B38">
        <w:rPr>
          <w:b/>
          <w:i/>
        </w:rPr>
        <w:t>Πολιτική άμυνας και ασφάλειας</w:t>
      </w:r>
    </w:p>
    <w:p w:rsidR="003A091C" w:rsidRPr="00CB3B38" w:rsidP="00487673" w14:paraId="0C01CD5C" w14:textId="1BF20043">
      <w:pPr>
        <w:pStyle w:val="NormalHanging12a"/>
        <w:ind w:left="567" w:hanging="570"/>
      </w:pPr>
      <w:r w:rsidRPr="00CB3B38">
        <w:t>9.</w:t>
      </w:r>
      <w:r w:rsidRPr="00CB3B38">
        <w:tab/>
      </w:r>
      <w:r w:rsidRPr="00CB3B38">
        <w:t>τονίζει τη σημασία της συμβολής του Ομίλου ΕΤΕπ στην ειρήνη, την άμυνα και την ασφάλεια της Ευρώπης, όπως ορίζεται στη Λευκή Βίβλο για την ευρωπαϊκή αμυντική ετοιμότητα έως το 2030, μέσω της στήριξής του σε πρωτοβουλίες που ενισχύουν την στρατηγική αυτονομία και την ανθεκτικότητα της Ένωσης, ενισχύουν την αμυντική βιομηχανία της ΕΕ, βελτιώνουν τις υποδομές κυβερνοασφάλειας και προωθούν την καινοτομία σε κρίσιμες αμυντικές τεχνολογίες με την παροχή χρηματοδότησης και τη μόχλευση ιδιωτικών επενδύσεων·</w:t>
      </w:r>
    </w:p>
    <w:p w:rsidR="003A091C" w:rsidRPr="00CB3B38" w:rsidP="00487673" w14:paraId="3C2FEF87" w14:textId="0FB488D5">
      <w:pPr>
        <w:pStyle w:val="NormalHanging12a"/>
        <w:ind w:left="567" w:hanging="570"/>
      </w:pPr>
      <w:r w:rsidRPr="00CB3B38">
        <w:t>10.</w:t>
      </w:r>
      <w:r w:rsidRPr="00CB3B38">
        <w:tab/>
      </w:r>
      <w:r w:rsidRPr="00CB3B38">
        <w:t>σημειώνει την απόφαση του διοικητικού συμβουλίου της ΕΤΕπ, της 21ης Μαρτίου 2025, να διευρύνει τα κριτήρια επιλεξιμότητας του Ομίλου ΕΤΕπ για επενδύσεις στον τομέα της ασφάλειας και της άμυνας, περιορίζοντας τις εξαιρούμενες δραστηριότητες, σύμφωνα με τις προτάσεις που ενέκριναν οι ηγέτες της ΕΕ στο Ευρωπαϊκό Συμβούλιο στις 6 Μαρτίου 2025·</w:t>
      </w:r>
    </w:p>
    <w:p w:rsidR="003A091C" w:rsidRPr="00CB3B38" w:rsidP="00487673" w14:paraId="1604F539" w14:textId="792EB3CC">
      <w:pPr>
        <w:pStyle w:val="NormalHanging12a"/>
        <w:ind w:left="567" w:hanging="570"/>
      </w:pPr>
      <w:r w:rsidRPr="00CB3B38">
        <w:t>11.</w:t>
      </w:r>
      <w:r w:rsidRPr="00CB3B38">
        <w:tab/>
      </w:r>
      <w:r w:rsidRPr="00CB3B38">
        <w:t>εκφράζει την ικανοποίησή του για τον συνεχή και ενισχυμένο ρόλο της ΕΤΕπ στην ενίσχυση της ασφάλειας της Ευρώπης μέσω στοχευμένων επενδύσεων τόσο σε αμυντικές όσο και σε μη στρατιωτικές υποδομές, σύμφωνα με τους ευρύτερους στόχους της ΕΕ για την προώθηση της καινοτομίας και την ενίσχυση της ασφάλειας της Ένωσης· τονίζει ότι η ΕΤΕπ θα πρέπει να συνεχίσει να επενδύει σε μια ασφαλή και προστατευμένη Ευρώπη, στηρίζοντας την ευρωπαϊκή τεχνολογική και βιομηχανική βάση στον τομέα της άμυνας και την παροχή προϊόντων, υπηρεσιών και τεχνολογιών που ενισχύουν τις αμυντικές ικανότητες της Ευρώπης, την έρευνα και την ανάπτυξη και την καινοτομία· ζητεί να προσαρμοστεί περαιτέρω το πεδίο που καλύπτουν οι επιλέξιμες επενδύσεις ώστε να εκπληρωθεί ο φιλόδοξος στόχος της συμβολής στην άμυνα και την ασφάλεια της Ευρώπης·</w:t>
      </w:r>
    </w:p>
    <w:p w:rsidR="003A091C" w:rsidRPr="00CB3B38" w:rsidP="00487673" w14:paraId="574043C1" w14:textId="63957ECF">
      <w:pPr>
        <w:pStyle w:val="NormalHanging12a"/>
        <w:ind w:left="567" w:hanging="570"/>
      </w:pPr>
      <w:r w:rsidRPr="00CB3B38">
        <w:t>12.</w:t>
      </w:r>
      <w:r w:rsidRPr="00CB3B38">
        <w:tab/>
      </w:r>
      <w:r w:rsidRPr="00CB3B38">
        <w:t>σημειώνει τη σημαντική αύξηση της χρηματοδότησης της ΕΤΕπ για την ασφάλεια και την άμυνα από 0,5 δισ</w:t>
      </w:r>
      <w:r w:rsidR="009828D8">
        <w:t>εκατομμύριο</w:t>
      </w:r>
      <w:r w:rsidRPr="00CB3B38">
        <w:t> EUR το 2023 σε 1,04 δισ</w:t>
      </w:r>
      <w:r w:rsidR="009828D8">
        <w:t>εκατομμύρια</w:t>
      </w:r>
      <w:r w:rsidRPr="00CB3B38">
        <w:t>. EUR το 2024, και την περαιτέρω κλιμάκωση το 2025· επισημαίνει ότι η τρέχουσα στρατηγική πρωτοβουλία της ΕΤΕπ για την ευρωπαϊκή ασφάλεια ύψους 8 δισ</w:t>
      </w:r>
      <w:r w:rsidR="009828D8">
        <w:t>εκατομμυρίων</w:t>
      </w:r>
      <w:r w:rsidRPr="00CB3B38">
        <w:t> EUR θα ενσωματωθεί σε έναν πάγιο, οριζόντιο στόχο δημόσιας πολιτικής, συμπληρώνοντας τους υφιστάμενους στόχους δημόσιας πολιτικής, καταργώντας τα προκαθορισμένα ανώτατα όρια για τη χρηματοδότηση της ασφάλειας και επιτρέποντας αυξημένη και ευέλικτη στήριξη σύμφωνα με τις προτεραιότητες του Συμβουλίου· ζητεί στις ετήσιες εκθέσεις που υποβάλλονται προς το Κοινοβούλιο να περιλαμβάνεται ειδικό παράρτημα σχετικά με τις πράξεις στον τομέα της ασφάλειας και άμυνας, το οποίο θα περιλαμβάνει στοιχεία για την προσθετικότητα, την ταχύτητα υλοποίησης, τις διασφαλίσεις για τις δημόσιες συμβάσεις, τους ελέγχους ακεραιότητας και τις ρυθμίσεις επιμερισμού των κινδύνων·</w:t>
      </w:r>
    </w:p>
    <w:p w:rsidR="003A091C" w:rsidRPr="00CB3B38" w:rsidP="00487673" w14:paraId="577417DB" w14:textId="4F49F6FF">
      <w:pPr>
        <w:pStyle w:val="NormalHanging12a"/>
        <w:ind w:left="567" w:hanging="570"/>
      </w:pPr>
      <w:r w:rsidRPr="00CB3B38">
        <w:t>13.</w:t>
      </w:r>
      <w:r w:rsidRPr="00CB3B38">
        <w:tab/>
      </w:r>
      <w:r w:rsidRPr="00CB3B38">
        <w:t xml:space="preserve">καλεί την ΕΤΕπ να ενισχύσει περαιτέρω τις συνέργειες με επενδύσεις στον τομέα της άμυνας που χρηματοδοτούνται από τον προϋπολογισμό της ΕΕ και να ευθυγραμμίσει περισσότερο τις επενδύσεις αυτές με πρωτοβουλίες που αναλαμβάνονται σε επίπεδο ΕΕ· τονίζει στην ΕΤΕπ την ανάγκη να διασφαλίσει ότι οι επενδύσεις της συμπληρώνουν τους ευρύτερους στόχους της αμυντικής πολιτικής της ΕΕ και </w:t>
      </w:r>
      <w:r w:rsidRPr="00CB3B38">
        <w:t>συμβάλλουν στην επίτευξη οικονομιών κλίμακας όσον αφορά τις ευρωπαϊκές αμυντικές ικανότητες·</w:t>
      </w:r>
    </w:p>
    <w:p w:rsidR="003A091C" w:rsidRPr="00CB3B38" w:rsidP="00487673" w14:paraId="1BC4171C" w14:textId="4363308A">
      <w:pPr>
        <w:pStyle w:val="NormalHanging12a"/>
        <w:ind w:left="567" w:hanging="570"/>
      </w:pPr>
      <w:r w:rsidRPr="00CB3B38">
        <w:t>14.</w:t>
      </w:r>
      <w:r w:rsidRPr="00CB3B38">
        <w:tab/>
      </w:r>
      <w:r w:rsidRPr="00CB3B38">
        <w:t>σημειώνει τη σημαντική επέκταση της στήριξης της ΕΤΕπ σε πράξεις στον τομέα της ασφάλειας και της άμυνας· τονίζει ότι οποιαδήποτε πιθανή επέκταση της στήριξης της ΕΤΕπ στον τομέα της ασφάλειας και της άμυνας πρέπει να υπόκειται σε αυστηρή διαφάνεια, λογοδοσία και διασφαλίσεις για τα ανθρώπινα δικαιώματα, σαφή κριτήρια αποκλεισμού, παρακολούθηση της τελικής χρήσης και τακτική υποβολή εκθέσεων στο Κοινοβούλιο·</w:t>
      </w:r>
    </w:p>
    <w:p w:rsidR="003A091C" w:rsidRPr="00CB3B38" w:rsidP="00487673" w14:paraId="4CB74BE3" w14:textId="0F86D9EE">
      <w:pPr>
        <w:pStyle w:val="NormalHanging12a"/>
        <w:ind w:left="567" w:hanging="570"/>
      </w:pPr>
      <w:r w:rsidRPr="00CB3B38">
        <w:t>15.</w:t>
      </w:r>
      <w:r w:rsidRPr="00CB3B38">
        <w:tab/>
      </w:r>
      <w:r w:rsidRPr="00CB3B38">
        <w:t>καλεί την ΕΤΕπ να εντοπίσει φραγμούς που εμποδίζουν τις επενδύσεις στον τομέα της άμυνας και της προστασίας των συνόρων οι οποίες θα μπορούσαν να ενισχύσουν την ανθεκτικότητα και την ασφάλεια της Ένωσης, διασφαλίζοντας παράλληλα τη συμμόρφωση με το ενωσιακό δίκαιο και την τήρηση της δημοκρατικής εποπτείας· τονίζει ότι η άρση των εμποδίων είναι απαραίτητη για την επίτευξη απτών αποτελεσμάτων στον τομέα της ασφάλειας· υπενθυμίζει ότι οποιαδήποτε κατανομή κονδυλίων από την ΕΤΕπ μέσω του InvestEU και άλλων χρηματοδοτικών μέσων για αμυντικούς σκοπούς και για επενδύσεις σε κρίσιμες τεχνολογίες πρέπει να σέβεται πλήρως τα συμφέροντα εθνικής ασφάλειας των κρατών μελών· υπογραμμίζει ότι οι αρμόδιες ελεγκτικές αρχές και τα αρμόδια όργανα των θεσμικών οργάνων της ΕΕ θα πρέπει να διενεργούν διεξοδικούς και συνεχείς λογιστικούς ελέγχους σε οντότητες εκτός της ΕΕ και σε τρίτες χώρες που είναι δικαιούχοι ενωσιακής χρηματοδότησης και υλοποιούν επενδύσεις και έργα στον τομέα της άμυνας, ώστε να διασφαλίζεται η διαφανής χρήση της ενωσιακής χρηματοδότησης· τονίζει ότι το αποτέλεσμα των εν λόγω επενδύσεων και έργων δεν πρέπει να υπονομεύει τα συμφέροντα εθνικής ασφάλειας των κρατών μελών· καλεί την ΕΤΕπ να επεκτείνει την εστίασή της στην ενίσχυση της περιφερειακής ασφάλειας και ανθεκτικότητας· τονίζει τον σημαντικό ρόλο που μπορεί να διαδραματίσει η ΕΤΕπ στη δημιουργία μιας υποδομής που στηρίζει την περιφερειακή ασφάλεια και προωθεί τη μεγαλύτερη συνεργασία μεταξύ των κρατών μελών σε θέματα ενέργειας και άμυνας·</w:t>
      </w:r>
    </w:p>
    <w:p w:rsidR="003A091C" w:rsidRPr="00CB3B38" w:rsidP="00487673" w14:paraId="2EE71E94" w14:textId="709E9A00">
      <w:pPr>
        <w:pStyle w:val="NormalHanging12a"/>
        <w:ind w:left="567" w:hanging="570"/>
      </w:pPr>
      <w:r w:rsidRPr="00CB3B38">
        <w:t>16.</w:t>
      </w:r>
      <w:r w:rsidRPr="00CB3B38">
        <w:tab/>
      </w:r>
      <w:r w:rsidRPr="00CB3B38">
        <w:t>επικροτεί τη στενή και διαρθρωμένη συνεργασία που συνήφθη με το Ταμείο Καινοτομίας του ΝΑΤΟ, προκειμένου να εξασφαλιστούν συνέργειες και να αποφεύγεται η αλληλεπικάλυψη των προσπαθειών, ιδίως όσον αφορά την ανάπτυξη τεχνολογιών όπου δεν επαρκούν τα ιδιωτικά κεφάλαια·</w:t>
      </w:r>
    </w:p>
    <w:p w:rsidR="003A091C" w:rsidRPr="00CB3B38" w:rsidP="003A091C" w14:paraId="738CE8CE" w14:textId="77777777">
      <w:pPr>
        <w:pStyle w:val="Normal12a"/>
      </w:pPr>
      <w:r w:rsidRPr="00CB3B38">
        <w:rPr>
          <w:b/>
          <w:i/>
        </w:rPr>
        <w:t xml:space="preserve">Επενδύσεις σε τομείς εθνικής αρμοδιότητας </w:t>
      </w:r>
    </w:p>
    <w:p w:rsidR="003A091C" w:rsidRPr="00CB3B38" w:rsidP="00487673" w14:paraId="7FCC2D41" w14:textId="6BBDEF9F">
      <w:pPr>
        <w:pStyle w:val="NormalHanging12a"/>
        <w:ind w:left="567" w:hanging="570"/>
      </w:pPr>
      <w:r w:rsidRPr="00CB3B38">
        <w:t>17.</w:t>
      </w:r>
      <w:r w:rsidRPr="00CB3B38">
        <w:tab/>
      </w:r>
      <w:r w:rsidRPr="00CB3B38">
        <w:t>υπενθυμίζει ότι οι προκλήσεις όσον αφορά τη στέγαση θα μπορούσαν να αντιμετωπιστούν πιο αποτελεσματικά σε τοπικό ή εθνικό επίπεδο· σημειώνει τις προσπάθειες του Ομίλου ΕΤΕπ να διασφαλίσει ενωσιακή προστιθέμενη αξία κατά την αντιμετώπιση των προκλήσεων της στέγασης σε τοπικό και εθνικό επίπεδο, στηρίζοντας λύσεις με δυνατότητα επέκτασης χωρίς να απαιτείται ανασχεδιασμός, οι οποίες συμπληρώνουν τις προσπάθειες σε εθνικό επίπεδο και αποφέρουν μετρήσιμα αποτελέσματα· αναγνωρίζει ότι οι επενδύσεις σε στεγαστικές υποδομές στις λιγότερο ανεπτυγμένες περιφέρειες συνάδουν πλήρως με την εντολή της ΕΤΕπ και με τον κατοχυρωμένο στη Συνθήκη στόχο της ΕΤΕπ για την προώθηση της οικονομικής, κοινωνικής και εδαφικής συνοχής, καθώς εστιάζουν στις λιγότερο ανεπτυγμένες περιφέρειες·</w:t>
      </w:r>
    </w:p>
    <w:p w:rsidR="003A091C" w:rsidRPr="00CB3B38" w:rsidP="00487673" w14:paraId="56F111B8" w14:textId="1F75229F">
      <w:pPr>
        <w:pStyle w:val="NormalHanging12a"/>
        <w:ind w:left="567" w:hanging="570"/>
      </w:pPr>
      <w:r w:rsidRPr="00CB3B38">
        <w:t>18.</w:t>
      </w:r>
      <w:r w:rsidRPr="00CB3B38">
        <w:tab/>
      </w:r>
      <w:r w:rsidRPr="00CB3B38">
        <w:t>σημειώνει το σχέδιο δράσης του Ομίλου ΕΤΕπ για οικονομικά προσιτή και βιώσιμη στέγαση και τη δέσμευσή του να επενδύσει στον τομέα· αναγνωρίζει τη δέσμευση του Ομίλου ΕΤΕπ να αυξήσει τις επενδύσεις σε κοινωνικές υποδομές, συμπεριλαμβανομένης της κοινωνικής και οικονομικά προσιτής στέγασης, όπως ορίζεται στις στρατηγικές του προτεραιότητες για την περίοδο 2024-2027 και στο επιχειρησιακό του σχέδιο για την περίοδο 2026-2028· σημειώνει τις δυνατότητες που προσφέρει η στοχευμένη στήριξη της ΕΤΕπ για την ανακαίνιση του υφιστάμενου αποθέματος κατοικιών με σκοπό τη βελτίωση της ενεργειακής απόδοσης, υπό την προϋπόθεση ότι οι εν λόγω πράξεις επιδεικνύουν προσθετικότητα και οικονομική αποδοτικότητα·</w:t>
      </w:r>
    </w:p>
    <w:p w:rsidR="003A091C" w:rsidRPr="00CB3B38" w:rsidP="00487673" w14:paraId="7941AA77" w14:textId="12D8BA70">
      <w:pPr>
        <w:pStyle w:val="NormalHanging12a"/>
        <w:ind w:left="567" w:hanging="570"/>
      </w:pPr>
      <w:r w:rsidRPr="00CB3B38">
        <w:t>19.</w:t>
      </w:r>
      <w:r w:rsidRPr="00CB3B38">
        <w:tab/>
      </w:r>
      <w:r w:rsidRPr="00CB3B38">
        <w:t>υπενθυμίζει την ανάγκη να διασφαλιστεί η προσθετικότητα και η συμπληρωματικότητα με άλλα δημόσια κονδύλια και εμπορικούς δανειστές, και παράλληλα να υλοποιηθούν οι στόχοι στο πλαίσιο του ευρωπαϊκού πυλώνα κοινωνικών δικαιωμάτων, μεταξύ άλλων όσον αφορά την εκπαίδευση, και τονίζει ότι η συμμετοχή της ΕΤΕπ θα πρέπει να περιορίζεται σε έργα με αποδεδειγμένη σχέση κόστους-ωφέλειας, όπως οι διασυνοριακές ερευνητικές υποδομές ή τα προγράμματα δεξιοτήτων για την αντιμετώπιση των κενών στην αγορά εργασίας σε επίπεδο ΕΕ· επιμένει ότι η χρηματοδότηση της ΕΤΕπ δεν πρέπει να υποκαθιστά τα εθνικά κονδύλια για την εκπαίδευση·</w:t>
      </w:r>
    </w:p>
    <w:p w:rsidR="003A091C" w:rsidRPr="00CB3B38" w:rsidP="003A091C" w14:paraId="67358346" w14:textId="77777777">
      <w:pPr>
        <w:pStyle w:val="Normal12a"/>
      </w:pPr>
      <w:r w:rsidRPr="00CB3B38">
        <w:rPr>
          <w:b/>
          <w:i/>
        </w:rPr>
        <w:t>Στήριξη των ΜΜΕ, των επιχειρήσεων μεσαίας κεφαλαιοποίησης, των νεοφυών επιχειρήσεων, των επεκτεινόμενων επιχειρήσεων και άλλων επιχειρήσεων</w:t>
      </w:r>
    </w:p>
    <w:p w:rsidR="003A091C" w:rsidRPr="00CB3B38" w:rsidP="00487673" w14:paraId="0AFA11F0" w14:textId="4D2EAE12">
      <w:pPr>
        <w:pStyle w:val="NormalHanging12a"/>
        <w:ind w:left="567" w:hanging="570"/>
      </w:pPr>
      <w:r w:rsidRPr="00CB3B38">
        <w:t>20.</w:t>
      </w:r>
      <w:r w:rsidRPr="00CB3B38">
        <w:tab/>
      </w:r>
      <w:r w:rsidRPr="00CB3B38">
        <w:t>τονίζει ότι η ΕΤΕπ πρέπει να στοχεύει εκεί όπου πράγματι αποτυγχάνει η αγορά και να χρηματοδοτεί έργα τα οποία ο ιδιωτικός τομέας από μόνος του δεν θα χρηματοδοτούσε ή θα χρηματοδοτούσε μόνο υπό λιγότερο ευνοϊκούς όρους· τονίζει ότι οι επενδύσεις της ΕΤΕπ δεν πρέπει να αντικαθιστούν ιδιωτικά κεφάλαια ή να υποκαθιστούν εθνικές επαναλαμβανόμενες δημοσιονομικές δαπάνες· τονίζει ότι είναι απαραίτητο να προστατεύεται το ανταγωνιστικό περιβάλλον της αγοράς·</w:t>
      </w:r>
    </w:p>
    <w:p w:rsidR="003A091C" w:rsidRPr="00CB3B38" w:rsidP="00487673" w14:paraId="368EE12E" w14:textId="40EFDE44">
      <w:pPr>
        <w:pStyle w:val="NormalHanging12a"/>
        <w:ind w:left="567" w:hanging="570"/>
      </w:pPr>
      <w:r w:rsidRPr="00CB3B38">
        <w:t>21.</w:t>
      </w:r>
      <w:r w:rsidRPr="00CB3B38">
        <w:tab/>
      </w:r>
      <w:r w:rsidRPr="00CB3B38">
        <w:t>τονίζει τον κρίσιμο ρόλο που διαδραματίζουν στην οικονομική δομή της ΕΕ οι μεγάλες εταιρείες της ΕΕ, ιδίως εκείνες που δραστηριοποιούνται σε βασικούς τομείς, όπως η ενέργεια, η άμυνα και οι υποδομές· ζητεί μια ισορροπημένη προσέγγιση που θα διασφαλίζει ότι η ΕΤΕπ εξακολουθεί να στηρίζει μεγάλες ευρωπαϊκές εταιρείες ώστε να εξασφαλίσουν επενδυτικά κεφάλαια για μεγάλα έργα και πρωτοβουλίες όσον αφορά την έρευνα και την ανάπτυξη, με αποτέλεσμα την ενίσχυση της παγκόσμιας ανταγωνιστικότητας και της οικονομικής κυριαρχίας της ΕΕ·</w:t>
      </w:r>
    </w:p>
    <w:p w:rsidR="003A091C" w:rsidRPr="00CB3B38" w:rsidP="00487673" w14:paraId="22617602" w14:textId="6855DC43">
      <w:pPr>
        <w:pStyle w:val="NormalHanging12a"/>
        <w:ind w:left="567" w:hanging="570"/>
      </w:pPr>
      <w:r w:rsidRPr="00CB3B38">
        <w:t>22.</w:t>
      </w:r>
      <w:r w:rsidRPr="00CB3B38">
        <w:tab/>
      </w:r>
      <w:r w:rsidRPr="00CB3B38">
        <w:t>ενθαρρύνει την ΕΤΕπ να συνεχίσει να διαδραματίζει τον ρόλο της βελτιώνοντας την πρόσβαση των ΜΜΕ, των νεοφυών και των επεκτεινόμενων επιχειρήσεων σε χρηματοδότηση, προκειμένου να ενισχυθεί η μακροπρόθεσμη ανταγωνιστικότητα της ΕΕ, δεδομένου ότι οι εν λόγω επιχειρήσεις συχνά αντιμετωπίζουν εμπόδια στη χρηματοδότηση από παραδοσιακά χρηματοπιστωτικά ιδρύματα, και παρέχοντας στοχευμένη χρηματοδότηση για να διασφαλιστεί ότι διαθέτουν επαρκείς πόρους για να αναπτυχθούν και να ευδοκιμήσουν· εκφράζει την ικανοποίησή του για τη συνεχή αύξηση του αριθμού των ιδρυμάτων-εταίρων και ζητεί η αύξηση αυτή να συνεχιστεί ώστε να επιτευχθεί ευρεία γεωγραφική εμβέλεια και να καλυφθεί ευρύ φάσμα τομέων· καλεί την ΕΤΕπ να αυξήσει το μερίδιο της χρηματοδότησης που προορίζεται για επενδύσεις που ενισχύουν την ανταγωνιστικότητα, ιδίως σε στρατηγικούς τομείς όπως η προηγμένη μεταποίηση, οι ψηφιακές τεχνολογίες και η ενεργειακή ανθεκτικότητα·</w:t>
      </w:r>
    </w:p>
    <w:p w:rsidR="003A091C" w:rsidRPr="00CB3B38" w:rsidP="00487673" w14:paraId="0FF8EB78" w14:textId="6E8B129C">
      <w:pPr>
        <w:pStyle w:val="NormalHanging12a"/>
        <w:ind w:left="567" w:hanging="570"/>
      </w:pPr>
      <w:r w:rsidRPr="00CB3B38">
        <w:t>23.</w:t>
      </w:r>
      <w:r w:rsidRPr="00CB3B38">
        <w:tab/>
      </w:r>
      <w:r w:rsidRPr="00CB3B38">
        <w:t xml:space="preserve">σημειώνει ότι τα πορίσματα της ειδικής έκθεσης 07/2025 του Ευρωπαϊκού Ελεγκτικού Συνεδρίου επιβεβαιώνουν τη σημασία της στήριξης του Ευρωπαϊκού Ταμείου Στρατηγικών Επενδύσεων (ΕΤΣΕ), ωστόσο επισημαίνουν επίσης ότι η </w:t>
      </w:r>
      <w:r w:rsidRPr="00CB3B38">
        <w:t>προσθετικότητά</w:t>
      </w:r>
      <w:r w:rsidRPr="00CB3B38">
        <w:t xml:space="preserve"> της δεν αποδείχθηκε επαρκώς και ότι η Επιτροπή δεν επαλήθευσε το φαινόμενο «παραγκωνισμού» του ΕΤΣΕ· τονίζει ότι οι ίδιες ανησυχίες θα μπορούσαν επίσης να εκφραστούν σχετικά με τις πράξεις της ΕΤΕπ στο πλαίσιο του InvestEU· υπογραμμίζει τους κινδύνους που ενέχει ο παραγκωνισμός των ιδιωτικών επενδύσεων, όπως η τεχνητή συμπίεση των ασφαλίστρων κινδύνου, ιδίως σε αγορές όπως οι ανανεώσιμες πηγές ενέργειας, η οποία υπονομεύει τα μηνύματα των τιμών που καθοδηγούν τις αποδοτικές επενδύσεις και θα μπορούσε να εκληφθεί ως μορφή προβολής </w:t>
      </w:r>
      <w:r w:rsidRPr="00CB3B38">
        <w:t>ψευδοοικολογικής</w:t>
      </w:r>
      <w:r w:rsidRPr="00CB3B38">
        <w:t xml:space="preserve"> ταυτότητας· ζητεί εκ των υστέρων αξιολογήσεις του παραγκωνισμού·</w:t>
      </w:r>
    </w:p>
    <w:p w:rsidR="003A091C" w:rsidRPr="00CB3B38" w:rsidP="00487673" w14:paraId="5B6E0BAC" w14:textId="26BE5336">
      <w:pPr>
        <w:pStyle w:val="NormalHanging12a"/>
        <w:ind w:left="567" w:hanging="570"/>
      </w:pPr>
      <w:r w:rsidRPr="00CB3B38">
        <w:t>24.</w:t>
      </w:r>
      <w:r w:rsidRPr="00CB3B38">
        <w:tab/>
      </w:r>
      <w:r w:rsidRPr="00CB3B38">
        <w:t>σημειώνει ότι τα δάνεια της ΕΤΕπ ενίοτε συνεπάγονται υψηλότερο διοικητικό φόρτο από ό,τι τα εμπορικά δάνεια· προειδοποιεί ότι οι υπερβολικές απαιτήσεις υποβολής στοιχείων καθιστούν τη χρηματοδότηση της ΕΤΕπ λιγότερο ελκυστική για τον ιδιωτικό τομέα και ενδέχεται να αποθαρρύνουν οικονομικά βιώσιμα έργα· καλεί την ΕΤΕπ να δημοσιεύσει σχέδια για τη μείωση των περιορισμών· καλεί την Επιτροπή και την ΕΤΕπ να αξιολογήσουν τρόπους με τους οποίους μπορεί να επιταχυνθεί ο χρόνος διάθεσης στην αγορά για τη χρηματοδότηση της ΕΤΕπ και να απλουστευθούν οι εντολές χρηματοδότησης και οι απαιτήσεις υποβολής στοιχείων χωρίς να διακυβεύονται τα πρότυπα λογιστικού ελέγχου· ζητεί από την ΕΤΕπ να υποβάλει έκθεση σχετικά με τα στοιχεία όσον αφορά το κενό της αγοράς και τα εκ των υστέρων αποτελέσματα, καθώς και σχετικά με τη διοικητική απλούστευση, τους χρόνους διεκπεραίωσης και τον φόρτο τεκμηρίωσης, λαμβανομένων υπόψη των πρωτοβουλιών του Ομίλου ΕΤΕπ για την ψηφιοποίηση και τον «Χρόνο διάθεσης στην αγορά»·</w:t>
      </w:r>
    </w:p>
    <w:p w:rsidR="003A091C" w:rsidRPr="00CB3B38" w:rsidP="003A091C" w14:paraId="27C29E5A" w14:textId="77777777">
      <w:pPr>
        <w:pStyle w:val="Normal12a"/>
      </w:pPr>
      <w:r w:rsidRPr="00CB3B38">
        <w:rPr>
          <w:b/>
          <w:i/>
        </w:rPr>
        <w:t>Τομείς πολιτικής όσον αφορά τη συνοχή, το κλίμα, την ψηφιοποίηση και την περιβαλλοντική βιωσιμότητα</w:t>
      </w:r>
    </w:p>
    <w:p w:rsidR="003A091C" w:rsidRPr="00CB3B38" w:rsidP="00487673" w14:paraId="7041A681" w14:textId="223357DC">
      <w:pPr>
        <w:pStyle w:val="NormalHanging12a"/>
        <w:ind w:left="567" w:hanging="570"/>
      </w:pPr>
      <w:r w:rsidRPr="00CB3B38">
        <w:t>25.</w:t>
      </w:r>
      <w:r w:rsidRPr="00CB3B38">
        <w:tab/>
      </w:r>
      <w:r w:rsidRPr="00CB3B38">
        <w:t>τονίζει ότι η υποβολή εκθέσεων με βάση τον όγκο των πράξεων μετρά τις εκροές και όχι τα αποτελέσματα· καλεί την ΕΤΕπ να συνεχίσει, και μάλιστα να αυξήσει, τη χρήση δεικτών με γνώμονα τα αποτελέσματα, όπως οι εκπομπές CO</w:t>
      </w:r>
      <w:r w:rsidRPr="00CB3B38">
        <w:rPr>
          <w:vertAlign w:val="subscript"/>
        </w:rPr>
        <w:t>2</w:t>
      </w:r>
      <w:r w:rsidRPr="00CB3B38">
        <w:t xml:space="preserve"> που αποφεύγονται και οι μακροπρόθεσμες θέσεις εργασίας του ιδιωτικού τομέα που δημιουργούνται ανά ευρώ που επενδύεται· τάσσεται υπέρ της αξιολόγησης έναντι συγκρίσιμων παρεμβάσεων·</w:t>
      </w:r>
    </w:p>
    <w:p w:rsidR="003A091C" w:rsidRPr="00CB3B38" w:rsidP="00487673" w14:paraId="219D8B77" w14:textId="16039337">
      <w:pPr>
        <w:pStyle w:val="NormalHanging12a"/>
        <w:ind w:left="567" w:hanging="570"/>
      </w:pPr>
      <w:r w:rsidRPr="00CB3B38">
        <w:t>26.</w:t>
      </w:r>
      <w:r w:rsidRPr="00CB3B38">
        <w:tab/>
      </w:r>
      <w:r w:rsidRPr="00CB3B38">
        <w:t>τονίζει ότι η υποβολή εκθέσεων για το κλίμα και τη βιωσιμότητα πρέπει να βασίζεται σε επαληθεύσιμες εκροές και αποτελέσματα (συμπεριλαμβανομένων των μειώσεων των εκπομπών, των οφελών όσον αφορά την ανθεκτικότητα και των αποτελεσμάτων μόχλευσης), και να υποστηρίζεται από συνεκτική μεθοδολογία χαρτοφυλακίου και ανεξάρτητη αξιολόγηση·</w:t>
      </w:r>
    </w:p>
    <w:p w:rsidR="003A091C" w:rsidRPr="00CB3B38" w:rsidP="00487673" w14:paraId="33FC1D96" w14:textId="45317934">
      <w:pPr>
        <w:pStyle w:val="NormalHanging12a"/>
        <w:ind w:left="567" w:hanging="570"/>
      </w:pPr>
      <w:r w:rsidRPr="00CB3B38">
        <w:t>27.</w:t>
      </w:r>
      <w:r w:rsidRPr="00CB3B38">
        <w:tab/>
      </w:r>
      <w:r w:rsidRPr="00CB3B38">
        <w:t>σημειώνει τα πρωτοφανή επίπεδα χρηματοδότησης του Ομίλου ΕΤΕπ για τη συνοχή, ύψους 38,3 δισ. EUR το 2024, που αντιπροσωπεύει το 48 % της συνολικής χρηματοδότησης της ΕΕ· καλεί την ΕΤΕπ να δημοσιεύει δεδομένα όσον αφορά τον αντίκτυπο ανά περιφέρεια, ώστε να καθίσταται δυνατός ο αποτελεσματικός έλεγχος·</w:t>
      </w:r>
    </w:p>
    <w:p w:rsidR="003A091C" w:rsidRPr="00CB3B38" w:rsidP="00487673" w14:paraId="6A07D6A9" w14:textId="2FF7818B">
      <w:pPr>
        <w:pStyle w:val="NormalHanging12a"/>
        <w:ind w:left="567" w:hanging="570"/>
      </w:pPr>
      <w:r w:rsidRPr="00CB3B38">
        <w:t>28.</w:t>
      </w:r>
      <w:r w:rsidRPr="00CB3B38">
        <w:tab/>
      </w:r>
      <w:r w:rsidRPr="00CB3B38">
        <w:t xml:space="preserve">καλεί την ΕΤΕπ να ενισχύσει τη διαφάνεια όσον αφορά τους οριζόντιους στόχους της, κάνοντας σαφή διάκριση μεταξύ των στόχων που ορίζονται από τους κανονισμούς της ΕΕ και εκείνων που θέτει η ίδια η ΕΤΕπ· ζητεί λεπτομερή ανάλυση του τρόπου με τον οποίο διαφορετικοί στόχοι τελούν σε ανταγωνιστική σχέση όσον αφορά την κατανομή </w:t>
      </w:r>
      <w:r w:rsidRPr="00CB3B38">
        <w:t>των πόρων· προειδοποιεί ότι η συνεχής συσσώρευση αλληλεπικαλυπτόμενων στόχων ενσωμάτωσης ενέχει τον κίνδυνο να καταστεί μαθηματικά αδύνατη η σύνθεση χαρτοφυλακίου· καλεί την ΕΤΕπ να υποβάλει εκθέσεις με διαφάνεια σχετικά με το πώς συμβιβάζονται στόχοι πολιτικής ανταγωνιστικοί μεταξύ τους· επαναλαμβάνει ότι οι στόχοι ενσωμάτωσης θα πρέπει να αξιολογούνται ως προς τον πραγματικό τους αντίκτυπο· σημειώνει ότι, δεδομένου του τρέχοντος γεωπολιτικού πλαισίου και των προκλήσεων που αντιμετωπίζει η Ευρώπη στον τομέα της ασφάλειας, θα πρέπει να ενισχυθούν οι επενδύσεις στον τομέα της άμυνας και της ασφάλειας, συμπεριλαμβανομένης της στήριξης των υποδομών για την προστασία των εξωτερικών συνόρων·</w:t>
      </w:r>
    </w:p>
    <w:p w:rsidR="003A091C" w:rsidRPr="00CB3B38" w:rsidP="00487673" w14:paraId="49C3030F" w14:textId="13C2B71D">
      <w:pPr>
        <w:pStyle w:val="NormalHanging12a"/>
        <w:ind w:left="567" w:hanging="570"/>
      </w:pPr>
      <w:r w:rsidRPr="00CB3B38">
        <w:t>29.</w:t>
      </w:r>
      <w:r w:rsidRPr="00CB3B38">
        <w:tab/>
      </w:r>
      <w:r w:rsidRPr="00CB3B38">
        <w:t xml:space="preserve">καλεί την </w:t>
      </w:r>
      <w:r w:rsidRPr="00CB3B38">
        <w:t>ΕΤΕπ</w:t>
      </w:r>
      <w:r w:rsidRPr="00CB3B38">
        <w:t xml:space="preserve"> και το </w:t>
      </w:r>
      <w:r w:rsidRPr="00CB3B38">
        <w:t>ΕΤαΕ</w:t>
      </w:r>
      <w:r w:rsidRPr="00CB3B38">
        <w:t xml:space="preserve"> να στηρίξουν επενδύσεις στην κυβερνοασφάλεια, την παρακολούθηση και τις ψηφιακές τεχνολογίες, ώστε να καταστεί η Ευρώπη πιο ανθεκτική, και παράλληλα να ενισχύσουν τους υφιστάμενους μηχανισμούς συνεργασίας και να προστατεύσουν τις βασικές υπηρεσίες·</w:t>
      </w:r>
    </w:p>
    <w:p w:rsidR="003A091C" w:rsidRPr="00CB3B38" w:rsidP="003A091C" w14:paraId="59594558" w14:textId="77777777">
      <w:pPr>
        <w:pStyle w:val="Normal12a"/>
      </w:pPr>
      <w:r w:rsidRPr="00CB3B38">
        <w:rPr>
          <w:b/>
          <w:i/>
        </w:rPr>
        <w:t xml:space="preserve">Οι δραστηριότητες της ΕΤΕπ εκτός της ΕΕ </w:t>
      </w:r>
    </w:p>
    <w:p w:rsidR="003A091C" w:rsidRPr="00CB3B38" w:rsidP="00487673" w14:paraId="50C61437" w14:textId="509C35A4">
      <w:pPr>
        <w:pStyle w:val="NormalHanging12a"/>
        <w:ind w:left="567" w:hanging="570"/>
      </w:pPr>
      <w:r w:rsidRPr="00CB3B38">
        <w:t>30.</w:t>
      </w:r>
      <w:r w:rsidRPr="00CB3B38">
        <w:tab/>
      </w:r>
      <w:r w:rsidRPr="00CB3B38">
        <w:t>επιμένει ότι το επίπεδο δανεισμού εκτός της ΕΕ πρέπει να υπόκειται σε ισχυρές διασφαλίσεις όσον αφορά τη διαφάνεια, την προστασία κατά της απάτης, τη συμμόρφωση με τις κυρώσεις, τα ανθρώπινα δικαιώματα και το κράτος δικαίου, και ότι πρέπει να λαμβάνει υπόψη τη συνεργασία για τις συμφωνίες επιστροφής και να παραμένει συνεκτικό προς τους στόχους εξωτερικής πολιτικής της ΕΕ· ζητεί ενισχυμένους εκ των προτέρων και εκ των υστέρων ελέγχους, συμπεριλαμβανομένης της ιχνηλασιμότητας των τελικών δικαιούχων, και ισχυρά μέτρα για την καταπολέμηση της διαφθοράς, μεγαλύτερη ή ισοδύναμη διαφάνεια, εκ των προτέρων εκτιμήσεις επιπτώσεων και πλήρη δημόσια λογοδοσία σε όλες τις πράξεις της ΕΤΕπ εκτός της ΕΕ·</w:t>
      </w:r>
    </w:p>
    <w:p w:rsidR="003A091C" w:rsidRPr="00CB3B38" w:rsidP="00487673" w14:paraId="5A025440" w14:textId="127C963C">
      <w:pPr>
        <w:pStyle w:val="NormalHanging12a"/>
        <w:ind w:left="567" w:hanging="570"/>
      </w:pPr>
      <w:r w:rsidRPr="00CB3B38">
        <w:t>31.</w:t>
      </w:r>
      <w:r w:rsidRPr="00CB3B38">
        <w:tab/>
      </w:r>
      <w:r w:rsidRPr="00CB3B38">
        <w:t>επικροτεί την έγκριση, το 2024, του Μέσου Διευκόλυνσης για την Ουκρανία, που ακολουθεί την πρωτοβουλία της ΕΤΕπ «Ταμείο της ΕΕ για την Ουκρανία» και θεσπίζει μηχανισμό στήριξης που βασίζεται στους πόρους του προϋπολογισμού της ΕΕ· ενθαρρύνει τα κράτη μέλη να διασφαλίσουν ότι εξακολουθεί να παρέχεται σταθερή στήριξη στη χώρα σύμφωνα με τις ανάγκες της· καλεί την ΕΤΕπ να διασφαλίσει τη διαφάνεια και την ιχνηλασιμότητα των έργων της στην Ουκρανία· τονίζει ότι είναι σημαντικό να ενισχυθεί η διοικητική και ελεγκτική ικανότητα των ουκρανικών αρχών που είναι επιφορτισμένες με την υλοποίηση, την παρακολούθηση και τον έλεγχο των χρηματοδοτούμενων δράσεων·</w:t>
      </w:r>
    </w:p>
    <w:p w:rsidR="003A091C" w:rsidRPr="00CB3B38" w:rsidP="00487673" w14:paraId="26670606" w14:textId="693E34CD">
      <w:pPr>
        <w:pStyle w:val="NormalHanging12a"/>
        <w:ind w:left="567" w:hanging="570"/>
      </w:pPr>
      <w:r w:rsidRPr="00CB3B38">
        <w:t>32.</w:t>
      </w:r>
      <w:r w:rsidRPr="00CB3B38">
        <w:tab/>
      </w:r>
      <w:r w:rsidRPr="00CB3B38">
        <w:t>σημειώνει ότι από τότε που ξεκίνησε ο επιθετικός πόλεμος της Ρωσίας, η ΕΤΕπ έχει εκταμιεύσει προς την Ουκρανία 2,3 δισ. EUR για βοήθεια έκτακτης ανάγκης και στήριξη έργων· σημειώνει ότι το άνοιγμα εκταμιευθέντων ποσών της ΕΤΕπ στην Ουκρανία καλύπτεται κυρίως από εγγυήσεις της ΕΕ στο πλαίσιο της εντολής εξωτερικής δανειοδότησης της ΕΕ</w:t>
      </w:r>
      <w:r>
        <w:rPr>
          <w:rStyle w:val="FootnoteReference"/>
        </w:rPr>
        <w:footnoteReference w:id="5"/>
      </w:r>
      <w:r w:rsidRPr="00CB3B38">
        <w:t xml:space="preserve">· επισημαίνει ότι η στήριξη της ΕΤΕπ προς τον </w:t>
      </w:r>
      <w:r w:rsidRPr="00CB3B38">
        <w:t>ιδιωτικό τομέα επέτρεψε στις ουκρανικές τράπεζες να συνεχίσουν να τροφοδοτούν με δάνεια την πραγματική οικονομία· σημειώνει ότι έως το τέλος του 2024, η ΕΤΕπ είχε χορηγήσει χρηματοοικονομικές εγγυήσεις για ανοίγματα ύψους 500,5 εκατ</w:t>
      </w:r>
      <w:r w:rsidR="009828D8">
        <w:t>ομμυρίων</w:t>
      </w:r>
      <w:r w:rsidRPr="00CB3B38">
        <w:t xml:space="preserve"> EUR, τα οποία καλύπτονταν επίσης πλήρως από εγγυήσεις της ΕΕ, σε αντισυμβαλλομένους που βρίσκονται στην Ουκρανία· παρατηρεί ότι η ΕΤΕπ διατηρεί τοπική παρουσία στην Ουκρανία και ότι τα γραφεία της στο Κίεβο έχουν σταδιακά </w:t>
      </w:r>
      <w:r w:rsidRPr="00CB3B38">
        <w:t>αναστελεχωθεί</w:t>
      </w:r>
      <w:r w:rsidRPr="00CB3B38">
        <w:t>· επαναλαμβάνει την έκκλησή του προς την ΕΤΕπ να παρέχει τακτικές και λεπτομερείς ενημερώσεις στην αρμόδια για τον προϋπολογισμό αρχή και στους σχετικούς ελεγκτικούς φορείς σχετικά με την εκταμίευση και την εκτέλεση των κονδυλίων που καλύπτονται από εγγυήσεις της ΕΕ·</w:t>
      </w:r>
    </w:p>
    <w:p w:rsidR="003A091C" w:rsidRPr="00CB3B38" w:rsidP="00487673" w14:paraId="595EE7CC" w14:textId="7E74FDEC">
      <w:pPr>
        <w:pStyle w:val="NormalHanging12a"/>
        <w:ind w:left="567" w:hanging="570"/>
      </w:pPr>
      <w:r w:rsidRPr="00CB3B38">
        <w:t>33.</w:t>
      </w:r>
      <w:r w:rsidRPr="00CB3B38">
        <w:tab/>
      </w:r>
      <w:r w:rsidRPr="00CB3B38">
        <w:t>σημειώνει ότι το 2024 ο Όμιλος ΕΤΕπ επιλέχθηκε ως ένας από τους κύριους εταίρους υλοποίησης του επενδυτικού πλαισίου για την Ουκρανία, που αποτελεί μέρος του Μέσου Διευκόλυνσης για την Ουκρανία, στο πλαίσιο του οποίου θα διατεθούν 50 δισ. EUR από την ΕΕ κατά την περίοδο 2024-2027 για τη χρηματοδότηση του ουκρανικού κρατικού προϋπολογισμού, την τόνωση των επενδύσεων και την παροχή τεχνικής υποστήριξης· σημειώνει ότι το πλαίσιο αποτελείται από εγγυήσεις και επιχορηγήσεις για ευρωπαϊκά και άλλα ιδρύματα αναπτυξιακής χρηματοδότησης και ότι τουλάχιστον 2 δισ. EUR από τη διαθέσιμη στήριξη προορίζονται για τη συνέχιση της δανειοδότησης της ΕΤΕπ προς τον δημόσιο τομέα·</w:t>
      </w:r>
    </w:p>
    <w:p w:rsidR="003A091C" w:rsidRPr="00CB3B38" w:rsidP="00487673" w14:paraId="28EF7239" w14:textId="7B3369F6">
      <w:pPr>
        <w:pStyle w:val="NormalHanging12a"/>
        <w:ind w:left="567" w:hanging="570"/>
      </w:pPr>
      <w:r w:rsidRPr="00CB3B38">
        <w:t>34.</w:t>
      </w:r>
      <w:r w:rsidRPr="00CB3B38">
        <w:tab/>
      </w:r>
      <w:r w:rsidRPr="00CB3B38">
        <w:t>υπενθυμίζει ότι η ΕΤΕπ έχει δεσμευτεί να προλαμβάνει και να αντιμετωπίζει την απάτη και τη διαφθορά κατά την υλοποίηση έργων του Ομίλου ΕΤΕπ στην Ουκρανία· επικροτεί τις ρυθμίσεις συνεργασίας της ΕΤΕπ με τις ουκρανικές αρχές για την καταπολέμηση της διαφθοράς και τη διεξαγωγή έρευνας και καλεί την ΕΤΕπ να συμπεριλάβει στην έκθεσή της προς το Κοινοβούλιο πληροφορίες σχετικά με τις διασφαλίσεις ακεραιότητας, τον μετριασμό του κινδύνου απάτης και τους μηχανισμούς ανάκαμψης για πράξεις που συνδέονται με την Ουκρανία, διασφαλίζοντας παράλληλα την επιχειρησιακή ασφάλεια και εμπιστευτικότητα· επαναλαμβάνει την έκκλησή του να διασφαλιστεί ότι η παροχή χρηματοδοτικής βοήθειας συνοδεύεται από αποτελεσματικούς μηχανισμούς εποπτείας και υποστηρίζει ότι, όσον αφορά τα έργα που λαμβάνουν στήριξη και ενίσχυση, η ΕΤΕπ θα πρέπει να μπορεί να έχει σαφή εποπτεία, ανά πάσα στιγμή και χωρίς περιορισμούς, σε όλες τις επενδύσεις της εκτός της ΕΕ·</w:t>
      </w:r>
    </w:p>
    <w:p w:rsidR="003A091C" w:rsidRPr="00CB3B38" w:rsidP="00487673" w14:paraId="04FDCAE1" w14:textId="5026CA80">
      <w:pPr>
        <w:pStyle w:val="NormalHanging12a"/>
        <w:ind w:left="567" w:hanging="570"/>
      </w:pPr>
      <w:r w:rsidRPr="00CB3B38">
        <w:t>35.</w:t>
      </w:r>
      <w:r w:rsidRPr="00CB3B38">
        <w:tab/>
      </w:r>
      <w:r w:rsidRPr="00CB3B38">
        <w:t xml:space="preserve">σημειώνει την έγκριση από το διοικητικό συμβούλιο της ΕΤΕπ του στρατηγικού χάρτη πορείας της «Η ΕΤΕπ στον κόσμο»  σημειώνει, επιπλέον, τον ρόλο της </w:t>
      </w:r>
      <w:r w:rsidRPr="00CB3B38">
        <w:t>ΕΤΕπ</w:t>
      </w:r>
      <w:r w:rsidRPr="00CB3B38">
        <w:t xml:space="preserve"> στη στρατηγική </w:t>
      </w:r>
      <w:r w:rsidRPr="00CB3B38">
        <w:t>Global</w:t>
      </w:r>
      <w:r w:rsidRPr="00CB3B38">
        <w:t xml:space="preserve"> </w:t>
      </w:r>
      <w:r w:rsidRPr="00CB3B38">
        <w:t>Gateway</w:t>
      </w:r>
      <w:r w:rsidRPr="00CB3B38">
        <w:t xml:space="preserve"> και τις εταιρικές σχέσεις της ΕΤΕπ με την «Ομάδα Ευρώπη» και εταίρους των Ηνωμένων Εθνών για την επίτευξη του μέγιστου δυνατού αντικτύπου επί τόπου· καλεί την ΕΤΕπ και τα κράτη μέλη να ενισχύσουν τον ρόλο ευρωπαϊκών αναπτυξιακών τραπεζών και άλλων διεθνών χρηματοπιστωτικών ιδρυμάτων, όσον αφορά τη συμβολή στην περαιτέρω μόχλευση δημόσιων και ιδιωτικών επενδύσεων· ζητεί από την ΕΤΕπ στα έργα της εκτός της ΕΕ να εστιάσει επίσης σε δημόσιες υπηρεσίες που είναι απολύτως αναγκαίες·</w:t>
      </w:r>
    </w:p>
    <w:p w:rsidR="003A091C" w:rsidRPr="00CB3B38" w:rsidP="00487673" w14:paraId="175CC8DF" w14:textId="4F2817D3">
      <w:pPr>
        <w:pStyle w:val="NormalHanging12a"/>
        <w:ind w:left="567" w:hanging="570"/>
      </w:pPr>
      <w:r w:rsidRPr="00CB3B38">
        <w:t>36.</w:t>
      </w:r>
      <w:r w:rsidRPr="00CB3B38">
        <w:tab/>
      </w:r>
      <w:r w:rsidRPr="00CB3B38">
        <w:t xml:space="preserve">αναγνωρίζει ότι η Ουκρανία υπερασπίζεται τον εαυτό της κατά της παράνομης επίθεσης της Ρωσίας και ότι οι προσπάθειες για την καταπολέμηση της διαφθοράς πρέπει να συνεχιστούν στον μέγιστο δυνατό βαθμό, λαμβανομένων υπόψη αυτών των έκτακτων περιστάσεων· τονίζει ότι τα ισχυρά μέτρα καταπολέμησης της απάτης και της διαφθοράς είναι απαραίτητα προκειμένου να διατηρείται η εμπιστοσύνη των φορολογουμένων και να διασφαλίζεται η συνεχής δημόσια στήριξη προς την Ουκρανία· </w:t>
      </w:r>
      <w:r w:rsidRPr="00CB3B38">
        <w:t>καλεί την ΕΤΕπ να διασφαλίσει ότι τα κονδύλια του Μέσου Διευκόλυνσης για την Ουκρανία υπόκεινται σε αυστηρά πρότυπα ελέγχου· υποστηρίζει ότι η ΕΤΕπ θα πρέπει να έχει απεριόριστη εποπτεία σε όλες τις επενδύσεις της εκτός της ΕΕ·</w:t>
      </w:r>
    </w:p>
    <w:p w:rsidR="003A091C" w:rsidRPr="00CB3B38" w:rsidP="00487673" w14:paraId="5D92D027" w14:textId="6B1992F8">
      <w:pPr>
        <w:pStyle w:val="NormalHanging12a"/>
        <w:ind w:left="567" w:hanging="570"/>
      </w:pPr>
      <w:r w:rsidRPr="00CB3B38">
        <w:t>37.</w:t>
      </w:r>
      <w:r w:rsidRPr="00CB3B38">
        <w:tab/>
      </w:r>
      <w:r w:rsidRPr="00CB3B38">
        <w:t>καλεί την ΕΤΕπ να διασφαλίσει, ιδίως για όλες τις δραστηριότητές της εκτός της ΕΕ, σε όλες τις συμφωνίες με ενδιάμεσους φορείς, ιδρύματα-εταίρους και φορείς υλοποίησης, πραγματικά δικαιώματα πρόσβασης για το Ελεγκτικό Συνέδριο, την Ευρωπαϊκή Υπηρεσία Καταπολέμησης της Απάτης (OLAF) και την Ευρωπαϊκή Εισαγγελία, καθώς και τη δυνατότητα διαδρομών ελέγχου έως το επίπεδο των τελικών αποδεκτών, όπου είναι εφικτό, σύμφωνα με τους κανόνες της Ένωσης για την προστασία των οικονομικών συμφερόντων της ΕΕ·</w:t>
      </w:r>
    </w:p>
    <w:p w:rsidR="003A091C" w:rsidRPr="00CB3B38" w:rsidP="003A091C" w14:paraId="64484A66" w14:textId="77777777">
      <w:pPr>
        <w:pStyle w:val="Normal12a"/>
      </w:pPr>
      <w:r w:rsidRPr="00CB3B38">
        <w:rPr>
          <w:b/>
          <w:i/>
        </w:rPr>
        <w:t>Δομή λογοδοσίας της ΕΤΕπ</w:t>
      </w:r>
    </w:p>
    <w:p w:rsidR="003A091C" w:rsidRPr="00CB3B38" w:rsidP="00487673" w14:paraId="445B09EA" w14:textId="7851899F">
      <w:pPr>
        <w:pStyle w:val="NormalHanging12a"/>
        <w:ind w:left="567" w:hanging="570"/>
      </w:pPr>
      <w:r w:rsidRPr="00CB3B38">
        <w:t>38.</w:t>
      </w:r>
      <w:r w:rsidRPr="00CB3B38">
        <w:tab/>
      </w:r>
      <w:r w:rsidRPr="00CB3B38">
        <w:t>σημειώνει ότι το τρέχον επίπεδο λογοδοσίας του Ομίλου ΕΤΕπ είναι το αποτέλεσμα της λειτουργίας της ΕΤΕπ υπό διττό καθεστώς, στο πλαίσιο του οποίου οι πράξεις που υποστηρίζονται από τον προϋπολογισμό της ΕΕ ελέγχονται έμμεσα από την Επιτροπή και το Ελεγκτικό Συνέδριο και από το Κοινοβούλιο στην απόφασή του για την απαλλαγή του προϋπολογισμού της ΕΕ, ενώ οι πράξεις που χρηματοδοτούνται από τους ιδίους πόρους της ΕΤΕπ και προέρχονται από τα κράτη μέλη, οι οποίες υπερβαίνουν τα τρία τέταρτα των πράξεων της ΕΤΕπ, σε μεγάλο βαθμό εκφεύγουν του συστηματικού εξωτερικού ελέγχου καθώς και του κοινοβουλευτικού ελέγχου σε εθνικό και ευρωπαϊκό επίπεδο· σημειώνει ότι η ΕΤΕπ δεν υπόκειται σε καμία εξωτερική τραπεζική εποπτεία, σε αντίθεση με την Ευρωπαϊκή Κεντρική Τράπεζα, η οποία εποπτεύεται από τον ενιαίο εποπτικό μηχανισμό·</w:t>
      </w:r>
    </w:p>
    <w:p w:rsidR="003A091C" w:rsidRPr="00CB3B38" w:rsidP="00487673" w14:paraId="73982E32" w14:textId="34E60B70">
      <w:pPr>
        <w:pStyle w:val="NormalHanging12a"/>
        <w:ind w:left="567" w:hanging="570"/>
      </w:pPr>
      <w:r w:rsidRPr="00CB3B38">
        <w:t>39.</w:t>
      </w:r>
      <w:r w:rsidRPr="00CB3B38">
        <w:tab/>
      </w:r>
      <w:r w:rsidRPr="00CB3B38">
        <w:t>παρατηρεί ότι η ΕΤΕπ διαθέτει πυκνή εσωτερική αρχιτεκτονική λογοδοσίας και ότι οι πράξεις και το λογιστικό σύστημα της ΕΤΕπ εποπτεύονται από εξωτερικό ελεγκτή· συμφωνεί ότι η δομή αυτή είναι σε γενικές γραμμές σύμφωνη με τη διεθνή πρακτική· τονίζει ότι, καθώς ο παραδοσιακός ρόλος της ΕΤΕπ επεκτείνεται με την αυξανόμενη χρήση σύνθετων χρηματοδοτικών μέσων και συνδυαστικών πράξεων, η διαφάνεια της ΕΤΕπ και η δημοσιοποίηση στοιχείων από μέρους της αμφισβητούνται συχνά, το δεοντολογικό της πλαίσιο δεν είναι το βέλτιστο, η υποβολή εκθέσεων στο Κοινοβούλιο είναι περιστασιακή, η συνεργασία με την Eυρωπαία Διαμεσολαβήτρια έχει διαφοροποιηθεί και ο ρόλος του Ελεγκτικού Συνεδρίου περιορίζεται από τους ισχύοντες κανόνες και τις ρυθμίσεις εφαρμογής· τονίζει την ανάγκη η ΕΤΕπ να αναλάβει συγκεκριμένη δράση για να αντιμετωπίσει αυτή την κατάσταση, σύμφωνα με τις προηγούμενες εκκλήσεις στα ψηφίσματα του Κοινοβουλίου και τη διαθεσιμότητα για διάλογο και συνεργασία που εξέφρασαν η αρμόδια για τον προϋπολογισμό αρχή και η αρμόδια για την απαλλαγή αρχή της ΕΕ·</w:t>
      </w:r>
    </w:p>
    <w:p w:rsidR="003A091C" w:rsidRPr="00CB3B38" w:rsidP="00487673" w14:paraId="30312C5A" w14:textId="16BEE864">
      <w:pPr>
        <w:pStyle w:val="NormalHanging12a"/>
        <w:ind w:left="567" w:hanging="570"/>
      </w:pPr>
      <w:r w:rsidRPr="00CB3B38">
        <w:t>40.</w:t>
      </w:r>
      <w:r w:rsidRPr="00CB3B38">
        <w:tab/>
      </w:r>
      <w:r w:rsidRPr="00CB3B38">
        <w:t xml:space="preserve">υπενθυμίζει τα πορίσματα της δήλωσης της Επιτροπής Επαφών (CC 1/2025), η οποία επίσημα εντόπισε κρίσιμα κενά στον εξωτερικό δημόσιο έλεγχο της ΕΤΕπ· σημειώνει ότι είναι παράδοξο το γεγονός ότι η εντολή της ΕΤΕπ και οι δημοσιονομικές εγγυήσεις της ΕΕ διευρύνονται αλλά οι ελεγκτικές εξουσίες να παραμένουν περιορισμένες· καλεί την ΕΤΕπ να εξασφαλίσει την ενεργό συμμετοχή των εθνικών ανώτατων οργάνων ελέγχου στη διαδικασία αυτή, ώστε να διασφαλιστεί η λογοδοσία για πράξεις που δεν καλύπτονται επί του παρόντος από το Ελεγκτικό Συνέδριο και να διασφαλίσει ισχυρή λογοδοσία και εποπτεία, μεταξύ άλλων μέσω της τακτικής ανταλλαγής πληροφοριών σχετικά με τους τομείς κινδύνου και τη συνέχεια που δίνεται στις συστάσεις ελέγχου· επαναλαμβάνει ότι απαιτείται τροποποίηση των Συνθηκών προκειμένου να χορηγηθεί </w:t>
      </w:r>
      <w:r w:rsidRPr="00CB3B38">
        <w:t>στο Ελεγκτικό Συνέδριο, κατά την άσκηση της εντολής του, πλήρης και απεριόριστη πρόσβαση σε όλες τις πράξεις της ΕΤΕπ, ώστε να ευθυγραμμιστεί η δημοκρατική λογοδοσία με το εξελισσόμενο οικονομικό άνοιγμα της ΕΤΕπ·</w:t>
      </w:r>
    </w:p>
    <w:p w:rsidR="003A091C" w:rsidRPr="00CB3B38" w:rsidP="00487673" w14:paraId="697F39A8" w14:textId="3ACAF251">
      <w:pPr>
        <w:pStyle w:val="NormalHanging12a"/>
        <w:ind w:left="567" w:hanging="570"/>
      </w:pPr>
      <w:r w:rsidRPr="00CB3B38">
        <w:t>41.</w:t>
      </w:r>
      <w:r w:rsidRPr="00CB3B38">
        <w:tab/>
      </w:r>
      <w:r w:rsidRPr="00CB3B38">
        <w:t xml:space="preserve">εκφράζει την ανησυχία του για την πτώχευση της </w:t>
      </w:r>
      <w:r w:rsidRPr="00CB3B38">
        <w:t>Northvolt</w:t>
      </w:r>
      <w:r w:rsidRPr="00CB3B38">
        <w:t xml:space="preserve"> AB, του κατασκευαστή συσσωρευτών που υπέβαλε αίτηση πτώχευσης στη Σουηδία στις 12 Μαρτίου 2025, αφού επωφελήθηκε από σημαντική δέσμη δανειοδοτήσεων της ΕΤΕπ ύψους ελαφρώς άνω των 942,6 εκατ</w:t>
      </w:r>
      <w:r w:rsidR="009828D8">
        <w:t>ομμυρίων</w:t>
      </w:r>
      <w:r w:rsidRPr="00CB3B38">
        <w:t xml:space="preserve"> EUR, που υπεγράφη το 2020 στο πλαίσιο της χρηματοδότησης με δανειακά κεφάλαια για την επέκταση εργοστασιακών εγκαταστάσεων πολύ μεγάλης κλίμακας· σημειώνει ότι παρόμοιοι κίνδυνοι φαίνεται να υπάρχουν με παρόμοιες επιχειρήσεις μεγάλης κλίμακας, όπως η </w:t>
      </w:r>
      <w:r w:rsidRPr="00CB3B38">
        <w:t>Stegra</w:t>
      </w:r>
      <w:r w:rsidRPr="00CB3B38">
        <w:t xml:space="preserve"> (H2 </w:t>
      </w:r>
      <w:r w:rsidRPr="00CB3B38">
        <w:t>Green</w:t>
      </w:r>
      <w:r w:rsidRPr="00CB3B38">
        <w:t xml:space="preserve"> </w:t>
      </w:r>
      <w:r w:rsidRPr="00CB3B38">
        <w:t>Steel</w:t>
      </w:r>
      <w:r w:rsidRPr="00CB3B38">
        <w:t xml:space="preserve">)· ζητεί τη δημοσιοποίηση των εκτιμήσεων κινδύνου της ΕΤΕπ και των εκτιμήσεων που διενεργήθηκαν μετά την πράξη, συμπεριλαμβανομένης της αξιολόγησης του οικονομικού ανοίγματος και της επάρκειας των δεικτών έγκαιρης προειδοποίησης, μόλις το επιτρέψουν οι εν εξελίξει διαδικασίες· ζητεί να εξεταστούν τα διδάγματα που αντλήθηκαν από την υπόθεση </w:t>
      </w:r>
      <w:r w:rsidRPr="00CB3B38">
        <w:t>Northvolt</w:t>
      </w:r>
      <w:r w:rsidRPr="00CB3B38">
        <w:t xml:space="preserve">· καλεί την Επιτροπή και το διοικητικό συμβούλιο της ΕΤΕπ να θεσπίσουν μηχανισμούς για τον έγκαιρο εντοπισμό συστημικών κινδύνων σε εμβληματικές επενδύσεις, προκειμένου να αποφευχθεί η επανάληψη παρόμοιων καταστάσεων· καλεί την ΕΤΕπ να δημοσιοποιήσει τα προφίλ εκτίμησης κινδύνου για αυτές και άλλες παρόμοιες δεσμεύσεις, μεταξύ άλλων όσον αφορά τη διακυβέρνηση, τη συγκέντρωση και τους τεχνολογικούς κινδύνους, με κατάλληλα συγκεντρωτικό τρόπο και κατά τρόπο ώστε να τηρείται η εμπιστευτικότητα· επαναλαμβάνει την έκκλησή του προς την ΕΤΕπ να παράσχει λεπτομέρειες σχετικά με τη διαδικασία αξιολόγησης και λήψης αποφάσεων που πραγματοποιήθηκε πριν από την επένδυση στη </w:t>
      </w:r>
      <w:r w:rsidRPr="00CB3B38">
        <w:t>Northvolt</w:t>
      </w:r>
      <w:r w:rsidRPr="00CB3B38">
        <w:t xml:space="preserve"> AB, και να εξηγήσει τον τρόπο με τον οποίο ένα τόσο κρίσιμο έργο απέτυχε παρά τους ισχυρισμούς της ΕΤΕπ ότι διενεργεί επαρκή και συνεχή παρακολούθηση των δικαιούχων της χρηματοδοτικής της στήριξης·</w:t>
      </w:r>
    </w:p>
    <w:p w:rsidR="003A091C" w:rsidRPr="00CB3B38" w:rsidP="00487673" w14:paraId="50D3CE60" w14:textId="15997284">
      <w:pPr>
        <w:pStyle w:val="NormalHanging12a"/>
        <w:ind w:left="567" w:hanging="570"/>
      </w:pPr>
      <w:r w:rsidRPr="00CB3B38">
        <w:t>42.</w:t>
      </w:r>
      <w:r w:rsidRPr="00CB3B38">
        <w:tab/>
      </w:r>
      <w:r w:rsidRPr="00CB3B38">
        <w:t>καλεί την ΕΤΕπ να θεσπίσει ενισχυμένα όρια προσομοίωσης ακραίων καταστάσεων και συγκέντρωσης κινδύνων για μεγάλα στρατηγικά έργα και να υποβάλει έκθεση στο Κοινοβούλιο σχετικά με τη συνολική έκθεση σε μεμονωμένους δανειολήπτες υψηλού κινδύνου·</w:t>
      </w:r>
    </w:p>
    <w:p w:rsidR="003A091C" w:rsidRPr="00CB3B38" w:rsidP="00487673" w14:paraId="68A12BBD" w14:textId="6E3C2D0E">
      <w:pPr>
        <w:pStyle w:val="NormalHanging12a"/>
        <w:ind w:left="567" w:hanging="570"/>
      </w:pPr>
      <w:r w:rsidRPr="00CB3B38">
        <w:t>43.</w:t>
      </w:r>
      <w:r w:rsidRPr="00CB3B38">
        <w:tab/>
      </w:r>
      <w:r w:rsidRPr="00CB3B38">
        <w:t>καλεί την ΕΤΕπ να αξιολογεί συστηματικά και να υποβάλλει δημοσίως εκθέσεις σχετικά με τις καθυστερήσεις πληρωμών και τις πτωχεύσεις δικαιούχων σε ολόκληρο το χαρτοφυλάκιο δανειοδοτήσεών της· επιμένει ότι η εν λόγω αξιολόγηση θα πρέπει να περιλαμβάνει ανάλυση των βαθύτερων αιτίων για τον προσδιορισμό του κατά πόσον οι αστοχίες απορρέουν από ανεπαρκή δέουσα επιμέλεια, εξωτερικούς κλυδωνισμούς ή συστημικά ζητήματα στις μεθοδολογίες επιλογής έργων· τονίζει ότι η διαφανής υποβολή εκθέσεων είναι απαραίτητη για να αξιολογείται η σχέση κόστους-ωφέλειας και να διατηρείται η εμπιστοσύνη των φορολογουμένων·</w:t>
      </w:r>
    </w:p>
    <w:p w:rsidR="003A091C" w:rsidRPr="00CB3B38" w:rsidP="00487673" w14:paraId="0A17DCF6" w14:textId="25B36526">
      <w:pPr>
        <w:pStyle w:val="NormalHanging12a"/>
        <w:ind w:left="567" w:hanging="570"/>
      </w:pPr>
      <w:r w:rsidRPr="00CB3B38">
        <w:t>44.</w:t>
      </w:r>
      <w:r w:rsidRPr="00CB3B38">
        <w:tab/>
      </w:r>
      <w:r w:rsidRPr="00CB3B38">
        <w:t xml:space="preserve">επιμένει κατηγορηματικά στην ανάγκη να ενισχυθεί η πρόληψη των συγκρούσεων συμφερόντων λαμβανομένων υπόψη των πρόσφατων υποθέσεων μεταπήδησης στον ιδιωτικό τομέα και των συστάσεων της Ευρωπαίας Διαμεσολαβήτριας· ζητεί την αναθεώρηση του κώδικα δεοντολογίας με σκοπό την επιβολή αυστηρότερων περιόδων αναμονής για τους αντιπροέδρους της ΕΤΕπ, την ενδυνάμωση της επιτροπής δεοντολογίας και συμμόρφωσης για την επιβολή μέτρων μετριασμού των κινδύνων και τη θέσπιση σαφέστερων κανόνων για τη συμμετοχή των αντιπροέδρων της ΕΤΕπ σε αποφάσεις που αφορούν τις χώρες καταγωγής τους· υπογραμμίζει τις πρόσφατα δημοσιευμένες πληροφορίες, σύμφωνα με τις οποίες από το 2019 έχουν εντοπιστεί </w:t>
      </w:r>
      <w:r w:rsidRPr="00CB3B38">
        <w:t>πέντε περιπτώσεις πρώην μελών των οργάνων λήψης αποφάσεων της ΕΤΕπ που φέρονται να εμπλέκονται σε υποθέσεις μεταπήδησης στον ιδιωτικό τομέα, συμπεριλαμβανομένης μιας περίπτωσης στην οποία ένας αντιπρόεδρος της ΕΤΕπ διορίστηκε μέλος του διοικητικού συμβουλίου οντότητας για την οποία είχε υπογράψει δάνειο της ΕΤΕπ· σημειώνει ότι η περίοδος αναμονής έχει παραταθεί σε 24 μήνες· υπενθυμίζει ότι τα μέλη της διευθύνουσας επιτροπής καλούνται να ενημερώνουν την επιτροπή δεοντολογίας και συμμόρφωσης και να ζητήσουν έγκριση για τυχόν διαπραγματεύσεις σχετικά με τη μελλοντική τους απασχόληση· συμμερίζεται την άποψη της Ευρωπαίας Διαμεσολαβήτριας ότι θα πρέπει να ενισχυθεί ο ρόλος της επιτροπής δεοντολογίας και συμμόρφωσης της ΕΤΕπ· υπενθυμίζει ότι τα μέτρα μετριασμού, όπως η οριοθέτηση και οι περίοδοι αναμονής, θα πρέπει να θεωρούνται αδιαμφισβήτητα·</w:t>
      </w:r>
    </w:p>
    <w:p w:rsidR="003A091C" w:rsidRPr="00CB3B38" w:rsidP="00487673" w14:paraId="5084810A" w14:textId="6BDD5930">
      <w:pPr>
        <w:pStyle w:val="NormalHanging12a"/>
        <w:ind w:left="567" w:hanging="570"/>
      </w:pPr>
      <w:r w:rsidRPr="00CB3B38">
        <w:t>45.</w:t>
      </w:r>
      <w:r w:rsidRPr="00CB3B38">
        <w:tab/>
      </w:r>
      <w:r w:rsidRPr="00CB3B38">
        <w:t xml:space="preserve">σημειώνει με ανησυχία την ύπαρξη εσωτερικού ελέγχου της ΕΤΕπ που διέρρευσε, ο οποίος επισημαίνει ότι οι διατάξεις περί σύγκρουσης συμφερόντων «χρειάζονται σημαντική βελτίωση», συμπεριλαμβανομένης της μη κάλυψης προφανών και δυνητικών συγκρούσεων· τονίζει ότι οι δηλώσεις συμφερόντων των διοικητικών και ελεγκτικών οργάνων της </w:t>
      </w:r>
      <w:r w:rsidRPr="00CB3B38">
        <w:t>ΕΤΕπ</w:t>
      </w:r>
      <w:r w:rsidRPr="00CB3B38">
        <w:t xml:space="preserve"> και του </w:t>
      </w:r>
      <w:r w:rsidRPr="00CB3B38">
        <w:t>ΕΤαΕ</w:t>
      </w:r>
      <w:r w:rsidRPr="00CB3B38">
        <w:t xml:space="preserve"> δεν ευθυγραμμίζονται με άλλες πολυμερείς αναπτυξιακές τράπεζες ανάπτυξης και την Ευρωπαϊκή Κεντρική Τράπεζα και πρέπει να διορθωθούν χωρίς καθυστέρηση· υπογραμμίζει την έλλειψη αρμοδιότητας, ανεξαρτησίας και πεδίου των λειτουργιών δεοντολογικής συμμόρφωσης της </w:t>
      </w:r>
      <w:r w:rsidRPr="00CB3B38">
        <w:t>ΕΤΕπ</w:t>
      </w:r>
      <w:r w:rsidRPr="00CB3B38">
        <w:t xml:space="preserve"> και του </w:t>
      </w:r>
      <w:r w:rsidRPr="00CB3B38">
        <w:t>ΕΤαΕ</w:t>
      </w:r>
      <w:r w:rsidRPr="00CB3B38">
        <w:t>, καθώς και τους κινδύνους που ενέχουν οι σύνθετες γραμμές αναφοράς που αποκαλύπτουν ευαίσθητα προσωπικά δεδομένα· παροτρύνει την ΕΤΕπ να ευθυγραμμίσει τους κανόνες της με το δίκτυο δεοντολογίας των πολυμερών οργανισμών (ENMO) και να υποβάλει έκθεση σχετικά με τις δράσεις με τις οποίες δόθηκε συνέχεια·</w:t>
      </w:r>
    </w:p>
    <w:p w:rsidR="003A091C" w:rsidRPr="00CB3B38" w:rsidP="00487673" w14:paraId="065734E7" w14:textId="0434779C">
      <w:pPr>
        <w:pStyle w:val="NormalHanging12a"/>
        <w:ind w:left="567" w:hanging="570"/>
      </w:pPr>
      <w:r w:rsidRPr="00CB3B38">
        <w:t>46.</w:t>
      </w:r>
      <w:r w:rsidRPr="00CB3B38">
        <w:tab/>
      </w:r>
      <w:r w:rsidRPr="00CB3B38">
        <w:t>γνωρίζει ότι ο κανονισμός (ΕΚ) αριθ. 1049/2001</w:t>
      </w:r>
      <w:r>
        <w:rPr>
          <w:rStyle w:val="FootnoteReference"/>
        </w:rPr>
        <w:footnoteReference w:id="6"/>
      </w:r>
      <w:r w:rsidRPr="00CB3B38">
        <w:t xml:space="preserve"> δεν ισχύει επίσημα για την ΕΤΕπ και ότι η πολιτική διαφάνειας της ΕΤΕπ, η οποία βασίζεται στο «τεκμήριο γνωστοποίησης», έχει σχεδιαστεί ώστε να λειτουργεί χωριστά από τον εν λόγω κανονισμό, αλλά με τρόπο ώστε να συνάδει με αυτόν· καλεί την ΕΤΕπ, στο πλαίσιο της επανεξέτασης της πολιτικής διαφάνειας του 2026, να περιορίσει τις εξαιρέσεις από το «τεκμήριο γνωστοποίησης» σε απολύτως αναγκαίες και αιτιολογημένες περιπτώσεις· καλεί την ΕΤΕπ να δημοσιοποιεί λεπτομερέστερα πρακτικά των συνεδριάσεων του διοικητικού συμβουλίου της, συμπεριλαμβανομένων των πρακτικών ψηφοφορίας και των ειδικών αιτιολογήσεων των έργων, τηρώντας τη θεμιτή εμπιστευτικότητα όταν είναι αναγκαίο·</w:t>
      </w:r>
    </w:p>
    <w:p w:rsidR="003A091C" w:rsidRPr="00CB3B38" w:rsidP="00487673" w14:paraId="5A953458" w14:textId="681EE498">
      <w:pPr>
        <w:pStyle w:val="NormalHanging12a"/>
        <w:ind w:left="567" w:hanging="570"/>
      </w:pPr>
      <w:r w:rsidRPr="00CB3B38">
        <w:t>47.</w:t>
      </w:r>
      <w:r w:rsidRPr="00CB3B38">
        <w:tab/>
      </w:r>
      <w:r w:rsidRPr="00CB3B38">
        <w:t xml:space="preserve">σημειώνει τον αυξανόμενο αριθμό υποθέσεων που διεκπεραιώνει ο μηχανισμός καταγγελιών της ΕΤΕπ (113 υποθέσεις το 2024, 104 το 2023 και 97 το 2022)· τονίζει ότι ο μηχανισμός καταγγελιών παραμένει μια </w:t>
      </w:r>
      <w:r w:rsidRPr="00CB3B38">
        <w:t>αυτοαναφορική</w:t>
      </w:r>
      <w:r w:rsidRPr="00CB3B38">
        <w:t xml:space="preserve"> διαδικασία επίλυσης διαφορών πλήρως ενσωματωμένη στη δομή της Τράπεζας, εις βάρος της ανεξαρτησίας της, τα πορίσματα της οποίας υπόκεινται σε επανεξέταση και έγκριση από τις ίδιες δομές διαχείρισης που υποτίθεται ότι ελέγχει· σημειώνει ότι οι διορισμοί πραγματοποιούνται εσωτερικά χωρίς εξωτερική εποπτεία· εκφράζει τη λύπη του για το γεγονός ότι δεν υποβάλλει αναφορές για μεμονωμένες περιπτώσεις στο διοικητικό </w:t>
      </w:r>
      <w:r w:rsidRPr="00CB3B38">
        <w:t>συμβούλιο, αλλά μόνο συγκεντρωτικές περιλήψεις σε εξαμηνιαίες εκθέσεις· καλεί την ΕΤΕπ να προβεί σε μεταρρύθμιση του μηχανισμού καταγγελιών για να διασφαλίσει πραγματική ανεξαρτησία και εξωτερική λογοδοσία·</w:t>
      </w:r>
    </w:p>
    <w:p w:rsidR="003A091C" w:rsidRPr="00CB3B38" w:rsidP="00487673" w14:paraId="2905F72D" w14:textId="009B7D34">
      <w:pPr>
        <w:pStyle w:val="NormalHanging12a"/>
        <w:ind w:left="567" w:hanging="570"/>
      </w:pPr>
      <w:r w:rsidRPr="00CB3B38">
        <w:t>48.</w:t>
      </w:r>
      <w:r w:rsidRPr="00CB3B38">
        <w:tab/>
      </w:r>
      <w:r w:rsidRPr="00CB3B38">
        <w:t>σημειώνει τον αυξημένο φόρτο εργασίας του τμήματος ερευνών (IG/IN) το 2024 (244 νέοι ισχυρισμοί, από τους οποίους 49 παραπέμφθηκαν στην OLAF και την Ευρωπαϊκή Εισαγγελία)· εκφράζει τη λύπη του για το γεγονός ότι η ετήσια έκθεση του τμήματος IG/IN εξακολουθεί να μην περιλαμβάνει επαρκείς πληροφορίες σχετικά με το οικονομικό μέγεθος, τα επηρεαζόμενα κονδύλια και εντολές, τους τύπους έργων, τα μέτρα μετριασμού και τα ενδιαφερόμενα κράτη μέλη· καλεί εκ νέου τον Γενικό Επιθεωρητή της ΕΤΕπ και τον προϊστάμενο του τμήματος IG/IN να βελτιώσουν την ποιότητα των δεδομένων και να συνεργαστούν με το Κοινοβούλιο ώστε να συμβάλουν πιο αποτελεσματικά στην προστασία των οικονομικών συμφερόντων που διακυβεύονται, επιδιώκοντας την κατάλληλη ισορροπία μεταξύ διαφάνειας και εμπιστευτικότητας· τονίζει ότι η εν λόγω υποβολή εκθέσεων θα πρέπει να περιλαμβάνει ανάλυση των βαθύτερων αιτίων για τον προσδιορισμό του κατά πόσον οι αστοχίες απορρέουν από ανεπαρκή δέουσα επιμέλεια, εξωτερικούς παράγοντες ή συστημικά ζητήματα κατά την επιλογή έργων·</w:t>
      </w:r>
    </w:p>
    <w:p w:rsidR="003A091C" w:rsidRPr="00CB3B38" w:rsidP="00487673" w14:paraId="64E83FB4" w14:textId="20308643">
      <w:pPr>
        <w:pStyle w:val="NormalHanging12a"/>
        <w:ind w:left="567" w:hanging="570"/>
      </w:pPr>
      <w:r w:rsidRPr="00CB3B38">
        <w:t>49.</w:t>
      </w:r>
      <w:r w:rsidRPr="00CB3B38">
        <w:tab/>
      </w:r>
      <w:r w:rsidRPr="00CB3B38">
        <w:t>εκφράζει την ικανοποίησή του για τη συνεργασία του Ομίλου ΕΤΕπ με την OLAF, την Ευρωπαϊκή Εισαγγελία και την Ευρωπόλ, και σημειώνει τις αναφερθείσες 29 παραπομπές στην OLAF και 20 παραπομπές στην Ευρωπαϊκή Εισαγγελία το 2024· εκφράζει την ικανοποίησή του για το ενδιαφέρον της ΕΤΕπ να αποκτήσει πρόσβαση στο εργαλείο βαθμολόγησης κινδύνων ARACHNE της Επιτροπής· καλεί την Επιτροπή να διευκολύνει την πρόσβαση στο εν λόγω εργαλείο χωρίς καθυστέρηση, προκειμένου να ενισχυθεί ο εντοπισμός και η πρόληψη της απάτης σε όλες τις πράξεις της ΕΤΕπ·</w:t>
      </w:r>
    </w:p>
    <w:p w:rsidR="003A091C" w:rsidRPr="00CB3B38" w:rsidP="00487673" w14:paraId="3CE0CBBC" w14:textId="48E54FBB">
      <w:pPr>
        <w:pStyle w:val="NormalHanging12a"/>
        <w:ind w:left="567" w:hanging="570"/>
      </w:pPr>
      <w:r w:rsidRPr="00CB3B38">
        <w:t>50.</w:t>
      </w:r>
      <w:r w:rsidRPr="00CB3B38">
        <w:tab/>
      </w:r>
      <w:r w:rsidRPr="00CB3B38">
        <w:t>σημειώνει με ανησυχία ότι το αυτόνομο σύστημα αποκλεισμού της ΕΤΕπ και το σύστημα έγκαιρου εντοπισμού και αποκλεισμού της Επιτροπής (EDES) δεν είναι πλήρως ισοδύναμα και δεν λειτουργούν με αυτόματη αμοιβαιότητα· καλεί την ΕΤΕπ να ευθυγραμμίσει πλήρως την πολιτική αποκλεισμού της με το σύστημα έγκαιρου εντοπισμού και αποκλεισμού της Επιτροπής όσον αφορά τα πρότυπα λήψης αποφάσεων, τα αποτελέσματα και τα διορθωτικά μέτρα, συμπεριλαμβανομένης της συστηματικής διασταυρούμενης αναγνώρισης των αποφάσεων αποκλεισμού, όπου αυτό είναι νομικά εφικτό· επαναλαμβάνει την έκκλησή του προς τον Όμιλο ΕΤΕπ και την Επιτροπή να συνεργαστούν για τον εντοπισμό των πιθανών κενών και να προτείνουν διορθωτικά μέτρα, συμπεριλαμβανομένης μιας ταχείας διαδικασίας για την επιβολή των αποφάσεων αποκλεισμού της ΕΤΕπ μέσω του συστήματος έγκαιρου εντοπισμού και αποκλεισμού·</w:t>
      </w:r>
    </w:p>
    <w:p w:rsidR="003A091C" w:rsidRPr="00CB3B38" w:rsidP="00487673" w14:paraId="16F4C1FE" w14:textId="4FD2110F">
      <w:pPr>
        <w:pStyle w:val="NormalHanging12a"/>
        <w:ind w:left="567" w:hanging="570"/>
      </w:pPr>
      <w:r w:rsidRPr="00CB3B38">
        <w:t>51.</w:t>
      </w:r>
      <w:r w:rsidRPr="00CB3B38">
        <w:tab/>
      </w:r>
      <w:r w:rsidRPr="00CB3B38">
        <w:t>εκφράζει την ικανοποίησή του για το πρόγραμμα της ΕΤΕπ για τη συμμόρφωση με τις κυρώσεις και ζητεί την τακτική υποβολή εκθέσεων σχετικά με τους ελέγχους των κυρώσεων και τις διασφαλίσεις κατά της καταστρατήγησης στις πράξεις που χρηματοδοτούνται από την ΕΤΕπ· καλεί τον Όμιλο ΕΤΕπ να βελτιώσει τις διαδικασίες ελέγχου για επενδύσεις ιδίων κεφαλαίων που πραγματοποιούνται μέσω ενδιάμεσων χρηματοπιστωτικών οργανισμών, συμπεριλαμβανομένων κεφαλαίων επιχειρηματικών συμμετοχών·</w:t>
      </w:r>
    </w:p>
    <w:p w:rsidR="003A091C" w:rsidRPr="00CB3B38" w:rsidP="00487673" w14:paraId="46C2E6D1" w14:textId="39215BF8">
      <w:pPr>
        <w:pStyle w:val="NormalHanging12a"/>
        <w:ind w:left="567" w:hanging="570"/>
      </w:pPr>
      <w:r w:rsidRPr="00CB3B38">
        <w:t>52.</w:t>
      </w:r>
      <w:r w:rsidRPr="00CB3B38">
        <w:tab/>
      </w:r>
      <w:r w:rsidRPr="00CB3B38">
        <w:t xml:space="preserve">σημειώνει ότι στις 10 Ιουνίου 2024, η ΕΤΕπ δημοσίευσε το παράρτημα XII των κανόνων για το προσωπικό, με τίτλο «Πλαίσιο για την αναγνώριση των συνδικαλιστικών οργανώσεων στην Ευρωπαϊκή Τράπεζα Επενδύσεων»· σημειώνει τις </w:t>
      </w:r>
      <w:r w:rsidRPr="00CB3B38">
        <w:t>συνεχιζόμενες προσπάθειες της ΕΤΕπ όσον αφορά την ευεξία του προσωπικού, συμπεριλαμβανομένης της ψυχικής υγείας, και τις ίσες ευκαιρίες· καλεί την ΕΤΕπ να ενισχύσει τις πολιτικές για την πολυμορφία και την ένταξη, συμπεριλαμβανομένων μέτρων για την ένταξη των ατόμων με αναπηρία και τις ίσες ευκαιρίες· υπενθυμίζει τη σημασία της δίκαιης γεωγραφικής εκπροσώπησης και της ισόρροπης εκπροσώπησης των φύλων σε θέσεις πρόσληψης και διευθυντικές θέσεις και ταυτόχρονα επαναβεβαιώνει ότι η αξιοκρατική επιλογή θα πρέπει να αποτελεί το πρωταρχικό κριτήριο, και ζητεί από την ΕΤΕπ να υποβάλει έκθεση σχετικά με τη γεωγραφική εκπροσώπηση και την εκπροσώπηση των φύλων σε όλα τα επίπεδα·</w:t>
      </w:r>
    </w:p>
    <w:p w:rsidR="003A091C" w:rsidRPr="00CB3B38" w:rsidP="00487673" w14:paraId="3E1DCCF2" w14:textId="19BB1500">
      <w:pPr>
        <w:pStyle w:val="NormalHanging12a"/>
        <w:ind w:left="567" w:hanging="570"/>
      </w:pPr>
      <w:r w:rsidRPr="00CB3B38">
        <w:t>53.</w:t>
      </w:r>
      <w:r w:rsidRPr="00CB3B38">
        <w:tab/>
      </w:r>
      <w:r w:rsidRPr="00CB3B38">
        <w:t>υπενθυμίζει τη σημασία που έχουν η προστασία των πληροφοριοδοτών δημοσίου συμφέροντος και τα ισχυρά πλαίσια για την καταπολέμηση της διαφθοράς·</w:t>
      </w:r>
    </w:p>
    <w:p w:rsidR="003A091C" w:rsidRPr="00CB3B38" w:rsidP="003A091C" w14:paraId="184C44C5" w14:textId="77777777">
      <w:pPr>
        <w:pStyle w:val="Normal12a"/>
      </w:pPr>
      <w:r w:rsidRPr="00CB3B38">
        <w:rPr>
          <w:b/>
          <w:i/>
        </w:rPr>
        <w:t>Διαφάνεια, έλεγχος και εποπτεία</w:t>
      </w:r>
    </w:p>
    <w:p w:rsidR="003A091C" w:rsidRPr="00CB3B38" w:rsidP="00487673" w14:paraId="40F6FFC6" w14:textId="5135D862">
      <w:pPr>
        <w:pStyle w:val="NormalHanging12a"/>
        <w:ind w:left="567" w:hanging="570"/>
      </w:pPr>
      <w:r w:rsidRPr="00CB3B38">
        <w:t>54.</w:t>
      </w:r>
      <w:r w:rsidRPr="00CB3B38">
        <w:tab/>
      </w:r>
      <w:r w:rsidRPr="00CB3B38">
        <w:t>αναγνωρίζει ότι τα βασικά σχετικά ελεγκτικά καθήκοντα ανατίθενται στην ελεγκτική επιτροπή της ΕΤΕπ· πιστεύει ότι η συμμετοχή ειδικευμένων εξωτερικών εκπροσώπων σε συγκεκριμένες εργασίες της ελεγκτικής επιτροπής θα μπορούσε να ενισχύσει την αντικειμενικότητα των αναλύσεων της·</w:t>
      </w:r>
    </w:p>
    <w:p w:rsidR="003A091C" w:rsidRPr="00CB3B38" w:rsidP="00487673" w14:paraId="5EBF3056" w14:textId="54C2D36D">
      <w:pPr>
        <w:pStyle w:val="NormalHanging12a"/>
        <w:ind w:left="567" w:hanging="570"/>
      </w:pPr>
      <w:r w:rsidRPr="00CB3B38">
        <w:t>55.</w:t>
      </w:r>
      <w:r w:rsidRPr="00CB3B38">
        <w:tab/>
      </w:r>
      <w:r w:rsidRPr="00CB3B38">
        <w:t>σημειώνει ότι η διαφάνεια και η πρόσβαση σε πληροφορίες έχουν βελτιωθεί τα τελευταία χρόνια, όπως οι προσπάθειες για τη βελτίωση της τεκμηρίωσης της λήψης αποφάσεων, συμπεριλαμβανομένης της ένδειξης των απαιτούμενων πλειοψηφιών, κατά περίπτωση· παρατηρεί ότι οι γνωστοποιήσεις σε επίπεδο έργου και η ιχνηλασιμότητα παραμένουν άνισες, ιδίως για πράξεις στις οποίες συμμετέχουν ενδιάμεσοι χρηματοπιστωτικοί οργανισμοί και σύνθετες δομές εγγυήσεων· καλεί την ΕΤΕπ να ευθυγραμμίσει καλύτερα τους εσωτερικούς δείκτες της με τα πρότυπα βιωσιμότητας σε επίπεδο ΕΕ (για παράδειγμα, καλύπτοντας την απόκλιση μεταξύ του δείκτη δράσης για το κλίμα της ΕΤΕπ και του δείκτη πράσινων στοιχείων ενεργητικού της ΕΕ)| υπενθυμίζει ότι η επαρκής υποβολή εκθέσεων αποτελεί απαραίτητη προϋπόθεση για τη διαφάνεια και εκφράζει τη λύπη του για το γεγονός ότι η υποβολή εκθέσεων στο Κοινοβούλιο βασίζεται σε εθελοντικές και περιστασιακές εμφανίσεις της Προέδρου της ΕΤΕπ, είτε στην Ολομέλεια είτε σε συνεδρίαση με την επιτροπή με τις σχετικές τομεακές αρμοδιότητες·</w:t>
      </w:r>
    </w:p>
    <w:p w:rsidR="003A091C" w:rsidRPr="00CB3B38" w:rsidP="00487673" w14:paraId="67AE322D" w14:textId="5D926894">
      <w:pPr>
        <w:pStyle w:val="NormalHanging12a"/>
        <w:ind w:left="567" w:hanging="570"/>
      </w:pPr>
      <w:r w:rsidRPr="00CB3B38">
        <w:t>56.</w:t>
      </w:r>
      <w:r w:rsidRPr="00CB3B38">
        <w:tab/>
      </w:r>
      <w:r w:rsidRPr="00CB3B38">
        <w:t>σημειώνει τα συμπεράσματα που συνάγονται από τον δείκτη διαφάνειας των ιδρυμάτων αναπτυξιακής χρηματοδότησης για το 2025, τα οποία καταδεικνύουν ότι η ΕΤΕπ βαθμολογείται χαμηλότερα από τις ομότιμες πολυμερείς τράπεζες ανάπτυξης, όπως η Παγκόσμια Τράπεζα, η Ασιατική Τράπεζα Ανάπτυξης και η Αφρικανική Τράπεζα Ανάπτυξης, όσον αφορά τους συνολικούς δείκτες διαφάνειας· αναγνωρίζει, ωστόσο, τα σημαντικά πλεονεκτήματα της ΕΤΕπ που προσδιορίστηκαν στην έκθεση του Νοεμβρίου του 2025 «</w:t>
      </w:r>
      <w:r w:rsidRPr="00CB3B38">
        <w:t>Behind</w:t>
      </w:r>
      <w:r w:rsidRPr="00CB3B38">
        <w:t xml:space="preserve"> the </w:t>
      </w:r>
      <w:r w:rsidRPr="00CB3B38">
        <w:t>Billions</w:t>
      </w:r>
      <w:r w:rsidRPr="00CB3B38">
        <w:t>» (Πίσω από τα εκατομμύρια)</w:t>
      </w:r>
      <w:r>
        <w:rPr>
          <w:rStyle w:val="FootnoteReference"/>
        </w:rPr>
        <w:footnoteReference w:id="7"/>
      </w:r>
      <w:r w:rsidRPr="00CB3B38">
        <w:t xml:space="preserve">, η οποία χαρακτηρίζει τη δημοσιοποίηση των στοιχείων της ΕΤΕπ ως «ορθή πρακτική» για την παροχή σχεδόν πλήρους ιχνηλασιμότητας της χρηματοδότησής της για το κλίμα· τονίζει ότι η ΕΤΕπ θα πρέπει τώρα να αξιοποιήσει την αποδεδειγμένη ηγετική της θέση όσον αφορά την κάλυψη δεδομένων, ώστε να παράσχει τα αναλυτικά δεδομένα αντικτύπου </w:t>
      </w:r>
      <w:r w:rsidRPr="00CB3B38">
        <w:t>και τις τυποποιημένες μεθοδολογίες που απαιτούνται για την επαλήθευση της αποτελεσματικότητας και της σχέσης κόστους-ωφέλειας των επενδύσεών της·</w:t>
      </w:r>
    </w:p>
    <w:p w:rsidR="003A091C" w:rsidRPr="00CB3B38" w:rsidP="00487673" w14:paraId="20C7C782" w14:textId="2B5E593E">
      <w:pPr>
        <w:pStyle w:val="NormalHanging12a"/>
        <w:ind w:left="567" w:hanging="570"/>
      </w:pPr>
      <w:r w:rsidRPr="00CB3B38">
        <w:t>57.</w:t>
      </w:r>
      <w:r w:rsidRPr="00CB3B38">
        <w:tab/>
      </w:r>
      <w:r w:rsidRPr="00CB3B38">
        <w:t>γνωρίζει ότι τα δάνεια της ΕΤΕπ δεν υπόκεινται στις ίδιες υποχρεώσεις ορατότητας όπως οι επιχορηγήσεις· ζητεί, ωστόσο, από την ΕΤΕπ να διασφαλίσει ότι τα ισχύοντα συμβατικά και νομικά πλαίσια προβλέπουν διαφάνεια σε όλα τα έργα που χρηματοδοτούνται με τη στήριξη της ΕΤΕπ, καθώς και σαφή επισήμανση ότι χρηματοδοτούνται με τη στήριξη των πολιτών των κρατών μελών της ΕΕ, ώστε να ενισχυθεί η ευαισθητοποίηση του κοινού σχετικά με τα απτά οφέλη που αποφέρουν οι επενδύσεις της ΕΕ και να ενισχυθεί η εμπιστοσύνη των φορολογουμένων όσον αφορά τη χρήση των δημόσιων πόρων·</w:t>
      </w:r>
    </w:p>
    <w:p w:rsidR="003A091C" w:rsidRPr="00CB3B38" w:rsidP="00487673" w14:paraId="2B3D93EE" w14:textId="0BAA9D39">
      <w:pPr>
        <w:pStyle w:val="NormalHanging12a"/>
        <w:ind w:left="567" w:hanging="570"/>
      </w:pPr>
      <w:r w:rsidRPr="00CB3B38">
        <w:t>58.</w:t>
      </w:r>
      <w:r w:rsidRPr="00CB3B38">
        <w:tab/>
      </w:r>
      <w:r w:rsidRPr="00CB3B38">
        <w:t>επαναλαμβάνει τις παρατηρήσεις του σχετικά με τη σημασία της πλήρους εφαρμογής μιας πολιτικής για τη φορολογική απάτη, τη φοροδιαφυγή και τη φοροαποφυγή· επιδοκιμάζει τη δοκιμή ενός νέου εργαλείου αξιολόγησης κινδύνων για τη φορολογική ακεραιότητα το 2024 με σκοπό την αξιολόγηση των φορολογικών κινδύνων σε έργα και προσβλέπει στην αξιολόγηση της εφαρμογής σε επίπεδο ομίλου το 2025· απευθύνει εκ νέου έκκληση προς την ΕΤΕπ να απέχει από τη χρηματοδότηση δικαιούχων ή ενδιάμεσων χρηματοπιστωτικών οργανισμών που έχει διαπιστωθεί ότι εμπλέκονται ή διατρέχουν υψηλό κίνδυνο να εμπλακούν σε φορολογικές αθέμιτες πρακτικές και υπογραμμίζει ότι η διπλή φορολόγηση των διασυνοριακών επενδύσεων, καθώς και τα σύνθετα φορολογικά περιβάλλοντα, περιορίζουν τις επενδύσεις·</w:t>
      </w:r>
    </w:p>
    <w:p w:rsidR="003A091C" w:rsidRPr="00CB3B38" w:rsidP="00487673" w14:paraId="7460D2CC" w14:textId="373F1F90">
      <w:pPr>
        <w:pStyle w:val="NormalHanging12a"/>
        <w:ind w:left="567" w:hanging="570"/>
      </w:pPr>
      <w:r w:rsidRPr="00CB3B38">
        <w:t>59.</w:t>
      </w:r>
      <w:r w:rsidRPr="00CB3B38">
        <w:tab/>
      </w:r>
      <w:r w:rsidRPr="00CB3B38">
        <w:t>εκφράζει τη λύπη του για την καθυστέρηση της ΕΤΕπ να δώσει συνέχεια στην ετήσια έκθεση του Κοινοβουλίου σχετικά με τον έλεγχο των οικονομικών δραστηριοτήτων της για το έτος 2023</w:t>
      </w:r>
      <w:r>
        <w:rPr>
          <w:rStyle w:val="FootnoteReference"/>
        </w:rPr>
        <w:footnoteReference w:id="8"/>
      </w:r>
      <w:r w:rsidRPr="00CB3B38">
        <w:t>, η οποία πάγια παρέχεται σύμφωνα με μια πρακτική που καθιερώθηκε σε πολλά προηγούμενα έτη· τονίζει ότι μια πιο διαρθρωμένη και προβλέψιμη συνεργασία θα ήταν επωφελής και για τα δύο μέρη· υποστηρίζει ότι ένα μνημόνιο συνεννόησης ή μια διοργανική συμφωνία είναι απαραίτητη για την καθιέρωση μιας τέτοιας συνεργασίας όσον αφορά την ανταλλαγή πληροφοριών, τις ακροάσεις και τη συνέχεια που δίνεται, η οποία θα θεσπίσει επισήμως τις πρακτικές που έχουν ήδη καθιερωθεί σε μεγάλο βαθμό με την ΕΤΕπ· εκφράζει την ικανοποίησή του για τη δεδηλωμένη διαθεσιμότητα της ΕΤΕπ να συμμετάσχει σε διάλογο για να διασφαλίσει ότι η συνεργασία βασίζεται σε προβλέψιμες θεσμικές δεσμεύσεις και όχι σε άτυπες ρυθμίσεις· επαναλαμβάνει την έκκλησή του για ταχεία οριστικοποίηση της ρύθμισης αυτής· ζητεί να διερευνηθούν περαιτέρω τρόποι για τη βελτίωση του συντονισμού μεταξύ του Κοινοβουλίου, των εθνικών κοινοβουλίων και των ανώτατων οργάνων ελέγχου, καθώς και για την ενίσχυση των ανταλλαγών με την κοινωνία των πολιτών και την ακαδημαϊκή κοινότητα, ώστε να προωθηθεί ενισχυμένη διαφάνεια·</w:t>
      </w:r>
    </w:p>
    <w:p w:rsidR="003A091C" w:rsidRPr="00CB3B38" w:rsidP="003A091C" w14:paraId="4183C4EF" w14:textId="77777777">
      <w:pPr>
        <w:pStyle w:val="Normal12a"/>
      </w:pPr>
      <w:r w:rsidRPr="00CB3B38">
        <w:rPr>
          <w:b/>
          <w:i/>
        </w:rPr>
        <w:t>Συνέχεια που δόθηκε στις συστάσεις του Κοινοβουλίου</w:t>
      </w:r>
    </w:p>
    <w:p w:rsidR="00193B2E" w:rsidP="00487673" w14:paraId="1D91E95B" w14:textId="7103BB8E">
      <w:pPr>
        <w:pStyle w:val="NormalHanging12a"/>
        <w:ind w:left="567" w:hanging="570"/>
      </w:pPr>
      <w:r>
        <w:t>60.</w:t>
      </w:r>
      <w:r>
        <w:tab/>
      </w:r>
      <w:r w:rsidRPr="00CB3B38" w:rsidR="003A091C">
        <w:t xml:space="preserve">παροτρύνει την ΕΤΕπ να δώσει εγκαίρως συνέχεια στις συστάσεις που εξέδωσε το Κοινοβούλιο και να υποβάλει έκθεση σχετικά με τα αποτελέσματα που επιτεύχθηκαν </w:t>
      </w:r>
      <w:r w:rsidRPr="00CB3B38" w:rsidR="003A091C">
        <w:t>και τον αντίκτυπο των δράσεων που έχουν αναληφθεί για την υλοποίηση των προτεραιοτήτων της και των πολιτικών της ΕΕ, ιδίως όσον αφορά:</w:t>
      </w:r>
    </w:p>
    <w:p w:rsidR="00193B2E" w:rsidP="00487673" w14:paraId="0812EB1F" w14:textId="21DF817D">
      <w:pPr>
        <w:pStyle w:val="NormalHanging12a"/>
        <w:ind w:left="1134"/>
      </w:pPr>
      <w:r w:rsidRPr="00CB3B38">
        <w:t>α)</w:t>
      </w:r>
      <w:r>
        <w:tab/>
      </w:r>
      <w:r w:rsidRPr="00CB3B38">
        <w:t>τον αντίκτυπο (οικονομικό, περιβαλλοντικό και κοινωνικό) της επενδυτικής στρατηγικής της και τα αποτελέσματα που έχουν επιτευχθεί ως προς τη συμβολή στην ισόρροπη και απρόσκοπτη ανάπτυξη της εσωτερικής αγοράς προς το συμφέρον της ΕΕ,</w:t>
      </w:r>
    </w:p>
    <w:p w:rsidR="00193B2E" w:rsidP="00487673" w14:paraId="186F3AF7" w14:textId="7D63361B">
      <w:pPr>
        <w:pStyle w:val="NormalHanging12a"/>
        <w:ind w:left="1134"/>
      </w:pPr>
      <w:r w:rsidRPr="00CB3B38">
        <w:t>β)</w:t>
      </w:r>
      <w:r>
        <w:tab/>
      </w:r>
      <w:r w:rsidRPr="00CB3B38">
        <w:t>τις δράσεις που έχουν εγκριθεί για την ενίσχυση της πρόληψης και της αντιμετώπισης συγκρούσεων συμφερόντων, απάτης, διαφθοράς και άλλων πιθανών μορφών ανάρμοστης συμπεριφοράς·</w:t>
      </w:r>
    </w:p>
    <w:p w:rsidR="00193B2E" w:rsidP="00487673" w14:paraId="60963DB5" w14:textId="7522F751">
      <w:pPr>
        <w:pStyle w:val="NormalHanging12a"/>
        <w:ind w:left="1134"/>
      </w:pPr>
      <w:r w:rsidRPr="00CB3B38">
        <w:t>γ)</w:t>
      </w:r>
      <w:r>
        <w:tab/>
      </w:r>
      <w:r w:rsidRPr="00CB3B38">
        <w:t>νέα μέτρα για την ενίσχυση της διαφάνειας·</w:t>
      </w:r>
    </w:p>
    <w:p w:rsidR="003A091C" w:rsidRPr="00CB3B38" w:rsidP="00487673" w14:paraId="7726E328" w14:textId="5976C2FA">
      <w:pPr>
        <w:pStyle w:val="NormalHanging12a"/>
        <w:ind w:left="1134"/>
      </w:pPr>
      <w:r w:rsidRPr="00CB3B38">
        <w:t>δ)</w:t>
      </w:r>
      <w:r w:rsidR="00193B2E">
        <w:tab/>
      </w:r>
      <w:r w:rsidRPr="00CB3B38">
        <w:t>μέτρα για την ενίσχυση της στήριξης των ΜΜΕ και των επιλέξιμων οικονομικών φορέων κατά την υλοποίηση των πολιτικών της ΕΕ·</w:t>
      </w:r>
    </w:p>
    <w:p w:rsidR="003A091C" w:rsidRPr="00CB3B38" w:rsidP="003A091C" w14:paraId="29E569AC" w14:textId="77777777">
      <w:pPr>
        <w:pStyle w:val="NormalCenter12a"/>
      </w:pPr>
      <w:r w:rsidRPr="00CB3B38">
        <w:t>°</w:t>
      </w:r>
    </w:p>
    <w:p w:rsidR="003A091C" w:rsidRPr="00CB3B38" w:rsidP="003A091C" w14:paraId="6113B3F0" w14:textId="77777777">
      <w:pPr>
        <w:pStyle w:val="NormalCenter12a"/>
      </w:pPr>
      <w:r w:rsidRPr="00CB3B38">
        <w:t>°</w:t>
      </w:r>
      <w:r w:rsidRPr="00CB3B38">
        <w:tab/>
        <w:t>°</w:t>
      </w:r>
    </w:p>
    <w:p w:rsidR="00CB3B38" w:rsidRPr="00CB3B38" w:rsidP="00487673" w14:paraId="4BEAF0D4" w14:textId="54EBB175">
      <w:pPr>
        <w:pStyle w:val="NormalHanging12a"/>
        <w:ind w:left="567" w:hanging="570"/>
      </w:pPr>
      <w:r w:rsidRPr="00CB3B38">
        <w:t>61.</w:t>
      </w:r>
      <w:r w:rsidRPr="00CB3B38">
        <w:tab/>
      </w:r>
      <w:r w:rsidRPr="00CB3B38" w:rsidR="003A091C">
        <w:t>αναθέτει στην Πρόεδρό του να διαβιβάσει το παρόν ψήφισμα στο Συμβούλιο και στην Επιτροπή και ζητά από το Συμβούλιο και το διοικητικό συμβούλιο της ΕΤΕπ να διεξαγάγουν συζήτηση επί των θέσεων του Κοινοβουλίου που διατυπώνονται στο παρόν.</w:t>
      </w:r>
    </w:p>
    <w:p w:rsidR="00E365E1" w:rsidRPr="00CB3B38" w:rsidP="006756DC" w14:paraId="7E076789" w14:textId="2FFF6684"/>
    <w:sectPr w:rsidSect="00CB3B3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792194B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4671CA1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751FE08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56DC" w:rsidRPr="00CB3B38" w14:paraId="175201F5" w14:textId="77777777">
      <w:r w:rsidRPr="00CB3B38">
        <w:separator/>
      </w:r>
    </w:p>
  </w:footnote>
  <w:footnote w:type="continuationSeparator" w:id="1">
    <w:p w:rsidR="006756DC" w:rsidRPr="00CB3B38" w14:paraId="6CA0A354" w14:textId="77777777">
      <w:r w:rsidRPr="00CB3B38">
        <w:continuationSeparator/>
      </w:r>
    </w:p>
  </w:footnote>
  <w:footnote w:id="2">
    <w:p w:rsidR="009828D8" w:rsidRPr="009828D8" w:rsidP="00CB3B38" w14:paraId="717289F2" w14:textId="47DBB6AC">
      <w:pPr>
        <w:pStyle w:val="FootnoteText"/>
        <w:ind w:left="567" w:hanging="567"/>
        <w:rPr>
          <w:sz w:val="24"/>
          <w:lang w:val="fi-FI"/>
        </w:rPr>
      </w:pPr>
      <w:r>
        <w:rPr>
          <w:rStyle w:val="FootnoteReference"/>
        </w:rPr>
        <w:footnoteRef/>
      </w:r>
      <w:r w:rsidRPr="009828D8">
        <w:rPr>
          <w:sz w:val="24"/>
          <w:vertAlign w:val="superscript"/>
          <w:lang w:val="fi-FI"/>
        </w:rPr>
        <w:t xml:space="preserve"> </w:t>
      </w:r>
      <w:r w:rsidRPr="009828D8">
        <w:rPr>
          <w:sz w:val="24"/>
          <w:vertAlign w:val="superscript"/>
          <w:lang w:val="fi-FI"/>
        </w:rPr>
        <w:tab/>
      </w:r>
      <w:r w:rsidRPr="00CB3B38">
        <w:rPr>
          <w:sz w:val="24"/>
          <w:lang w:val="el-GR"/>
        </w:rPr>
        <w:t>ΕΕ</w:t>
      </w:r>
      <w:r w:rsidRPr="009828D8">
        <w:rPr>
          <w:sz w:val="24"/>
          <w:lang w:val="fi-FI"/>
        </w:rPr>
        <w:t xml:space="preserve"> L, 2025/504, 14.3.2025, ELI: </w:t>
      </w:r>
      <w:hyperlink r:id="rId1" w:tgtFrame="http://data.europa.eu/eli/dec/2025/504/oj" w:history="1">
        <w:r w:rsidRPr="009828D8">
          <w:rPr>
            <w:rStyle w:val="Hyperlink"/>
            <w:sz w:val="24"/>
            <w:lang w:val="fi-FI"/>
          </w:rPr>
          <w:t>http://data.europa.eu/eli/dec/2025/504/oj</w:t>
        </w:r>
      </w:hyperlink>
      <w:r w:rsidRPr="009828D8">
        <w:rPr>
          <w:sz w:val="24"/>
          <w:lang w:val="fi-FI"/>
        </w:rPr>
        <w:t>.</w:t>
      </w:r>
    </w:p>
  </w:footnote>
  <w:footnote w:id="3">
    <w:p w:rsidR="009828D8" w:rsidRPr="00CB3B38" w:rsidP="00CB3B38" w14:paraId="15357F05" w14:textId="067F6CAF">
      <w:pPr>
        <w:pStyle w:val="FootnoteText"/>
        <w:ind w:left="567" w:hanging="567"/>
        <w:rPr>
          <w:sz w:val="24"/>
          <w:lang w:val="el-GR"/>
        </w:rPr>
      </w:pPr>
      <w:r>
        <w:rPr>
          <w:rStyle w:val="FootnoteReference"/>
        </w:rPr>
        <w:footnoteRef/>
      </w:r>
      <w:r w:rsidRPr="00CB3B38">
        <w:rPr>
          <w:sz w:val="24"/>
          <w:vertAlign w:val="superscript"/>
          <w:lang w:val="el-GR"/>
        </w:rPr>
        <w:t xml:space="preserve"> </w:t>
      </w:r>
      <w:r w:rsidRPr="00CB3B38">
        <w:rPr>
          <w:sz w:val="24"/>
          <w:vertAlign w:val="superscript"/>
          <w:lang w:val="el-GR"/>
        </w:rPr>
        <w:tab/>
      </w:r>
      <w:r w:rsidRPr="00CB3B38">
        <w:rPr>
          <w:sz w:val="24"/>
          <w:lang w:val="el-GR"/>
        </w:rPr>
        <w:t xml:space="preserve">Ευρωπαϊκή Επιτροπή: Γενική Διεύθυνση Αμυντικής Βιομηχανίας και Διαστήματος, «Access </w:t>
      </w:r>
      <w:r w:rsidRPr="00CB3B38">
        <w:rPr>
          <w:sz w:val="24"/>
          <w:lang w:val="el-GR"/>
        </w:rPr>
        <w:t>to</w:t>
      </w:r>
      <w:r w:rsidRPr="00CB3B38">
        <w:rPr>
          <w:sz w:val="24"/>
          <w:lang w:val="el-GR"/>
        </w:rPr>
        <w:t xml:space="preserve"> </w:t>
      </w:r>
      <w:r w:rsidRPr="00CB3B38">
        <w:rPr>
          <w:sz w:val="24"/>
          <w:lang w:val="el-GR"/>
        </w:rPr>
        <w:t>equity</w:t>
      </w:r>
      <w:r w:rsidRPr="00CB3B38">
        <w:rPr>
          <w:sz w:val="24"/>
          <w:lang w:val="el-GR"/>
        </w:rPr>
        <w:t xml:space="preserve"> </w:t>
      </w:r>
      <w:r w:rsidRPr="00CB3B38">
        <w:rPr>
          <w:sz w:val="24"/>
          <w:lang w:val="el-GR"/>
        </w:rPr>
        <w:t>financing</w:t>
      </w:r>
      <w:r w:rsidRPr="00CB3B38">
        <w:rPr>
          <w:sz w:val="24"/>
          <w:lang w:val="el-GR"/>
        </w:rPr>
        <w:t xml:space="preserve"> for European </w:t>
      </w:r>
      <w:r w:rsidRPr="00CB3B38">
        <w:rPr>
          <w:sz w:val="24"/>
          <w:lang w:val="el-GR"/>
        </w:rPr>
        <w:t>defence</w:t>
      </w:r>
      <w:r w:rsidRPr="00CB3B38">
        <w:rPr>
          <w:sz w:val="24"/>
          <w:lang w:val="el-GR"/>
        </w:rPr>
        <w:t xml:space="preserve"> </w:t>
      </w:r>
      <w:r w:rsidRPr="00CB3B38">
        <w:rPr>
          <w:sz w:val="24"/>
          <w:lang w:val="el-GR"/>
        </w:rPr>
        <w:t>SMEs</w:t>
      </w:r>
      <w:r w:rsidRPr="00CB3B38">
        <w:rPr>
          <w:sz w:val="24"/>
          <w:lang w:val="el-GR"/>
        </w:rPr>
        <w:t xml:space="preserve">», Υπηρεσία Εκδόσεων της Ευρωπαϊκής Ένωσης, 2024, </w:t>
      </w:r>
      <w:hyperlink r:id="rId2" w:tgtFrame="https://data.europa.eu/doi/10.2889/698738" w:history="1">
        <w:r w:rsidRPr="00CB3B38">
          <w:rPr>
            <w:rStyle w:val="Hyperlink"/>
            <w:sz w:val="24"/>
            <w:lang w:val="el-GR"/>
          </w:rPr>
          <w:t>https://data.europa.eu/doi/10.2889/698738</w:t>
        </w:r>
      </w:hyperlink>
      <w:r w:rsidRPr="00CB3B38">
        <w:rPr>
          <w:sz w:val="24"/>
          <w:lang w:val="el-GR"/>
        </w:rPr>
        <w:t>.</w:t>
      </w:r>
    </w:p>
  </w:footnote>
  <w:footnote w:id="4">
    <w:p w:rsidR="009828D8" w:rsidRPr="009828D8" w:rsidP="00CB3B38" w14:paraId="501B588A" w14:textId="1B70D42F">
      <w:pPr>
        <w:pStyle w:val="FootnoteText"/>
        <w:ind w:left="567" w:hanging="567"/>
        <w:rPr>
          <w:sz w:val="24"/>
          <w:lang w:val="fi-FI"/>
        </w:rPr>
      </w:pPr>
      <w:r>
        <w:rPr>
          <w:rStyle w:val="FootnoteReference"/>
        </w:rPr>
        <w:footnoteRef/>
      </w:r>
      <w:r w:rsidRPr="009828D8">
        <w:rPr>
          <w:sz w:val="24"/>
          <w:vertAlign w:val="superscript"/>
          <w:lang w:val="fi-FI"/>
        </w:rPr>
        <w:t xml:space="preserve"> </w:t>
      </w:r>
      <w:r w:rsidRPr="009828D8">
        <w:rPr>
          <w:sz w:val="24"/>
          <w:vertAlign w:val="superscript"/>
          <w:lang w:val="fi-FI"/>
        </w:rPr>
        <w:tab/>
      </w:r>
      <w:r w:rsidRPr="00CB3B38">
        <w:rPr>
          <w:sz w:val="24"/>
          <w:lang w:val="el-GR"/>
        </w:rPr>
        <w:t>ΕΕ</w:t>
      </w:r>
      <w:r w:rsidRPr="009828D8">
        <w:rPr>
          <w:sz w:val="24"/>
          <w:lang w:val="fi-FI"/>
        </w:rPr>
        <w:t xml:space="preserve"> C, C/2025/3151, 20.6.2025, ELI: </w:t>
      </w:r>
      <w:hyperlink r:id="rId3" w:tgtFrame="http://data.europa.eu/eli/C/2025/3151/oj" w:history="1">
        <w:r w:rsidRPr="009828D8">
          <w:rPr>
            <w:rStyle w:val="Hyperlink"/>
            <w:sz w:val="24"/>
            <w:lang w:val="fi-FI"/>
          </w:rPr>
          <w:t>http://data.europa.eu/eli/C/2025/3151/oj</w:t>
        </w:r>
      </w:hyperlink>
      <w:r w:rsidRPr="009828D8">
        <w:rPr>
          <w:sz w:val="24"/>
          <w:lang w:val="fi-FI"/>
        </w:rPr>
        <w:t>.</w:t>
      </w:r>
    </w:p>
  </w:footnote>
  <w:footnote w:id="5">
    <w:p w:rsidR="009828D8" w:rsidRPr="00CB3B38" w:rsidP="00CB3B38" w14:paraId="3CCB36EB" w14:textId="5AD5BE20">
      <w:pPr>
        <w:pStyle w:val="FootnoteText"/>
        <w:ind w:left="567" w:hanging="567"/>
        <w:rPr>
          <w:sz w:val="24"/>
          <w:lang w:val="el-GR"/>
        </w:rPr>
      </w:pPr>
      <w:r>
        <w:rPr>
          <w:rStyle w:val="FootnoteReference"/>
        </w:rPr>
        <w:footnoteRef/>
      </w:r>
      <w:r w:rsidRPr="00CB3B38">
        <w:rPr>
          <w:sz w:val="24"/>
          <w:vertAlign w:val="superscript"/>
          <w:lang w:val="el-GR"/>
        </w:rPr>
        <w:t xml:space="preserve"> </w:t>
      </w:r>
      <w:r w:rsidRPr="00CB3B38">
        <w:rPr>
          <w:sz w:val="24"/>
          <w:vertAlign w:val="superscript"/>
          <w:lang w:val="el-GR"/>
        </w:rPr>
        <w:tab/>
      </w:r>
      <w:r w:rsidRPr="00CB3B38">
        <w:rPr>
          <w:sz w:val="24"/>
          <w:lang w:val="el-GR"/>
        </w:rPr>
        <w:t xml:space="preserve">Στο τέλος του 2024, το συνολικό άνοιγμα από </w:t>
      </w:r>
      <w:r w:rsidRPr="00CB3B38">
        <w:rPr>
          <w:sz w:val="24"/>
          <w:lang w:val="el-GR"/>
        </w:rPr>
        <w:t>εκταμιευθέντα</w:t>
      </w:r>
      <w:r w:rsidRPr="00CB3B38">
        <w:rPr>
          <w:sz w:val="24"/>
          <w:lang w:val="el-GR"/>
        </w:rPr>
        <w:t xml:space="preserve"> ποσά ανερχόταν σε 3 227,1 εκατ</w:t>
      </w:r>
      <w:r>
        <w:rPr>
          <w:sz w:val="24"/>
          <w:lang w:val="el-GR"/>
        </w:rPr>
        <w:t>ομμύρια</w:t>
      </w:r>
      <w:r w:rsidRPr="00CB3B38">
        <w:rPr>
          <w:sz w:val="24"/>
          <w:lang w:val="el-GR"/>
        </w:rPr>
        <w:t> EUR (έναντι 3 144,3 εκατ</w:t>
      </w:r>
      <w:r>
        <w:rPr>
          <w:sz w:val="24"/>
          <w:lang w:val="el-GR"/>
        </w:rPr>
        <w:t>ομμυρίων</w:t>
      </w:r>
      <w:r w:rsidRPr="00CB3B38">
        <w:rPr>
          <w:sz w:val="24"/>
          <w:lang w:val="el-GR"/>
        </w:rPr>
        <w:t> EUR στο τέλος του 2023) και, από το ποσό αυτό, 3 068,1 εκατ</w:t>
      </w:r>
      <w:r>
        <w:rPr>
          <w:sz w:val="24"/>
          <w:lang w:val="el-GR"/>
        </w:rPr>
        <w:t>ομμύρια</w:t>
      </w:r>
      <w:r w:rsidRPr="00CB3B38">
        <w:rPr>
          <w:sz w:val="24"/>
          <w:lang w:val="el-GR"/>
        </w:rPr>
        <w:t> EUR (95 %) καλύπτονται από συνολικές εγγυήσεις της ΕΕ, 146,6 εκατ</w:t>
      </w:r>
      <w:r>
        <w:rPr>
          <w:sz w:val="24"/>
          <w:lang w:val="el-GR"/>
        </w:rPr>
        <w:t>ομμύρια</w:t>
      </w:r>
      <w:r w:rsidRPr="00CB3B38">
        <w:rPr>
          <w:sz w:val="24"/>
          <w:lang w:val="el-GR"/>
        </w:rPr>
        <w:t> EUR (5 %) καλύπτονται από εγγυήσεις πολιτικού κινδύνου της ΕΕ και 12,4 εκατ</w:t>
      </w:r>
      <w:r>
        <w:rPr>
          <w:sz w:val="24"/>
          <w:lang w:val="el-GR"/>
        </w:rPr>
        <w:t>ομμύρια</w:t>
      </w:r>
      <w:r w:rsidRPr="00CB3B38">
        <w:rPr>
          <w:sz w:val="24"/>
          <w:lang w:val="el-GR"/>
        </w:rPr>
        <w:t> EUR καλύπτονται από εντολές επιμερισμού κινδύνων (έναντι 2 962,7 εκατ</w:t>
      </w:r>
      <w:r>
        <w:rPr>
          <w:sz w:val="24"/>
          <w:lang w:val="el-GR"/>
        </w:rPr>
        <w:t>ομμυρίων</w:t>
      </w:r>
      <w:r w:rsidRPr="00CB3B38">
        <w:rPr>
          <w:sz w:val="24"/>
          <w:lang w:val="el-GR"/>
        </w:rPr>
        <w:t> EUR, ήτοι 94 %, 166,8 εκατ</w:t>
      </w:r>
      <w:r>
        <w:rPr>
          <w:sz w:val="24"/>
          <w:lang w:val="el-GR"/>
        </w:rPr>
        <w:t>ομμυρίων</w:t>
      </w:r>
      <w:r w:rsidRPr="00CB3B38">
        <w:rPr>
          <w:sz w:val="24"/>
          <w:lang w:val="el-GR"/>
        </w:rPr>
        <w:t> ευρώ, ήτοι 5 %, και 14,8 εκατ</w:t>
      </w:r>
      <w:r>
        <w:rPr>
          <w:sz w:val="24"/>
          <w:lang w:val="el-GR"/>
        </w:rPr>
        <w:t>ομμυρίων</w:t>
      </w:r>
      <w:r w:rsidRPr="00CB3B38">
        <w:rPr>
          <w:sz w:val="24"/>
          <w:lang w:val="el-GR"/>
        </w:rPr>
        <w:t> EUR, ήτοι 1 %, αντίστοιχα, στο τέλος του 2023).</w:t>
      </w:r>
    </w:p>
  </w:footnote>
  <w:footnote w:id="6">
    <w:p w:rsidR="009828D8" w:rsidRPr="00CB3B38" w:rsidP="00CB3B38" w14:paraId="1FEBEBCF" w14:textId="24DC25FB">
      <w:pPr>
        <w:pStyle w:val="FootnoteText"/>
        <w:ind w:left="567" w:hanging="567"/>
        <w:rPr>
          <w:sz w:val="24"/>
          <w:lang w:val="el-GR"/>
        </w:rPr>
      </w:pPr>
      <w:r>
        <w:rPr>
          <w:rStyle w:val="FootnoteReference"/>
        </w:rPr>
        <w:footnoteRef/>
      </w:r>
      <w:r w:rsidRPr="00CB3B38">
        <w:rPr>
          <w:sz w:val="24"/>
          <w:vertAlign w:val="superscript"/>
          <w:lang w:val="el-GR"/>
        </w:rPr>
        <w:t xml:space="preserve"> </w:t>
      </w:r>
      <w:r w:rsidRPr="00CB3B38">
        <w:rPr>
          <w:sz w:val="24"/>
          <w:vertAlign w:val="superscript"/>
          <w:lang w:val="el-GR"/>
        </w:rPr>
        <w:tab/>
      </w:r>
      <w:r w:rsidRPr="00CB3B38">
        <w:rPr>
          <w:sz w:val="24"/>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w:t>
      </w:r>
      <w:r w:rsidRPr="00CB3B38">
        <w:rPr>
          <w:sz w:val="24"/>
          <w:lang w:val="el-GR"/>
        </w:rPr>
        <w:t xml:space="preserve">43, ELI: </w:t>
      </w:r>
      <w:hyperlink r:id="rId4" w:tgtFrame="http://data.europa.eu/eli/reg/2001/1049/oj" w:history="1">
        <w:r w:rsidRPr="00CB3B38">
          <w:rPr>
            <w:rStyle w:val="Hyperlink"/>
            <w:sz w:val="24"/>
            <w:lang w:val="el-GR"/>
          </w:rPr>
          <w:t>http://data.europa.eu/eli/reg/2001/1049/oj</w:t>
        </w:r>
      </w:hyperlink>
      <w:r w:rsidRPr="00CB3B38">
        <w:rPr>
          <w:sz w:val="24"/>
          <w:lang w:val="el-GR"/>
        </w:rPr>
        <w:t>).</w:t>
      </w:r>
    </w:p>
  </w:footnote>
  <w:footnote w:id="7">
    <w:p w:rsidR="009828D8" w:rsidRPr="00CB3B38" w:rsidP="00CB3B38" w14:paraId="224BBFC6" w14:textId="5C7ED0E3">
      <w:pPr>
        <w:pStyle w:val="FootnoteText"/>
        <w:ind w:left="567" w:hanging="567"/>
        <w:rPr>
          <w:sz w:val="24"/>
          <w:lang w:val="el-GR"/>
        </w:rPr>
      </w:pPr>
      <w:r>
        <w:rPr>
          <w:rStyle w:val="FootnoteReference"/>
        </w:rPr>
        <w:footnoteRef/>
      </w:r>
      <w:r w:rsidRPr="00CB3B38">
        <w:rPr>
          <w:sz w:val="24"/>
          <w:vertAlign w:val="superscript"/>
          <w:lang w:val="el-GR"/>
        </w:rPr>
        <w:t xml:space="preserve"> </w:t>
      </w:r>
      <w:r w:rsidRPr="00CB3B38">
        <w:rPr>
          <w:sz w:val="24"/>
          <w:vertAlign w:val="superscript"/>
          <w:lang w:val="el-GR"/>
        </w:rPr>
        <w:tab/>
      </w:r>
      <w:r w:rsidRPr="00CB3B38">
        <w:rPr>
          <w:sz w:val="24"/>
          <w:lang w:val="el-GR"/>
        </w:rPr>
        <w:t>Publish</w:t>
      </w:r>
      <w:r w:rsidRPr="00CB3B38">
        <w:rPr>
          <w:sz w:val="24"/>
          <w:lang w:val="el-GR"/>
        </w:rPr>
        <w:t xml:space="preserve"> </w:t>
      </w:r>
      <w:r w:rsidRPr="00CB3B38">
        <w:rPr>
          <w:sz w:val="24"/>
          <w:lang w:val="el-GR"/>
        </w:rPr>
        <w:t>What</w:t>
      </w:r>
      <w:r w:rsidRPr="00CB3B38">
        <w:rPr>
          <w:sz w:val="24"/>
          <w:lang w:val="el-GR"/>
        </w:rPr>
        <w:t xml:space="preserve"> </w:t>
      </w:r>
      <w:r w:rsidRPr="00CB3B38">
        <w:rPr>
          <w:sz w:val="24"/>
          <w:lang w:val="el-GR"/>
        </w:rPr>
        <w:t>You</w:t>
      </w:r>
      <w:r w:rsidRPr="00CB3B38">
        <w:rPr>
          <w:sz w:val="24"/>
          <w:lang w:val="el-GR"/>
        </w:rPr>
        <w:t xml:space="preserve"> Fund, «</w:t>
      </w:r>
      <w:r w:rsidRPr="00CB3B38">
        <w:rPr>
          <w:sz w:val="24"/>
          <w:lang w:val="el-GR"/>
        </w:rPr>
        <w:t>Behind</w:t>
      </w:r>
      <w:r w:rsidRPr="00CB3B38">
        <w:rPr>
          <w:sz w:val="24"/>
          <w:lang w:val="el-GR"/>
        </w:rPr>
        <w:t xml:space="preserve"> the </w:t>
      </w:r>
      <w:r w:rsidRPr="00CB3B38">
        <w:rPr>
          <w:sz w:val="24"/>
          <w:lang w:val="el-GR"/>
        </w:rPr>
        <w:t>Billions</w:t>
      </w:r>
      <w:r w:rsidRPr="00CB3B38">
        <w:rPr>
          <w:sz w:val="24"/>
          <w:lang w:val="el-GR"/>
        </w:rPr>
        <w:t xml:space="preserve">: </w:t>
      </w:r>
      <w:r w:rsidRPr="00CB3B38">
        <w:rPr>
          <w:sz w:val="24"/>
          <w:lang w:val="el-GR"/>
        </w:rPr>
        <w:t>Tracking</w:t>
      </w:r>
      <w:r w:rsidRPr="00CB3B38">
        <w:rPr>
          <w:sz w:val="24"/>
          <w:lang w:val="el-GR"/>
        </w:rPr>
        <w:t xml:space="preserve"> the </w:t>
      </w:r>
      <w:r w:rsidRPr="00CB3B38">
        <w:rPr>
          <w:sz w:val="24"/>
          <w:lang w:val="el-GR"/>
        </w:rPr>
        <w:t>missing</w:t>
      </w:r>
      <w:r w:rsidRPr="00CB3B38">
        <w:rPr>
          <w:sz w:val="24"/>
          <w:lang w:val="el-GR"/>
        </w:rPr>
        <w:t xml:space="preserve"> </w:t>
      </w:r>
      <w:r w:rsidRPr="00CB3B38">
        <w:rPr>
          <w:sz w:val="24"/>
          <w:lang w:val="el-GR"/>
        </w:rPr>
        <w:t>pieces</w:t>
      </w:r>
      <w:r w:rsidRPr="00CB3B38">
        <w:rPr>
          <w:sz w:val="24"/>
          <w:lang w:val="el-GR"/>
        </w:rPr>
        <w:t xml:space="preserve"> of MDB </w:t>
      </w:r>
      <w:r w:rsidRPr="00CB3B38">
        <w:rPr>
          <w:sz w:val="24"/>
          <w:lang w:val="el-GR"/>
        </w:rPr>
        <w:t>climate</w:t>
      </w:r>
      <w:r w:rsidRPr="00CB3B38">
        <w:rPr>
          <w:sz w:val="24"/>
          <w:lang w:val="el-GR"/>
        </w:rPr>
        <w:t xml:space="preserve"> </w:t>
      </w:r>
      <w:r w:rsidRPr="00CB3B38">
        <w:rPr>
          <w:sz w:val="24"/>
          <w:lang w:val="el-GR"/>
        </w:rPr>
        <w:t>finance</w:t>
      </w:r>
      <w:r w:rsidRPr="00CB3B38">
        <w:rPr>
          <w:sz w:val="24"/>
          <w:lang w:val="el-GR"/>
        </w:rPr>
        <w:t xml:space="preserve"> </w:t>
      </w:r>
      <w:r w:rsidRPr="00CB3B38">
        <w:rPr>
          <w:sz w:val="24"/>
          <w:lang w:val="el-GR"/>
        </w:rPr>
        <w:t>data</w:t>
      </w:r>
      <w:r w:rsidRPr="00CB3B38">
        <w:rPr>
          <w:sz w:val="24"/>
          <w:lang w:val="el-GR"/>
        </w:rPr>
        <w:t>» (Πίσω από τα εκατομμύρια: Συμπληρώνοντας τα στοιχεία που λείπουν όσον αφορά τα δεδομένα των ΠΤΑ για τη χρηματοδότηση για το κλίμα), Νοέμβριος 2025.</w:t>
      </w:r>
    </w:p>
  </w:footnote>
  <w:footnote w:id="8">
    <w:p w:rsidR="009828D8" w:rsidRPr="00CB3B38" w:rsidP="00CB3B38" w14:paraId="1E1736C2" w14:textId="7E394221">
      <w:pPr>
        <w:pStyle w:val="FootnoteText"/>
        <w:ind w:left="567" w:hanging="567"/>
        <w:rPr>
          <w:sz w:val="24"/>
          <w:lang w:val="el-GR"/>
        </w:rPr>
      </w:pPr>
      <w:r>
        <w:rPr>
          <w:rStyle w:val="FootnoteReference"/>
        </w:rPr>
        <w:footnoteRef/>
      </w:r>
      <w:r w:rsidRPr="00CB3B38">
        <w:rPr>
          <w:sz w:val="24"/>
          <w:vertAlign w:val="superscript"/>
          <w:lang w:val="el-GR"/>
        </w:rPr>
        <w:t xml:space="preserve"> </w:t>
      </w:r>
      <w:r w:rsidRPr="00CB3B38">
        <w:rPr>
          <w:sz w:val="24"/>
          <w:vertAlign w:val="superscript"/>
          <w:lang w:val="el-GR"/>
        </w:rPr>
        <w:tab/>
      </w:r>
      <w:r w:rsidRPr="00CB3B38">
        <w:rPr>
          <w:sz w:val="24"/>
          <w:lang w:val="el-GR"/>
        </w:rPr>
        <w:t>Ψήφισμα του Ευρωπαϊκού Κοινοβουλίου της 6ης Μ</w:t>
      </w:r>
      <w:r w:rsidR="00D97C85">
        <w:rPr>
          <w:sz w:val="24"/>
          <w:lang w:val="el-GR"/>
        </w:rPr>
        <w:t>αΐ</w:t>
      </w:r>
      <w:r w:rsidRPr="00CB3B38">
        <w:rPr>
          <w:sz w:val="24"/>
          <w:lang w:val="el-GR"/>
        </w:rPr>
        <w:t>ου 2025 σχετικά με τον έλεγχο των χρηματοδοτικών δραστηριοτήτων της Ευρωπαϊκής Τράπεζας Επενδύσεων – ετήσια έκθεση 2023 (ΕΕ C, C/2026/574, 2</w:t>
      </w:r>
      <w:r w:rsidR="00D97C85">
        <w:rPr>
          <w:sz w:val="24"/>
          <w:lang w:val="el-GR"/>
        </w:rPr>
        <w:t>4</w:t>
      </w:r>
      <w:r w:rsidRPr="00CB3B38">
        <w:rPr>
          <w:sz w:val="24"/>
          <w:lang w:val="el-GR"/>
        </w:rPr>
        <w:t>.</w:t>
      </w:r>
      <w:r w:rsidR="00D97C85">
        <w:rPr>
          <w:sz w:val="24"/>
          <w:lang w:val="el-GR"/>
        </w:rPr>
        <w:t>2</w:t>
      </w:r>
      <w:r w:rsidRPr="00CB3B38">
        <w:rPr>
          <w:sz w:val="24"/>
          <w:lang w:val="el-GR"/>
        </w:rPr>
        <w:t>.202</w:t>
      </w:r>
      <w:r w:rsidR="00D97C85">
        <w:rPr>
          <w:sz w:val="24"/>
          <w:lang w:val="el-GR"/>
        </w:rPr>
        <w:t>6</w:t>
      </w:r>
      <w:r w:rsidRPr="00CB3B38">
        <w:rPr>
          <w:sz w:val="24"/>
          <w:lang w:val="el-GR"/>
        </w:rPr>
        <w:t xml:space="preserve">, ELI: </w:t>
      </w:r>
      <w:hyperlink r:id="rId5" w:tgtFrame="http://data.europa.eu/eli/C/2026/574/oj" w:history="1">
        <w:r w:rsidRPr="00CB3B38">
          <w:rPr>
            <w:rStyle w:val="Hyperlink"/>
            <w:sz w:val="24"/>
            <w:lang w:val="el-GR"/>
          </w:rPr>
          <w:t>http://data.europa.eu/eli/C/2026/574/oj</w:t>
        </w:r>
      </w:hyperlink>
      <w:r w:rsidRPr="00CB3B3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3127D80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4677FFF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3B38" w14:paraId="5802A1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410012A"/>
    <w:multiLevelType w:val="hybridMultilevel"/>
    <w:tmpl w:val="D070F214"/>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2873023">
    <w:abstractNumId w:val="0"/>
  </w:num>
  <w:num w:numId="2" w16cid:durableId="1177038547">
    <w:abstractNumId w:val="2"/>
  </w:num>
  <w:num w:numId="3" w16cid:durableId="3500661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6DC"/>
    <w:rsid w:val="00002272"/>
    <w:rsid w:val="00064002"/>
    <w:rsid w:val="000677B9"/>
    <w:rsid w:val="000831BA"/>
    <w:rsid w:val="000A42CC"/>
    <w:rsid w:val="000E7DD9"/>
    <w:rsid w:val="0010095E"/>
    <w:rsid w:val="00125B37"/>
    <w:rsid w:val="00187494"/>
    <w:rsid w:val="00190AB8"/>
    <w:rsid w:val="00193B2E"/>
    <w:rsid w:val="001F32AE"/>
    <w:rsid w:val="002767FF"/>
    <w:rsid w:val="002B18FE"/>
    <w:rsid w:val="002B5493"/>
    <w:rsid w:val="00343214"/>
    <w:rsid w:val="00361C00"/>
    <w:rsid w:val="00395FA1"/>
    <w:rsid w:val="003A091C"/>
    <w:rsid w:val="003E15D4"/>
    <w:rsid w:val="00411CCE"/>
    <w:rsid w:val="0041666E"/>
    <w:rsid w:val="00421060"/>
    <w:rsid w:val="00471C19"/>
    <w:rsid w:val="004867E3"/>
    <w:rsid w:val="00487673"/>
    <w:rsid w:val="00494A28"/>
    <w:rsid w:val="004C0004"/>
    <w:rsid w:val="004C5D52"/>
    <w:rsid w:val="004F2526"/>
    <w:rsid w:val="0050519A"/>
    <w:rsid w:val="005072A1"/>
    <w:rsid w:val="00514517"/>
    <w:rsid w:val="00545827"/>
    <w:rsid w:val="00560270"/>
    <w:rsid w:val="005C2568"/>
    <w:rsid w:val="005F1B17"/>
    <w:rsid w:val="006037C0"/>
    <w:rsid w:val="006631B6"/>
    <w:rsid w:val="006756D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8D8"/>
    <w:rsid w:val="00A1687D"/>
    <w:rsid w:val="00A43E52"/>
    <w:rsid w:val="00A4678D"/>
    <w:rsid w:val="00A778C7"/>
    <w:rsid w:val="00AB441E"/>
    <w:rsid w:val="00AB6293"/>
    <w:rsid w:val="00AE0928"/>
    <w:rsid w:val="00AF3B82"/>
    <w:rsid w:val="00B12E95"/>
    <w:rsid w:val="00B22876"/>
    <w:rsid w:val="00B412B8"/>
    <w:rsid w:val="00B43CA1"/>
    <w:rsid w:val="00B558F0"/>
    <w:rsid w:val="00BB2692"/>
    <w:rsid w:val="00BD48FE"/>
    <w:rsid w:val="00BD7BD8"/>
    <w:rsid w:val="00BE6ADC"/>
    <w:rsid w:val="00C05BFE"/>
    <w:rsid w:val="00C23CD4"/>
    <w:rsid w:val="00C61C0C"/>
    <w:rsid w:val="00C844D2"/>
    <w:rsid w:val="00C941CB"/>
    <w:rsid w:val="00CB3B38"/>
    <w:rsid w:val="00CC2357"/>
    <w:rsid w:val="00CF071A"/>
    <w:rsid w:val="00D058B8"/>
    <w:rsid w:val="00D56C11"/>
    <w:rsid w:val="00D834A0"/>
    <w:rsid w:val="00D872DF"/>
    <w:rsid w:val="00D91E21"/>
    <w:rsid w:val="00D97C85"/>
    <w:rsid w:val="00DA7FCD"/>
    <w:rsid w:val="00E365E1"/>
    <w:rsid w:val="00E820A4"/>
    <w:rsid w:val="00EB006A"/>
    <w:rsid w:val="00EB4772"/>
    <w:rsid w:val="00ED169E"/>
    <w:rsid w:val="00ED4235"/>
    <w:rsid w:val="00F04346"/>
    <w:rsid w:val="00F075DC"/>
    <w:rsid w:val="00F149E9"/>
    <w:rsid w:val="00F41B29"/>
    <w:rsid w:val="00F5134D"/>
    <w:rsid w:val="00F56D37"/>
    <w:rsid w:val="00F74202"/>
    <w:rsid w:val="00F87713"/>
    <w:rsid w:val="00FB4360"/>
    <w:rsid w:val="00FD0C70"/>
  </w:rsids>
  <w:docVars>
    <w:docVar w:name="dvdocse" w:val="A10-0086/2026"/>
    <w:docVar w:name="dvlangue" w:val="EL"/>
    <w:docVar w:name="dvnumam" w:val="0"/>
    <w:docVar w:name="dvpe" w:val="784.237"/>
    <w:docVar w:name="dvrapporteur" w:val="Εισηγητής: "/>
    <w:docVar w:name="dvtitre" w:val="Ψήφισμα του Ευρωπαϊκού Κοινοβουλίου της ... 2026 σχετικά με τον έλεγχο των οικονομικών δραστηριοτήτων του Ομίλου της Ευρωπαϊκής Τράπεζας Επενδύσεων — ετήσια έκθεση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1CAB4E"/>
  <w15:chartTrackingRefBased/>
  <w15:docId w15:val="{C6BC397D-6D2D-4957-BD8C-0265813C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A091C"/>
    <w:pPr>
      <w:widowControl/>
      <w:spacing w:after="240"/>
    </w:pPr>
    <w:rPr>
      <w:szCs w:val="24"/>
      <w:lang w:eastAsia="en-US"/>
    </w:rPr>
  </w:style>
  <w:style w:type="paragraph" w:customStyle="1" w:styleId="NormalHanging12a">
    <w:name w:val="NormalHanging12a"/>
    <w:basedOn w:val="Normal"/>
    <w:rsid w:val="003A091C"/>
    <w:pPr>
      <w:widowControl/>
      <w:spacing w:after="240"/>
      <w:ind w:left="566" w:hanging="566"/>
    </w:pPr>
    <w:rPr>
      <w:szCs w:val="24"/>
      <w:lang w:eastAsia="en-US"/>
    </w:rPr>
  </w:style>
  <w:style w:type="paragraph" w:customStyle="1" w:styleId="Normal12">
    <w:name w:val="Normal12"/>
    <w:basedOn w:val="Normal"/>
    <w:rsid w:val="003A091C"/>
    <w:pPr>
      <w:widowControl/>
      <w:spacing w:after="240"/>
    </w:pPr>
    <w:rPr>
      <w:szCs w:val="24"/>
      <w:lang w:eastAsia="en-US"/>
    </w:rPr>
  </w:style>
  <w:style w:type="paragraph" w:customStyle="1" w:styleId="NormalHanging">
    <w:name w:val="NormalHanging"/>
    <w:basedOn w:val="Normal"/>
    <w:rsid w:val="003A091C"/>
    <w:pPr>
      <w:widowControl/>
      <w:spacing w:after="240"/>
      <w:ind w:left="566" w:hanging="566"/>
    </w:pPr>
    <w:rPr>
      <w:szCs w:val="24"/>
      <w:lang w:eastAsia="en-US"/>
    </w:rPr>
  </w:style>
  <w:style w:type="paragraph" w:customStyle="1" w:styleId="NormalCenter12a">
    <w:name w:val="NormalCenter12a"/>
    <w:basedOn w:val="Normal"/>
    <w:rsid w:val="003A091C"/>
    <w:pPr>
      <w:widowControl/>
      <w:spacing w:after="240"/>
      <w:jc w:val="center"/>
    </w:pPr>
    <w:rPr>
      <w:szCs w:val="24"/>
      <w:lang w:eastAsia="en-US"/>
    </w:rPr>
  </w:style>
  <w:style w:type="character" w:styleId="Hyperlink">
    <w:name w:val="Hyperlink"/>
    <w:basedOn w:val="DefaultParagraphFont"/>
    <w:rsid w:val="003A091C"/>
    <w:rPr>
      <w:color w:val="0000FF"/>
      <w:u w:val="single"/>
    </w:rPr>
  </w:style>
  <w:style w:type="paragraph" w:styleId="Revision">
    <w:name w:val="Revision"/>
    <w:hidden/>
    <w:uiPriority w:val="99"/>
    <w:semiHidden/>
    <w:rsid w:val="00193B2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8474</Words>
  <Characters>50736</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2026-06-04T12:27:00Z</dcterms:created>
  <dcterms:modified xsi:type="dcterms:W3CDTF">2026-06-04T12:27:00Z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A10-0086/2026</vt:lpwstr>
  </property>
  <property fmtid="{D5CDD505-2E9C-101B-9397-08002B2CF9AE}" pid="4" name="&lt;Type&gt;">
    <vt:lpwstr>RR</vt:lpwstr>
  </property>
</Properties>
</file>