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B8EC3E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42A53" w:rsidP="0010095E" w14:paraId="7F904814" w14:textId="77777777">
            <w:pPr>
              <w:pStyle w:val="EPName"/>
            </w:pPr>
            <w:r w:rsidRPr="00542A53">
              <w:t>Parlament Europejski</w:t>
            </w:r>
          </w:p>
          <w:p w:rsidR="00751A4A" w:rsidRPr="00542A53" w:rsidP="005F1B17" w14:paraId="5D2A11A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2A53">
              <w:t>2024</w:t>
            </w:r>
            <w:r w:rsidRPr="00542A53" w:rsidR="00817416">
              <w:t>-202</w:t>
            </w:r>
            <w:r w:rsidRPr="00542A5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42A53" w:rsidP="0010095E" w14:paraId="31F47DE7" w14:textId="77777777">
            <w:pPr>
              <w:pStyle w:val="EPLogo"/>
            </w:pPr>
            <w:r w:rsidRPr="00542A5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42A53" w:rsidP="004C5D52" w14:paraId="7EFE95EF" w14:textId="77777777">
      <w:pPr>
        <w:pStyle w:val="LineTop"/>
      </w:pPr>
    </w:p>
    <w:p w:rsidR="00680577" w:rsidRPr="00542A53" w:rsidP="00680577" w14:paraId="07CAFF4B" w14:textId="77777777">
      <w:pPr>
        <w:pStyle w:val="EPBodyTA1"/>
      </w:pPr>
      <w:r w:rsidRPr="00542A53">
        <w:t>TEKSTY PRZYJĘTE</w:t>
      </w:r>
    </w:p>
    <w:p w:rsidR="00D058B8" w:rsidRPr="00542A53" w:rsidP="00D058B8" w14:paraId="11B09154" w14:textId="77777777">
      <w:pPr>
        <w:pStyle w:val="LineBottom"/>
      </w:pPr>
    </w:p>
    <w:p w:rsidR="001132E2" w:rsidRPr="00542A53" w:rsidP="001132E2" w14:paraId="3DC3F605" w14:textId="51C84D53">
      <w:pPr>
        <w:pStyle w:val="ATHeading1"/>
      </w:pPr>
      <w:bookmarkStart w:id="0" w:name="TANumber"/>
      <w:r w:rsidRPr="00542A53">
        <w:t>P10_</w:t>
      </w:r>
      <w:r w:rsidRPr="00542A53">
        <w:t>TA(</w:t>
      </w:r>
      <w:r w:rsidRPr="00542A53">
        <w:t>2026)0</w:t>
      </w:r>
      <w:bookmarkEnd w:id="0"/>
      <w:r w:rsidR="002C20B5">
        <w:t>119</w:t>
      </w:r>
    </w:p>
    <w:p w:rsidR="001132E2" w:rsidRPr="00542A53" w:rsidP="008E3CAF" w14:paraId="21C1E1A1" w14:textId="10E69157">
      <w:pPr>
        <w:pStyle w:val="ATHeading2"/>
      </w:pPr>
      <w:r w:rsidRPr="008E3CAF">
        <w:rPr>
          <w:bCs/>
        </w:rPr>
        <w:t>Kontrola działalności finansowej Grupy Europejskiego Banku Inwestycyjnego –</w:t>
      </w:r>
      <w:r>
        <w:rPr>
          <w:bCs/>
        </w:rPr>
        <w:t xml:space="preserve"> </w:t>
      </w:r>
      <w:r w:rsidRPr="008E3CAF">
        <w:rPr>
          <w:bCs/>
        </w:rPr>
        <w:t>sprawozdanie roczne za rok 2024</w:t>
      </w:r>
    </w:p>
    <w:p w:rsidR="001132E2" w:rsidRPr="00542A53" w:rsidP="001132E2" w14:paraId="25F99FBA" w14:textId="77777777">
      <w:pPr>
        <w:rPr>
          <w:i/>
          <w:vanish/>
        </w:rPr>
      </w:pPr>
      <w:r>
        <w:rPr>
          <w:i/>
        </w:rPr>
        <w:fldChar w:fldCharType="begin"/>
      </w:r>
      <w:r w:rsidRPr="00542A53">
        <w:rPr>
          <w:i/>
        </w:rPr>
        <w:instrText xml:space="preserve"> TC"(</w:instrText>
      </w:r>
      <w:bookmarkStart w:id="1" w:name="DocNumber"/>
      <w:r w:rsidRPr="00542A53">
        <w:rPr>
          <w:i/>
        </w:rPr>
        <w:instrText>A10-0086/2026</w:instrText>
      </w:r>
      <w:bookmarkEnd w:id="1"/>
      <w:r w:rsidRPr="00542A53">
        <w:rPr>
          <w:i/>
        </w:rPr>
        <w:instrText xml:space="preserve"> - Sprawozdawca: Dick Erixon)"\l3 \n&gt; \* MERGEFORMAT </w:instrText>
      </w:r>
      <w:r>
        <w:rPr>
          <w:i/>
        </w:rPr>
        <w:fldChar w:fldCharType="end"/>
      </w:r>
    </w:p>
    <w:p w:rsidR="001132E2" w:rsidRPr="00542A53" w:rsidP="001132E2" w14:paraId="74716BEC" w14:textId="77777777">
      <w:pPr>
        <w:rPr>
          <w:vanish/>
        </w:rPr>
      </w:pPr>
      <w:bookmarkStart w:id="2" w:name="Commission"/>
      <w:r w:rsidRPr="00542A53">
        <w:rPr>
          <w:vanish/>
        </w:rPr>
        <w:t>Komisja Kontroli Budżetowej</w:t>
      </w:r>
      <w:bookmarkEnd w:id="2"/>
    </w:p>
    <w:p w:rsidR="001132E2" w:rsidRPr="00542A53" w:rsidP="001132E2" w14:paraId="3E463645" w14:textId="77777777">
      <w:pPr>
        <w:rPr>
          <w:vanish/>
        </w:rPr>
      </w:pPr>
      <w:bookmarkStart w:id="3" w:name="PE"/>
      <w:r w:rsidRPr="00542A53">
        <w:rPr>
          <w:vanish/>
        </w:rPr>
        <w:t>PE784.237</w:t>
      </w:r>
      <w:bookmarkEnd w:id="3"/>
    </w:p>
    <w:p w:rsidR="001132E2" w:rsidRPr="00542A53" w:rsidP="001132E2" w14:paraId="269CC085" w14:textId="68BE5853">
      <w:pPr>
        <w:pStyle w:val="ATHeading3"/>
      </w:pPr>
      <w:bookmarkStart w:id="4" w:name="Sujet"/>
      <w:r w:rsidRPr="00542A53">
        <w:t xml:space="preserve">Rezolucja Parlamentu Europejskiego z dnia </w:t>
      </w:r>
      <w:r w:rsidR="008E3CAF">
        <w:t>28 kwietnia</w:t>
      </w:r>
      <w:r w:rsidRPr="00542A53">
        <w:t xml:space="preserve"> 2026 r. w sprawie kontroli działalności finansowej Grupy Europejskiego Banku Inwestycyjnego – sprawozdanie roczne za rok 2024</w:t>
      </w:r>
      <w:bookmarkEnd w:id="4"/>
      <w:r w:rsidRPr="00542A53">
        <w:t xml:space="preserve"> </w:t>
      </w:r>
      <w:bookmarkStart w:id="5" w:name="References"/>
      <w:r w:rsidRPr="00542A53">
        <w:t>(2025/2237(INI))</w:t>
      </w:r>
      <w:bookmarkEnd w:id="5"/>
    </w:p>
    <w:p w:rsidR="002A6133" w:rsidRPr="00542A53" w:rsidP="00DE1D6F" w14:paraId="2B2F3CDC" w14:textId="77777777">
      <w:pPr>
        <w:pStyle w:val="Normal12"/>
        <w:spacing w:before="600"/>
      </w:pPr>
      <w:r w:rsidRPr="00DE1D6F">
        <w:rPr>
          <w:i/>
          <w:iCs/>
        </w:rPr>
        <w:t>Parlament Europejski</w:t>
      </w:r>
      <w:r w:rsidRPr="00542A53">
        <w:t>,</w:t>
      </w:r>
    </w:p>
    <w:p w:rsidR="002A6133" w:rsidRPr="00542A53" w:rsidP="002A6133" w14:paraId="4E3E8722" w14:textId="77777777">
      <w:pPr>
        <w:pStyle w:val="NormalHanging"/>
      </w:pPr>
      <w:r w:rsidRPr="00542A53">
        <w:t>–</w:t>
      </w:r>
      <w:r w:rsidRPr="00542A53">
        <w:tab/>
        <w:t>uwzględniając opublikowane 30 stycznia 2025 r. sprawozdanie z działalności Grupy Europejskiego Banku Inwestycyjnego (EBI) za rok 2024 pt. „Priorytety na rzecz dobrobytu”,</w:t>
      </w:r>
    </w:p>
    <w:p w:rsidR="002A6133" w:rsidRPr="00542A53" w:rsidP="002A6133" w14:paraId="4FD2FA91" w14:textId="77777777">
      <w:pPr>
        <w:pStyle w:val="NormalHanging"/>
      </w:pPr>
      <w:r w:rsidRPr="00542A53">
        <w:t>–</w:t>
      </w:r>
      <w:r w:rsidRPr="00542A53">
        <w:tab/>
        <w:t>uwzględniając opublikowane 5 marca 2025 sprawozdanie EBI dotyczące inwestycji w latach 2024–2025 r. pt. „Innowacje, integracja i uproszczenie w Europie” oraz sprawozdanie EBI z 7 lutego 2024 r. dotyczące inwestycji w latach 2023–2024 pt. „Transformacja na rzecz konkurencyjności”,</w:t>
      </w:r>
    </w:p>
    <w:p w:rsidR="002A6133" w:rsidRPr="00542A53" w:rsidP="002A6133" w14:paraId="6BE376FF" w14:textId="77777777">
      <w:pPr>
        <w:pStyle w:val="NormalHanging"/>
      </w:pPr>
      <w:r w:rsidRPr="00542A53">
        <w:t>–</w:t>
      </w:r>
      <w:r w:rsidRPr="00542A53">
        <w:tab/>
        <w:t xml:space="preserve">uwzględniając sprawozdanie grupy EBI z wdrażania polityki przejrzystości grupy EBI za 2023 r., opublikowane 1 lipca 2024 </w:t>
      </w:r>
      <w:r w:rsidRPr="00542A53">
        <w:t>r.,</w:t>
      </w:r>
      <w:r w:rsidRPr="00542A53">
        <w:t xml:space="preserve"> oraz politykę przejrzystości EBI zatwierdzoną 17 listopada 2021 r. i zmienioną 16 lipca 2025 r.,</w:t>
      </w:r>
    </w:p>
    <w:p w:rsidR="002A6133" w:rsidRPr="00542A53" w:rsidP="002A6133" w14:paraId="10590B2D" w14:textId="77777777">
      <w:pPr>
        <w:pStyle w:val="NormalHanging"/>
      </w:pPr>
      <w:r w:rsidRPr="00542A53">
        <w:t>–</w:t>
      </w:r>
      <w:r w:rsidRPr="00542A53">
        <w:tab/>
        <w:t>uwzględniając strategiczny plan działania grupy EBI na lata 2024–2027 z 21 czerwca 2024 r.,</w:t>
      </w:r>
    </w:p>
    <w:p w:rsidR="002A6133" w:rsidRPr="00542A53" w:rsidP="002A6133" w14:paraId="430E7E9C" w14:textId="77777777">
      <w:pPr>
        <w:pStyle w:val="NormalHanging"/>
      </w:pPr>
      <w:r w:rsidRPr="00542A53">
        <w:t>–</w:t>
      </w:r>
      <w:r w:rsidRPr="00542A53">
        <w:tab/>
        <w:t>uwzględniając raport EBI na temat globalnego oddziaływania w latach 2023–2024, opublikowany 13 czerwca 2024 r.,</w:t>
      </w:r>
    </w:p>
    <w:p w:rsidR="002A6133" w:rsidRPr="00542A53" w:rsidP="002A6133" w14:paraId="1E1C0888" w14:textId="77777777">
      <w:pPr>
        <w:pStyle w:val="NormalHanging"/>
      </w:pPr>
      <w:r w:rsidRPr="00542A53">
        <w:t>–</w:t>
      </w:r>
      <w:r w:rsidRPr="00542A53">
        <w:tab/>
        <w:t>uwzględniając decyzję Rady (UE) 2025/504 z dnia 11 marca 2025 r. zmieniającą protokół nr 5 w sprawie Statutu Europejskiego Banku Inwestycyjnego</w:t>
      </w:r>
      <w:r>
        <w:rPr>
          <w:rStyle w:val="FootnoteReference"/>
        </w:rPr>
        <w:footnoteReference w:customMarkFollows="1" w:id="2"/>
        <w:t xml:space="preserve">1</w:t>
      </w:r>
      <w:r w:rsidRPr="00542A53">
        <w:t>,</w:t>
      </w:r>
    </w:p>
    <w:p w:rsidR="002A6133" w:rsidRPr="00542A53" w:rsidP="002A6133" w14:paraId="3480056D" w14:textId="77777777">
      <w:pPr>
        <w:pStyle w:val="NormalHanging"/>
      </w:pPr>
      <w:r w:rsidRPr="00542A53">
        <w:t>–</w:t>
      </w:r>
      <w:r w:rsidRPr="00542A53">
        <w:tab/>
        <w:t>uwzględniając plan działania grupy EBI dotyczący bezpieczeństwa i przemysłu obronnego, przedstawiony 12 kwietnia 2024 r. na posiedzeniu Rady do Spraw Gospodarczych i Finansowych w Luksemburgu,</w:t>
      </w:r>
    </w:p>
    <w:p w:rsidR="002A6133" w:rsidRPr="00542A53" w:rsidP="002A6133" w14:paraId="2E5CED08" w14:textId="0A6A5219">
      <w:pPr>
        <w:pStyle w:val="NormalHanging"/>
      </w:pPr>
      <w:r w:rsidRPr="00542A53">
        <w:t>–</w:t>
      </w:r>
      <w:r w:rsidRPr="00542A53">
        <w:tab/>
        <w:t xml:space="preserve">uwzględniając plan operacyjny grupy EBI na lata 2024–2026 z 9 lutego 2024 r. oraz plan operacyjny grupy EBI na lata 2025–2027 z </w:t>
      </w:r>
      <w:r w:rsidR="008E3CAF">
        <w:t xml:space="preserve">dnia </w:t>
      </w:r>
      <w:r w:rsidRPr="00542A53">
        <w:t>30 stycznia 2025 r.,</w:t>
      </w:r>
    </w:p>
    <w:p w:rsidR="002A6133" w:rsidRPr="00542A53" w:rsidP="002A6133" w14:paraId="3DFE1BDB" w14:textId="7D0859A1">
      <w:pPr>
        <w:pStyle w:val="NormalHanging"/>
      </w:pPr>
      <w:r w:rsidRPr="00542A53">
        <w:t>–</w:t>
      </w:r>
      <w:r w:rsidRPr="00542A53">
        <w:tab/>
        <w:t xml:space="preserve">uwzględniając trzecie sprawozdanie roczne grupy EIB z </w:t>
      </w:r>
      <w:r w:rsidR="008E3CAF">
        <w:t xml:space="preserve">dnia </w:t>
      </w:r>
      <w:r w:rsidRPr="00542A53">
        <w:t>15 lipca 2024 r. pt. „Działania grupy EBI w regionach UE objętych polityką spójności”,</w:t>
      </w:r>
    </w:p>
    <w:p w:rsidR="002A6133" w:rsidRPr="00542A53" w:rsidP="002A6133" w14:paraId="587F7321" w14:textId="117E7C55">
      <w:pPr>
        <w:pStyle w:val="NormalHanging"/>
      </w:pPr>
      <w:r w:rsidRPr="00542A53">
        <w:t>–</w:t>
      </w:r>
      <w:r w:rsidRPr="00542A53">
        <w:tab/>
        <w:t xml:space="preserve">uwzględniając decyzję Rady EBI z </w:t>
      </w:r>
      <w:r w:rsidR="008E3CAF">
        <w:t xml:space="preserve">dnia </w:t>
      </w:r>
      <w:r w:rsidRPr="00542A53">
        <w:t xml:space="preserve">21 marca 2025 r. ograniczającą wykluczone działania, która jest zgodna ze stanowiskiem Rady Europejskiej z </w:t>
      </w:r>
      <w:r w:rsidR="008E3CAF">
        <w:t xml:space="preserve">dnia </w:t>
      </w:r>
      <w:r w:rsidRPr="00542A53">
        <w:t>6 marca 2025 r.,</w:t>
      </w:r>
    </w:p>
    <w:p w:rsidR="002A6133" w:rsidRPr="00542A53" w:rsidP="002A6133" w14:paraId="2C709946" w14:textId="229681F3">
      <w:pPr>
        <w:pStyle w:val="NormalHanging"/>
      </w:pPr>
      <w:r w:rsidRPr="00542A53">
        <w:t>–</w:t>
      </w:r>
      <w:r w:rsidRPr="00542A53">
        <w:tab/>
        <w:t>uwzględniając komunikat Komisji z </w:t>
      </w:r>
      <w:r w:rsidR="008E3CAF">
        <w:t xml:space="preserve">dnia </w:t>
      </w:r>
      <w:r w:rsidRPr="00542A53">
        <w:t>19 marca 2025 r. pt. „Unia oszczędności i inwestycji – strategia na rzecz zwiększenia zamożności obywateli i konkurencyjności gospodarczej w UE” (</w:t>
      </w:r>
      <w:r w:rsidRPr="00542A53">
        <w:t>COM(</w:t>
      </w:r>
      <w:r w:rsidRPr="00542A53">
        <w:t>2025)0124),</w:t>
      </w:r>
    </w:p>
    <w:p w:rsidR="002A6133" w:rsidRPr="00542A53" w:rsidP="002A6133" w14:paraId="76B4D590" w14:textId="1A2FD947">
      <w:pPr>
        <w:pStyle w:val="NormalHanging"/>
      </w:pPr>
      <w:r w:rsidRPr="00542A53">
        <w:t>–</w:t>
      </w:r>
      <w:r w:rsidRPr="00542A53">
        <w:tab/>
        <w:t xml:space="preserve">uwzględniając sprawozdanie grupy EBI z </w:t>
      </w:r>
      <w:r w:rsidR="008E3CAF">
        <w:t xml:space="preserve">dnia </w:t>
      </w:r>
      <w:r w:rsidRPr="00542A53">
        <w:t>10 czerwca 2025 r. pt. „Mechanizm rozpatrywania skarg – sprawozdanie roczne za rok 2024”,</w:t>
      </w:r>
    </w:p>
    <w:p w:rsidR="002A6133" w:rsidRPr="00542A53" w:rsidP="002A6133" w14:paraId="1271EBED" w14:textId="77777777">
      <w:pPr>
        <w:pStyle w:val="NormalHanging"/>
      </w:pPr>
      <w:r w:rsidRPr="00542A53">
        <w:t>–</w:t>
      </w:r>
      <w:r w:rsidRPr="00542A53">
        <w:tab/>
        <w:t>uwzględniając sprawozdania roczne Komitetu Kontroli i Audytu EBI za 2024 r., opublikowane 12 września 2025 r.,</w:t>
      </w:r>
    </w:p>
    <w:p w:rsidR="002A6133" w:rsidRPr="00542A53" w:rsidP="002A6133" w14:paraId="3774AB41" w14:textId="20459780">
      <w:pPr>
        <w:pStyle w:val="NormalHanging"/>
      </w:pPr>
      <w:r w:rsidRPr="00542A53">
        <w:t>–</w:t>
      </w:r>
      <w:r w:rsidRPr="00542A53">
        <w:tab/>
        <w:t>uwzględniając sprawozdanie grupy EIB z</w:t>
      </w:r>
      <w:r w:rsidR="008E3CAF">
        <w:t xml:space="preserve"> dnia</w:t>
      </w:r>
      <w:r w:rsidRPr="00542A53">
        <w:t xml:space="preserve"> 26 czerwca 2024 r. pt. „Wsparcie grupy EBI dla przedsiębiorstw w UE – dowody na skuteczność w niwelowaniu niedoskonałości rynku”,</w:t>
      </w:r>
    </w:p>
    <w:p w:rsidR="002A6133" w:rsidRPr="00542A53" w:rsidP="002A6133" w14:paraId="11DAB362" w14:textId="77777777">
      <w:pPr>
        <w:pStyle w:val="NormalHanging"/>
      </w:pPr>
      <w:r w:rsidRPr="00542A53">
        <w:t>–</w:t>
      </w:r>
      <w:r w:rsidRPr="00542A53">
        <w:tab/>
        <w:t>uwzględniając wspólny komunikat Komisji oraz wysokiego przedstawiciela Unii do spraw zagranicznych i polityki bezpieczeństwa z 5 marca 2024 r. pt. „Nowa strategia na rzecz europejskiego przemysłu obronnego – osiągnięcie gotowości UE dzięki zdolnemu do reagowania i odpornemu europejskiemu przemysłowi obronnemu” (</w:t>
      </w:r>
      <w:r w:rsidRPr="00542A53">
        <w:t>JOIN(</w:t>
      </w:r>
      <w:r w:rsidRPr="00542A53">
        <w:t>2024)0010),</w:t>
      </w:r>
    </w:p>
    <w:p w:rsidR="002A6133" w:rsidRPr="00542A53" w:rsidP="002A6133" w14:paraId="0E20771E" w14:textId="692C2DC9">
      <w:pPr>
        <w:pStyle w:val="NormalHanging"/>
      </w:pPr>
      <w:r w:rsidRPr="00542A53">
        <w:t>–</w:t>
      </w:r>
      <w:r w:rsidRPr="00542A53">
        <w:tab/>
        <w:t xml:space="preserve">uwzględniając sprawozdanie specjalne Europejskiego Trybunału Obrachunkowego (ETO) nr 22/2024 z </w:t>
      </w:r>
      <w:r w:rsidR="008E3CAF">
        <w:t xml:space="preserve">dnia </w:t>
      </w:r>
      <w:r w:rsidRPr="00542A53">
        <w:t>21 października 2024 r. pt. „Podwójne finansowanie z budżetu UE”,</w:t>
      </w:r>
    </w:p>
    <w:p w:rsidR="002A6133" w:rsidRPr="00542A53" w:rsidP="002A6133" w14:paraId="0E867C70" w14:textId="7557528C">
      <w:pPr>
        <w:pStyle w:val="NormalHanging"/>
      </w:pPr>
      <w:r w:rsidRPr="00542A53">
        <w:t>–</w:t>
      </w:r>
      <w:r w:rsidRPr="00542A53">
        <w:tab/>
        <w:t xml:space="preserve">uwzględniając sprawozdanie specjalne ETO nr 07/2025 z </w:t>
      </w:r>
      <w:r w:rsidR="008E3CAF">
        <w:t xml:space="preserve">dnia </w:t>
      </w:r>
      <w:r w:rsidRPr="00542A53">
        <w:t>19 marca 2025 r. pt. „Europejski Fundusz na rzecz Inwestycji Strategicznych”,</w:t>
      </w:r>
    </w:p>
    <w:p w:rsidR="002A6133" w:rsidRPr="00542A53" w:rsidP="002A6133" w14:paraId="5860938D" w14:textId="2CA8A730">
      <w:pPr>
        <w:pStyle w:val="NormalHanging"/>
      </w:pPr>
      <w:r w:rsidRPr="00542A53">
        <w:t>–</w:t>
      </w:r>
      <w:r w:rsidRPr="00542A53">
        <w:tab/>
        <w:t xml:space="preserve">uwzględniając sprawozdanie grupy EBI z </w:t>
      </w:r>
      <w:r w:rsidR="008E3CAF">
        <w:t xml:space="preserve">dnia </w:t>
      </w:r>
      <w:r w:rsidRPr="00542A53">
        <w:t>8 sierpnia 2025 r. pt. „Sprawozdanie z ujawniania informacji o zarządzaniu ryzykiem Grupy Europejskiego Banku Inwestycyjnego – grudzień 2024 r.”,</w:t>
      </w:r>
    </w:p>
    <w:p w:rsidR="002A6133" w:rsidRPr="00542A53" w:rsidP="002A6133" w14:paraId="0C097147" w14:textId="77777777">
      <w:pPr>
        <w:pStyle w:val="NormalHanging"/>
      </w:pPr>
      <w:r w:rsidRPr="00542A53">
        <w:t>–</w:t>
      </w:r>
      <w:r w:rsidRPr="00542A53">
        <w:tab/>
        <w:t>uwzględniając sprawozdanie EBI z działalności dochodzeniowej za rok 2024, opublikowane 4 sierpnia 2025 r.,</w:t>
      </w:r>
    </w:p>
    <w:p w:rsidR="002A6133" w:rsidRPr="00542A53" w:rsidP="002A6133" w14:paraId="614B573B" w14:textId="5B638E45">
      <w:pPr>
        <w:pStyle w:val="NormalHanging"/>
      </w:pPr>
      <w:r w:rsidRPr="00542A53">
        <w:t>–</w:t>
      </w:r>
      <w:r w:rsidRPr="00542A53">
        <w:tab/>
        <w:t>uwzględniając wspólny komunikat Komisji oraz wysokiego przedstawiciela Unii do spraw zagranicznych i polityki bezpieczeństwa z </w:t>
      </w:r>
      <w:r w:rsidR="008E3CAF">
        <w:t xml:space="preserve">dnia </w:t>
      </w:r>
      <w:r w:rsidRPr="00542A53">
        <w:t>19 marca 2025 r. pt. „Wspólna biała księga w sprawie obronności europejskiej – Gotowość 2030” (</w:t>
      </w:r>
      <w:r w:rsidRPr="00542A53">
        <w:t>JOIN(</w:t>
      </w:r>
      <w:r w:rsidRPr="00542A53">
        <w:t>2025)0120),</w:t>
      </w:r>
    </w:p>
    <w:p w:rsidR="002A6133" w:rsidRPr="00542A53" w:rsidP="002A6133" w14:paraId="225E533E" w14:textId="77777777">
      <w:pPr>
        <w:pStyle w:val="NormalHanging"/>
      </w:pPr>
      <w:r w:rsidRPr="00542A53">
        <w:t>–</w:t>
      </w:r>
      <w:r w:rsidRPr="00542A53">
        <w:tab/>
        <w:t>uwzględniając sprawozdanie grupy EBI z lipca 2025 r. pt. „Wkład grupy EBI w wieloletnie ramy finansowe Unii Europejskiej na lata 2021–2027 – synteza dowodów z oceny”,</w:t>
      </w:r>
    </w:p>
    <w:p w:rsidR="002A6133" w:rsidRPr="00542A53" w:rsidP="002A6133" w14:paraId="17AC3F14" w14:textId="77777777">
      <w:pPr>
        <w:pStyle w:val="NormalHanging"/>
      </w:pPr>
      <w:r w:rsidRPr="00542A53">
        <w:t>–</w:t>
      </w:r>
      <w:r w:rsidRPr="00542A53">
        <w:tab/>
        <w:t>uwzględniając badanie Komisji z 2024 r. pt. „Dostęp do finansowania kapitałowego dla europejskich MŚP z sektora obronnego”</w:t>
      </w:r>
      <w:r>
        <w:rPr>
          <w:rStyle w:val="FootnoteReference"/>
        </w:rPr>
        <w:footnoteReference w:customMarkFollows="1" w:id="3"/>
        <w:t xml:space="preserve">2</w:t>
      </w:r>
      <w:r w:rsidRPr="00542A53">
        <w:t>,</w:t>
      </w:r>
    </w:p>
    <w:p w:rsidR="002A6133" w:rsidRPr="00542A53" w:rsidP="002A6133" w14:paraId="45FC95AB" w14:textId="7C2ED144">
      <w:pPr>
        <w:pStyle w:val="NormalHanging"/>
      </w:pPr>
      <w:r w:rsidRPr="00542A53">
        <w:t>–</w:t>
      </w:r>
      <w:r w:rsidRPr="00542A53">
        <w:tab/>
        <w:t xml:space="preserve">uwzględniając opinię ETO nr 01/2026 z </w:t>
      </w:r>
      <w:r w:rsidR="008E3CAF">
        <w:t xml:space="preserve">dnia </w:t>
      </w:r>
      <w:r w:rsidRPr="00542A53">
        <w:t>12 stycznia 2026 r.,</w:t>
      </w:r>
    </w:p>
    <w:p w:rsidR="002A6133" w:rsidRPr="00542A53" w:rsidP="002A6133" w14:paraId="06068BD4" w14:textId="5F17629C">
      <w:pPr>
        <w:pStyle w:val="NormalHanging"/>
      </w:pPr>
      <w:r w:rsidRPr="00542A53">
        <w:t>–</w:t>
      </w:r>
      <w:r w:rsidRPr="00542A53">
        <w:tab/>
        <w:t xml:space="preserve">uwzględniając oświadczenie CC 1/2025 komitetu kontaktowego najwyższych organów kontroli Unii Europejskiej z </w:t>
      </w:r>
      <w:r w:rsidR="008E3CAF">
        <w:t xml:space="preserve">dnia </w:t>
      </w:r>
      <w:r w:rsidRPr="00542A53">
        <w:t>30 września 2025 r. w sprawie zewnętrznej kontroli publicznej nad Europejskim Bankiem Inwestycyjnym,</w:t>
      </w:r>
    </w:p>
    <w:p w:rsidR="002A6133" w:rsidRPr="00542A53" w:rsidP="002A6133" w14:paraId="442EFB2A" w14:textId="206967F6">
      <w:pPr>
        <w:pStyle w:val="NormalHanging"/>
      </w:pPr>
      <w:r w:rsidRPr="00542A53">
        <w:t>–</w:t>
      </w:r>
      <w:r w:rsidRPr="00542A53">
        <w:tab/>
        <w:t xml:space="preserve">uwzględniając sprawozdanie Enrica </w:t>
      </w:r>
      <w:r w:rsidRPr="00542A53">
        <w:t>Letty</w:t>
      </w:r>
      <w:r w:rsidRPr="00542A53">
        <w:t xml:space="preserve"> z </w:t>
      </w:r>
      <w:r w:rsidR="008E3CAF">
        <w:t xml:space="preserve">dnia </w:t>
      </w:r>
      <w:r w:rsidRPr="00542A53">
        <w:t xml:space="preserve">17 kwietnia 2024 r. pt. „Znacznie więcej niż rynek. Szybkość, bezpieczeństwo, solidarność – wzmocnienie jednolitego rynku w celu zapewnienia zrównoważonej przyszłości i dobrobytu wszystkim obywatelom UE” (sprawozdanie </w:t>
      </w:r>
      <w:r w:rsidRPr="00542A53">
        <w:t>Letty</w:t>
      </w:r>
      <w:r w:rsidRPr="00542A53">
        <w:t>),</w:t>
      </w:r>
    </w:p>
    <w:p w:rsidR="002A6133" w:rsidRPr="00542A53" w:rsidP="002A6133" w14:paraId="5966481B" w14:textId="25B0B5B4">
      <w:pPr>
        <w:pStyle w:val="NormalHanging"/>
      </w:pPr>
      <w:r w:rsidRPr="00542A53">
        <w:t>–</w:t>
      </w:r>
      <w:r w:rsidRPr="00542A53">
        <w:tab/>
        <w:t xml:space="preserve">uwzględniając sprawozdanie komisji ekspertów pod przewodnictwem Christiana </w:t>
      </w:r>
      <w:r w:rsidRPr="00542A53">
        <w:t>Noyera</w:t>
      </w:r>
      <w:r w:rsidRPr="00542A53">
        <w:t xml:space="preserve"> z </w:t>
      </w:r>
      <w:r w:rsidR="008E3CAF">
        <w:t xml:space="preserve">dnia </w:t>
      </w:r>
      <w:r w:rsidRPr="00542A53">
        <w:t>25 kwietnia 2024 r. pt. „Rozwój europejskich rynków kapitałowych w celu finansowania przyszłości”,</w:t>
      </w:r>
    </w:p>
    <w:p w:rsidR="002A6133" w:rsidRPr="00542A53" w:rsidP="002A6133" w14:paraId="43E92972" w14:textId="20A71E9F">
      <w:pPr>
        <w:pStyle w:val="NormalHanging"/>
      </w:pPr>
      <w:r w:rsidRPr="00542A53">
        <w:t>–</w:t>
      </w:r>
      <w:r w:rsidRPr="00542A53">
        <w:tab/>
        <w:t xml:space="preserve">uwzględniając raport Maria </w:t>
      </w:r>
      <w:r w:rsidRPr="00542A53">
        <w:t>Draghiego</w:t>
      </w:r>
      <w:r w:rsidRPr="00542A53">
        <w:t xml:space="preserve"> z </w:t>
      </w:r>
      <w:r w:rsidR="008E3CAF">
        <w:t xml:space="preserve">dnia </w:t>
      </w:r>
      <w:r w:rsidRPr="00542A53">
        <w:t xml:space="preserve">9 września 2024 r. na temat przyszłości europejskiej konkurencyjności (raport </w:t>
      </w:r>
      <w:r w:rsidRPr="00542A53">
        <w:t>Draghiego</w:t>
      </w:r>
      <w:r w:rsidRPr="00542A53">
        <w:t>),</w:t>
      </w:r>
    </w:p>
    <w:p w:rsidR="002A6133" w:rsidRPr="00542A53" w:rsidP="002A6133" w14:paraId="62E7DAFF" w14:textId="3D325E63">
      <w:pPr>
        <w:pStyle w:val="NormalHanging"/>
      </w:pPr>
      <w:r w:rsidRPr="00542A53">
        <w:t>–</w:t>
      </w:r>
      <w:r w:rsidRPr="00542A53">
        <w:tab/>
        <w:t xml:space="preserve">uwzględniając oświadczenie prasowe przewodniczącej Komisji Ursuli von der </w:t>
      </w:r>
      <w:r w:rsidRPr="00542A53">
        <w:t>Leyen</w:t>
      </w:r>
      <w:r w:rsidRPr="00542A53">
        <w:t xml:space="preserve"> z </w:t>
      </w:r>
      <w:r w:rsidR="008E3CAF">
        <w:t xml:space="preserve">dnia </w:t>
      </w:r>
      <w:r w:rsidRPr="00542A53">
        <w:t>4 marca 2025 r. w sprawie pakietu dotyczącego obronności,</w:t>
      </w:r>
    </w:p>
    <w:p w:rsidR="002A6133" w:rsidRPr="00542A53" w:rsidP="002A6133" w14:paraId="73C947A5" w14:textId="2EDBFBD3">
      <w:pPr>
        <w:pStyle w:val="NormalHanging"/>
      </w:pPr>
      <w:r w:rsidRPr="00542A53">
        <w:t>–</w:t>
      </w:r>
      <w:r w:rsidRPr="00542A53">
        <w:tab/>
        <w:t xml:space="preserve">uwzględniając swoją rezolucję z </w:t>
      </w:r>
      <w:r w:rsidR="008E3CAF">
        <w:t xml:space="preserve">dnia </w:t>
      </w:r>
      <w:r w:rsidRPr="00542A53">
        <w:t>12 marca 2025 r. w sprawie białej księgi dotyczącej przyszłości europejskiej obrony</w:t>
      </w:r>
      <w:r>
        <w:rPr>
          <w:rStyle w:val="FootnoteReference"/>
        </w:rPr>
        <w:footnoteReference w:customMarkFollows="1" w:id="4"/>
        <w:t xml:space="preserve">3</w:t>
      </w:r>
      <w:r w:rsidRPr="00542A53">
        <w:t>,</w:t>
      </w:r>
    </w:p>
    <w:p w:rsidR="002A6133" w:rsidRPr="00542A53" w:rsidP="002A6133" w14:paraId="0BCE6B12" w14:textId="77777777">
      <w:pPr>
        <w:pStyle w:val="NormalHanging"/>
      </w:pPr>
      <w:r w:rsidRPr="00542A53">
        <w:t>–</w:t>
      </w:r>
      <w:r w:rsidRPr="00542A53">
        <w:tab/>
        <w:t>uwzględniając wykaz wyłączonych rodzajów działalności grupy EBI, opublikowany 17 lipca 2025 r.,</w:t>
      </w:r>
    </w:p>
    <w:p w:rsidR="002A6133" w:rsidRPr="00542A53" w:rsidP="002A6133" w14:paraId="08EE5B32" w14:textId="77777777">
      <w:pPr>
        <w:pStyle w:val="NormalHanging"/>
      </w:pPr>
      <w:r w:rsidRPr="00542A53">
        <w:t>–</w:t>
      </w:r>
      <w:r w:rsidRPr="00542A53">
        <w:tab/>
        <w:t>uwzględniając art. 55 Regulaminu,</w:t>
      </w:r>
    </w:p>
    <w:p w:rsidR="002A6133" w:rsidRPr="00542A53" w:rsidP="002A6133" w14:paraId="3B2D55D8" w14:textId="77777777">
      <w:pPr>
        <w:pStyle w:val="NormalHanging"/>
      </w:pPr>
      <w:r w:rsidRPr="00542A53">
        <w:t>–</w:t>
      </w:r>
      <w:r w:rsidRPr="00542A53">
        <w:tab/>
        <w:t>uwzględniając sprawozdanie Komisji Kontroli Budżetowej (A10-0086/2026),</w:t>
      </w:r>
    </w:p>
    <w:p w:rsidR="002A6133" w:rsidRPr="00542A53" w:rsidP="002A6133" w14:paraId="554320A6" w14:textId="77777777">
      <w:pPr>
        <w:pStyle w:val="NormalHanging"/>
      </w:pPr>
      <w:r w:rsidRPr="00542A53">
        <w:t>A.</w:t>
      </w:r>
      <w:r w:rsidRPr="00542A53">
        <w:tab/>
        <w:t>mając na uwadze, że grupa EBI obejmuje EBI i Europejski Fundusz Inwestycyjny (EFI), przy czym EBI jest największą na świecie wielostronną instytucją finansową, będącą w całości własnością państw członkowskich UE; mając na uwadze, że działalność banku publicznego powinna polegać na usuwaniu wyraźnych niedoskonałości rynku i uzupełnianiu niewystarczających inwestycji w sytuacji braku finansowania prywatnego;</w:t>
      </w:r>
    </w:p>
    <w:p w:rsidR="002A6133" w:rsidRPr="00542A53" w:rsidP="002A6133" w14:paraId="0B4870B3" w14:textId="77777777">
      <w:pPr>
        <w:pStyle w:val="NormalHanging"/>
      </w:pPr>
      <w:r w:rsidRPr="00542A53">
        <w:t>B.</w:t>
      </w:r>
      <w:r w:rsidRPr="00542A53">
        <w:tab/>
        <w:t>mając na uwadze, że zgodnie z postanowieniami traktatów UE grupa EBI powinna przyczyniać się do zrównoważonego i stałego rozwoju rynku wewnętrznego w interesie Unii; mając na uwadze, że jej inwestycje powinny koncentrować się na projektach charakteryzujących się dowiedzioną dodatkowością i optymalnym wykorzystaniem środków finansowych oraz mających na celu rozwój rynku wewnętrznego lub na projektach będących przedmiotem wspólnego zainteresowania, które nie mogą być w całości sfinansowane ze środków dostępnych w jednym z państw członkowskich;</w:t>
      </w:r>
    </w:p>
    <w:p w:rsidR="002A6133" w:rsidRPr="00542A53" w:rsidP="002A6133" w14:paraId="7518482F" w14:textId="77777777">
      <w:pPr>
        <w:pStyle w:val="NormalHanging"/>
      </w:pPr>
      <w:r w:rsidRPr="00542A53">
        <w:t>C.</w:t>
      </w:r>
      <w:r w:rsidRPr="00542A53">
        <w:tab/>
        <w:t>mając na uwadze, że finansowanie EBI powinno uzupełniać, a nie zastępować budżety krajowe i finansowanie prywatne oraz powinno być zgodne z zasadą pomocniczości, zwłaszcza w dziedzinach polityki, które w pierwszej kolejności są w gestii państw członkowskich; mając na uwadze, że finansowanie EBI musi zapewniać wyraźną unijną wartość dodaną i przynosić wymierne rezultaty pod względem rzeczywistej dodatkowości;</w:t>
      </w:r>
    </w:p>
    <w:p w:rsidR="002A6133" w:rsidRPr="00542A53" w:rsidP="002A6133" w14:paraId="3F962604" w14:textId="77777777">
      <w:pPr>
        <w:pStyle w:val="NormalHanging"/>
      </w:pPr>
      <w:r w:rsidRPr="00542A53">
        <w:t>D.</w:t>
      </w:r>
      <w:r w:rsidRPr="00542A53">
        <w:tab/>
        <w:t>mając na uwadze, że grupa EBI przyczynia się do promowania spójności gospodarczej, społecznej i terytorialnej w UE oraz wspiera unijną politykę współpracy na rzecz rozwoju poprzez środki wdrażane poza UE;</w:t>
      </w:r>
    </w:p>
    <w:p w:rsidR="002A6133" w:rsidRPr="00542A53" w:rsidP="002A6133" w14:paraId="7E3D3380" w14:textId="77777777">
      <w:pPr>
        <w:pStyle w:val="NormalHanging"/>
      </w:pPr>
      <w:r w:rsidRPr="00542A53">
        <w:t>E.</w:t>
      </w:r>
      <w:r w:rsidRPr="00542A53">
        <w:tab/>
        <w:t xml:space="preserve">mając na uwadze, że w sprawozdaniach </w:t>
      </w:r>
      <w:r w:rsidRPr="00542A53">
        <w:t>Letty</w:t>
      </w:r>
      <w:r w:rsidRPr="00542A53">
        <w:t xml:space="preserve"> i </w:t>
      </w:r>
      <w:r w:rsidRPr="00542A53">
        <w:t>Draghiego</w:t>
      </w:r>
      <w:r w:rsidRPr="00542A53">
        <w:t xml:space="preserve"> dotyczących przyszłości UE wzywa się do wzmocnienia konkurencyjności UE oraz podkreśla kluczową rolę integracji rynkowej i potrzebę przyspieszenia inwestycji publicznych i prywatnych w celu zbudowania silniejszej Europy; mając na uwadze, że grupa EBI odgrywa kluczową rolę, zwłaszcza za pośrednictwem EFI, we wspieraniu małych i średnich przedsiębiorstw (MŚP), a tym samym zwiększa ich zdolność dostępu do rynków finansowych; mając na uwadze, że rolę EBI w dziedzinie mieszkalnictwa należy oceniać na podstawie kryteriów dodatkowości oraz że EBI powinien uzupełniać działania krajowe, a nie je zastępować;</w:t>
      </w:r>
    </w:p>
    <w:p w:rsidR="002A6133" w:rsidRPr="00542A53" w:rsidP="002A6133" w14:paraId="0CEDC3B8" w14:textId="77777777">
      <w:pPr>
        <w:pStyle w:val="NormalHanging"/>
      </w:pPr>
      <w:r w:rsidRPr="00542A53">
        <w:t>F.</w:t>
      </w:r>
      <w:r w:rsidRPr="00542A53">
        <w:tab/>
        <w:t>mając na uwadze, że rating kredytowy EBI na poziomie AAA stanowi strategiczny atut dla Unii Europejskiej i jej państw członkowskich;</w:t>
      </w:r>
    </w:p>
    <w:p w:rsidR="002A6133" w:rsidRPr="00542A53" w:rsidP="002A6133" w14:paraId="187A1408" w14:textId="77777777">
      <w:pPr>
        <w:pStyle w:val="NormalHanging"/>
      </w:pPr>
      <w:r w:rsidRPr="00542A53">
        <w:t>G.</w:t>
      </w:r>
      <w:r w:rsidRPr="00542A53">
        <w:tab/>
        <w:t>mając na uwadze, że niniejsze sprawozdanie koncentruje się na wymiarze kontrolnym działań EBI i ocenia się w nim stosunek wartości do ceny, rozliczalność i należyte zarządzanie zasobami UE; mając na uwadze, że ciągłe rozszerzanie mandatu EBI i wzrost gwarancji budżetowych UE wspierających jego operacje sprawia, że uzasadnione i konieczne jest odpowiednie podniesienie poziomu kontroli zewnętrznej;</w:t>
      </w:r>
    </w:p>
    <w:p w:rsidR="002A6133" w:rsidRPr="00542A53" w:rsidP="002A6133" w14:paraId="1E5F3480" w14:textId="77777777">
      <w:pPr>
        <w:pStyle w:val="NormalHanging"/>
      </w:pPr>
      <w:r w:rsidRPr="00542A53">
        <w:t>H.</w:t>
      </w:r>
      <w:r w:rsidRPr="00542A53">
        <w:tab/>
        <w:t>mając na uwadze, że demokratyczna rozliczalność musi nadążać za zmieniającą się rolą EBI; mając na uwadze, że intensywność i jakość nadzoru Parlamentu nad operacjami finansowymi EBI powinny odpowiadać intensywności współpracy EBI z Komisją, która stała się bardzo znacząca; mając na uwadze, że rosnącej roli EBI powinna towarzyszyć większa demokratyczna rozliczalność i przejrzystość, mając na uwadze, że bardziej rygorystyczna kontrola parlamentarna poprawiłaby demokratyczną rozliczalność EBI, a to wymaga przejrzystej sprawozdawczości, dostępu do audytu i zorganizowanych działań następczych w związku z zaleceniami Parlamentu;</w:t>
      </w:r>
    </w:p>
    <w:p w:rsidR="002A6133" w:rsidRPr="00542A53" w:rsidP="002A6133" w14:paraId="456DD1D0" w14:textId="77777777">
      <w:pPr>
        <w:pStyle w:val="NormalHanging"/>
      </w:pPr>
      <w:r w:rsidRPr="00542A53">
        <w:t>I.</w:t>
      </w:r>
      <w:r w:rsidRPr="00542A53">
        <w:tab/>
        <w:t>mając na uwadze, że skuteczna ochrona sygnalistów i dziennikarstwo śledcze przyczyniają się do zapobiegania nadużyciom finansowym i do należytego zarządzania finansami, ponieważ poprawiają przejrzystość i kontrolę publiczną;</w:t>
      </w:r>
    </w:p>
    <w:p w:rsidR="002A6133" w:rsidRPr="00542A53" w:rsidP="002A6133" w14:paraId="21170510" w14:textId="77777777">
      <w:pPr>
        <w:pStyle w:val="NormalHanging"/>
      </w:pPr>
      <w:r w:rsidRPr="00542A53">
        <w:t>J.</w:t>
      </w:r>
      <w:r w:rsidRPr="00542A53">
        <w:tab/>
        <w:t>mając na uwadze, że EBI jest własnością państw członkowskich, a jego kapitał subskrybowany w wysokości 248,8 mld EUR stanowi zobowiązanie wobec podatników; mając na uwadze, że pożyczki zaciągane przez EBI nie pojawiają się w krajowych statystykach długu publicznego; mając na uwadze, że ów pozabilansowy charakter sprawia, że zasadnicze znaczenie mają rygorystyczne normy efektywności i kontrola zewnętrzna; mając na uwadze, że rozszerzeniu mandatu EBI musi towarzyszyć wzmocnienie mechanizmów kontroli zewnętrznej;</w:t>
      </w:r>
    </w:p>
    <w:p w:rsidR="002A6133" w:rsidRPr="00542A53" w:rsidP="002A6133" w14:paraId="0B29EAE4" w14:textId="77777777">
      <w:pPr>
        <w:pStyle w:val="NormalHanging"/>
      </w:pPr>
      <w:r w:rsidRPr="00542A53">
        <w:t>K.</w:t>
      </w:r>
      <w:r w:rsidRPr="00542A53">
        <w:tab/>
        <w:t>mając na uwadze, że grupa EBI posiada wewnętrzne mechanizmy rozliczalności, które nie zastępują jednak niezależnej zewnętrznej kontroli demokratycznej i nadzoru ze strony ETO;</w:t>
      </w:r>
    </w:p>
    <w:p w:rsidR="002A6133" w:rsidRPr="00542A53" w:rsidP="002A6133" w14:paraId="6224E985" w14:textId="77777777">
      <w:pPr>
        <w:pStyle w:val="NormalHanging"/>
      </w:pPr>
      <w:r w:rsidRPr="00542A53">
        <w:t>L.</w:t>
      </w:r>
      <w:r w:rsidRPr="00542A53">
        <w:tab/>
        <w:t>mając na uwadze, że zgodnie z obecnymi ramami traktatowymi i statutem EBI współpraca między EBI a Parlamentem w kontekście rocznego sprawozdania z kontroli opiera się w dużej mierze na nieformalnych ustaleniach i utrwalonych praktykach, a nie na wiążących zobowiązaniach instytucjonalnych;</w:t>
      </w:r>
    </w:p>
    <w:p w:rsidR="002A6133" w:rsidRPr="00542A53" w:rsidP="002A6133" w14:paraId="3D1F721A" w14:textId="77777777">
      <w:pPr>
        <w:pStyle w:val="NormalHanging"/>
      </w:pPr>
      <w:r w:rsidRPr="00542A53">
        <w:t>M.</w:t>
      </w:r>
      <w:r w:rsidRPr="00542A53">
        <w:tab/>
        <w:t>mając na uwadze, że model biznesowy EBI wymaga najwyższych standardów uczciwości, rozliczalności i przejrzystości oraz że należy przyjąć i stale aktualizować odpowiednie środki w celu unikania finansowania wszelkich form oszustw, prania pieniędzy, terroryzmu i przestępczości zorganizowanej oraz unikania opodatkowania;</w:t>
      </w:r>
    </w:p>
    <w:p w:rsidR="002A6133" w:rsidRPr="00542A53" w:rsidP="002A6133" w14:paraId="7A6920AA" w14:textId="77777777">
      <w:pPr>
        <w:pStyle w:val="NormalHanging"/>
      </w:pPr>
      <w:r w:rsidRPr="00542A53">
        <w:t>N.</w:t>
      </w:r>
      <w:r w:rsidRPr="00542A53">
        <w:tab/>
        <w:t>mając na uwadze, że EBI odgrywa kluczową rolę w realizacji celów zewnętrznych Unii dzięki swojej działalności pożyczkowej w państwach spoza UE, w tym za pośrednictwem instrumentu EBI Global wprowadzonego w 2022 r., co należy dostosować do polityki i priorytetów UE na całym świecie; mając na uwadze, że skuteczna współpraca z krajami partnerskimi w zakresie zarządzania migracjami, w tym readmisji i powrotu migrantów, którzy nie mają prawa legalnego pobytu w Unii, jest istotną kwestią w kontekście ram udzielania pożyczek zewnętrznych UE;</w:t>
      </w:r>
    </w:p>
    <w:p w:rsidR="002A6133" w:rsidRPr="00542A53" w:rsidP="002A6133" w14:paraId="2E171611" w14:textId="77777777">
      <w:pPr>
        <w:pStyle w:val="NormalHanging"/>
      </w:pPr>
      <w:r w:rsidRPr="00542A53">
        <w:t>O.</w:t>
      </w:r>
      <w:r w:rsidRPr="00542A53">
        <w:tab/>
        <w:t>mając na uwadze, że personel na wszystkich szczeblach grupy EBI, w tym kadra kierownicza wyższego szczebla i Rada, powinien być zrównoważony pod względem płci i pod względem geograficznym przy pełnym poszanowaniu zasad wyboru opartych na osiągnięciach; mając na uwadze, że dobre samopoczucie pracowników oraz przejrzyste i sprawiedliwe ramy kadrowe mają zasadnicze znaczenie dla odporności instytucjonalnej i uczciwości;</w:t>
      </w:r>
    </w:p>
    <w:p w:rsidR="002A6133" w:rsidRPr="00542A53" w:rsidP="002A6133" w14:paraId="46B64AD7" w14:textId="77777777">
      <w:pPr>
        <w:pStyle w:val="Normal12a"/>
      </w:pPr>
      <w:r w:rsidRPr="00542A53">
        <w:rPr>
          <w:b/>
          <w:i/>
        </w:rPr>
        <w:t>Operacje finansowe i wyniki</w:t>
      </w:r>
    </w:p>
    <w:p w:rsidR="002A6133" w:rsidRPr="00542A53" w:rsidP="002A6133" w14:paraId="5A61EA94" w14:textId="77777777">
      <w:pPr>
        <w:pStyle w:val="NormalHanging12a"/>
      </w:pPr>
      <w:r w:rsidRPr="00542A53">
        <w:t>1.</w:t>
      </w:r>
      <w:r w:rsidRPr="00542A53">
        <w:tab/>
        <w:t>odnotowuje stabilne wyniki finansowe grupy EBI w 2024 r. i jej skonsolidowane wyniki w tymże roku, które opiewają na 3,38 mld EUR; podkreśla, że utrzymanie ratingu kredytowego EBI na poziomie AAA musi pozostać głównym celem zarządzania EBI; podkreśla, że ratingowa ocena AAA dla EBI jest strategicznym atutem, który umożliwia EBI oferowanie korzystnych warunków finansowania; podkreśla, że sukces należy utrzymać i należy go w coraz większym stopniu mierzyć konkretnymi wynikami gospodarczymi i politycznymi, a nie tylko zatwierdzonymi wolumenami; podkreśla ponadto, że wyniki finansowe powinny być również mierzone na podstawie dowodów na dodatkowość polityki, stosunek wartości do ceny i wymierne wyniki; przypomina, że uproszczone procedury należy poddawać okresowemu niezależnemu przeglądowi;</w:t>
      </w:r>
    </w:p>
    <w:p w:rsidR="002A6133" w:rsidRPr="00542A53" w:rsidP="002A6133" w14:paraId="79710CC0" w14:textId="77777777">
      <w:pPr>
        <w:pStyle w:val="NormalHanging12a"/>
      </w:pPr>
      <w:r w:rsidRPr="00542A53">
        <w:t>2.</w:t>
      </w:r>
      <w:r w:rsidRPr="00542A53">
        <w:tab/>
        <w:t>zauważa z zaniepokojeniem, że część płatności opóźnionych o ponad 90 dni potroiła się i wyniosła 281,3 mln EUR na koniec 2024 r., co stanowi 0,06% całkowitego portfela kredytowego (w porównaniu z 82,4 mln EUR, czyli 0,02%, na koniec 2023 r.), i chociaż przyznaje, że wg standardów bankowych liczba tych opóźnień wciąż jest bardzo niska, zwraca się do EBI o wyjaśnienie przyczyn takiego stanu rzeczy i o poinformowanie o podjętych działaniach naprawczych; podkreśla, że każdy wzrost ekspozycji nieobsługiwanych musi być uważnie monitorowany w celu ochrony stabilności finansowej i zdolności kredytowej EBI; podkreśla, że ów wzrost ekspozycji nieobsługiwanych i zaległych płatności znacznie przekracza wzrost ogólnego portfela kredytowego o 2%;</w:t>
      </w:r>
    </w:p>
    <w:p w:rsidR="002A6133" w:rsidRPr="00542A53" w:rsidP="002A6133" w14:paraId="01030B8E" w14:textId="77777777">
      <w:pPr>
        <w:pStyle w:val="Normal12a"/>
      </w:pPr>
      <w:r w:rsidRPr="00542A53">
        <w:rPr>
          <w:b/>
          <w:i/>
        </w:rPr>
        <w:t>InvestEU</w:t>
      </w:r>
      <w:r w:rsidRPr="00542A53">
        <w:rPr>
          <w:b/>
          <w:i/>
        </w:rPr>
        <w:t>, uproszczenie wieloletnich ram finansowych oraz Instrument na rzecz Odbudowy i Zwiększania Odporności</w:t>
      </w:r>
    </w:p>
    <w:p w:rsidR="002A6133" w:rsidRPr="00542A53" w:rsidP="002A6133" w14:paraId="6CDEE5FA" w14:textId="77777777">
      <w:pPr>
        <w:pStyle w:val="NormalHanging12a"/>
      </w:pPr>
      <w:r w:rsidRPr="00542A53">
        <w:t>3.</w:t>
      </w:r>
      <w:r w:rsidRPr="00542A53">
        <w:tab/>
        <w:t xml:space="preserve">zauważa, że w 2024 r. EBI zatwierdził 38 operacji w ramach </w:t>
      </w:r>
      <w:r w:rsidRPr="00542A53">
        <w:t>InvestEU</w:t>
      </w:r>
      <w:r w:rsidRPr="00542A53">
        <w:t xml:space="preserve"> i wykorzystał w tym celu gwarancje UE na kwotę 1,7 mld EUR; domaga się, aby sprawozdawczość uzupełniała wskaźniki oparte na nakładach o wskaźniki oparte na skutkach, a tym samym pokazywała rzeczywiste wyniki gospodarcze, a także aby obejmowała ocenę dodatkowości i analizę ex post potencjalnego efektu wypierania, w tym również w przypadku operacji realizowanych przez pośredników finansowych; apeluje o przyjęcie podejścia budżetowego opartego na wynikach, w którym alokacja kapitału i priorytety strategiczne są oceniane na podstawie udowodnionej wydajności, zwrotu z inwestycji i rzeczywistej wartości pieniądza dodatkowo do zgodności z wcześniej określonymi celami procentowymi;</w:t>
      </w:r>
    </w:p>
    <w:p w:rsidR="002A6133" w:rsidRPr="00542A53" w:rsidP="002A6133" w14:paraId="3E29AC25" w14:textId="77777777">
      <w:pPr>
        <w:pStyle w:val="NormalHanging12a"/>
      </w:pPr>
      <w:r w:rsidRPr="00542A53">
        <w:t>4.</w:t>
      </w:r>
      <w:r w:rsidRPr="00542A53">
        <w:tab/>
        <w:t xml:space="preserve">podkreśla, że program </w:t>
      </w:r>
      <w:r w:rsidRPr="00542A53">
        <w:t>InvestEU</w:t>
      </w:r>
      <w:r w:rsidRPr="00542A53">
        <w:t xml:space="preserve"> należy również oceniać na podstawie jakości jego interwencji i ich wymiernego wpływu, a nie tylko na podstawie wysokości wykorzystanych środków finansowych; przypomina, że obecnie nie istnieją weryfikowalne ramy pomiarowe do oceny wyników projektów finansowanych w ramach </w:t>
      </w:r>
      <w:r w:rsidRPr="00542A53">
        <w:t>InvestEU</w:t>
      </w:r>
      <w:r w:rsidRPr="00542A53">
        <w:t>;</w:t>
      </w:r>
    </w:p>
    <w:p w:rsidR="002A6133" w:rsidRPr="00542A53" w:rsidP="002A6133" w14:paraId="5FBDE447" w14:textId="77777777">
      <w:pPr>
        <w:pStyle w:val="NormalHanging12a"/>
      </w:pPr>
      <w:r w:rsidRPr="00542A53">
        <w:t>5.</w:t>
      </w:r>
      <w:r w:rsidRPr="00542A53">
        <w:tab/>
        <w:t>zauważa, że wielość i złożoność unijnych instrumentów finansowania skutkuje brakiem efektywności; podkreśla, że ograniczenie biurokracji jest ważne, aby przywrócić konkurencyjność, oraz że uproszczenie powinno zmniejszyć obciążenie administracyjne bez osłabiania ścieżek audytu, przejrzystości ani kontroli służących zwalczaniu nadużyć finansowych; zauważa starania EBI na rzecz uproszczenia oceny czasu wprowadzania produktów na rynek; wzywa EBI do publikowania rocznych kluczowych wskaźników efektywności dotyczących zatwierdzania oraz do wykazania wymiernego zmniejszenia obciążeń administracyjnych dla wnioskodawców, zwłaszcza MŚP i spółek o średniej kapitalizacji;</w:t>
      </w:r>
    </w:p>
    <w:p w:rsidR="002A6133" w:rsidRPr="00542A53" w:rsidP="002A6133" w14:paraId="12EB53A8" w14:textId="77777777">
      <w:pPr>
        <w:pStyle w:val="NormalHanging12a"/>
      </w:pPr>
      <w:r w:rsidRPr="00542A53">
        <w:t>6.</w:t>
      </w:r>
      <w:r w:rsidRPr="00542A53">
        <w:tab/>
        <w:t>z zadowoleniem przyjmuje trwającą ocenę ram pomiaru dodatkowości i wpływu EBI i zauważa, że wyniki mają być dostępne w pierwszej połowie 2026 r.; wzywa EBI i Komisję do ustanowienia wspólnej metody dodatkowości ex post dla operacji wspieranych przez UE oraz do regularnego składania sprawozdań na temat skutków na poziomie portfela i sektora;</w:t>
      </w:r>
    </w:p>
    <w:p w:rsidR="002A6133" w:rsidRPr="00542A53" w:rsidP="002A6133" w14:paraId="68F52208" w14:textId="77777777">
      <w:pPr>
        <w:pStyle w:val="Normal12a"/>
      </w:pPr>
      <w:r w:rsidRPr="00542A53">
        <w:rPr>
          <w:b/>
          <w:i/>
        </w:rPr>
        <w:t>Bezpieczeństwo energetyczne</w:t>
      </w:r>
    </w:p>
    <w:p w:rsidR="002A6133" w:rsidRPr="00542A53" w:rsidP="002A6133" w14:paraId="1F276A1F" w14:textId="77777777">
      <w:pPr>
        <w:pStyle w:val="NormalHanging12a"/>
      </w:pPr>
      <w:r w:rsidRPr="00542A53">
        <w:t>7.</w:t>
      </w:r>
      <w:r w:rsidRPr="00542A53">
        <w:tab/>
        <w:t xml:space="preserve">wzywa EBI do oceny wszystkich projektów niskoemisyjnych, w tym w zakresie energii jądrowej, pod kątem obiektywnych i przejrzystych kryteriów, takich jak intensywność </w:t>
      </w:r>
      <w:r w:rsidRPr="00542A53">
        <w:t>emisji dwutlenku węgla w całym cyklu życia, stabilność sieci i opłacalność, oraz do neutralności technologicznej przy jednoczesnym skupieniu się na strategicznych projektach transgranicznych, aby zwiększyć unijną wartość dodaną; zwraca uwagę, że w 2024 r. EBI zainwestował ponad 27 mld EUR w transformację energetyczną i bezpieczeństwo energetyczne, w tym w odnawialne źródła energii, sieci i magazynowanie; apeluje do EBI o priorytetowe traktowanie kwestii efektywności energetycznej i opłacalności przy jednoczesnym pełnym poszanowaniu suwerennego prawa państw członkowskich do decydowania o własnym koszyku energetycznym;</w:t>
      </w:r>
    </w:p>
    <w:p w:rsidR="002A6133" w:rsidRPr="00542A53" w:rsidP="002A6133" w14:paraId="461ED93D" w14:textId="77777777">
      <w:pPr>
        <w:pStyle w:val="NormalHanging12a"/>
      </w:pPr>
      <w:r w:rsidRPr="00542A53">
        <w:t>8.</w:t>
      </w:r>
      <w:r w:rsidRPr="00542A53">
        <w:tab/>
        <w:t>wyraża zaniepokojenie nieproporcjonalnymi wymogami dotyczącymi sprawozdawczości na temat kwestii środowiskowych, społecznych i z zakresu ładu korporacyjnego, nakładanymi na pożyczkobiorców EBI; ostrzega, że nadmierne obowiązki w zakresie ujawniania informacji zniechęcają opłacalne ekonomicznie projekty i stwarzają niekorzystne warunki konkurencji dla europejskich przedsiębiorstw; wzywa EBI do dokonania przeglądu wymogów dotyczących sprawozdawczości na temat kwestii środowiskowych, społecznych i z zakresu ładu korporacyjnego w celu zapewnienia proporcjonalności;</w:t>
      </w:r>
    </w:p>
    <w:p w:rsidR="002A6133" w:rsidRPr="00542A53" w:rsidP="002A6133" w14:paraId="2880D8EC" w14:textId="77777777">
      <w:pPr>
        <w:pStyle w:val="Normal12a"/>
      </w:pPr>
      <w:r w:rsidRPr="00542A53">
        <w:rPr>
          <w:b/>
          <w:i/>
        </w:rPr>
        <w:t>Polityka obrony i bezpieczeństwa</w:t>
      </w:r>
    </w:p>
    <w:p w:rsidR="002A6133" w:rsidRPr="00542A53" w:rsidP="002A6133" w14:paraId="720E8E74" w14:textId="77777777">
      <w:pPr>
        <w:pStyle w:val="NormalHanging12a"/>
      </w:pPr>
      <w:r w:rsidRPr="00542A53">
        <w:t>9.</w:t>
      </w:r>
      <w:r w:rsidRPr="00542A53">
        <w:tab/>
        <w:t xml:space="preserve">podkreśla, jak ważny jest wkład grupy EBI w obronność i bezpieczeństwo Europy oraz pokój na kontynencie, na co wskazano w białej księdze w sprawie obronności europejskiej „Gotowość 2030”, a to dzięki temu, że EBI wspiera inicjatywy zwiększające autonomię strategiczną i odporność Unii, mające na celu wzmocnienie przemysłu obronnego UE, poprawę infrastruktury </w:t>
      </w:r>
      <w:r w:rsidRPr="00542A53">
        <w:t>cyberbezpieczeństwa</w:t>
      </w:r>
      <w:r w:rsidRPr="00542A53">
        <w:t xml:space="preserve"> i promowanie innowacji w zakresie krytycznych technologii obronnych poprzez zapewnienie finansowania i pobudzanie inwestycji prywatnych;</w:t>
      </w:r>
    </w:p>
    <w:p w:rsidR="002A6133" w:rsidRPr="00542A53" w:rsidP="002A6133" w14:paraId="337BE53D" w14:textId="57058CF8">
      <w:pPr>
        <w:pStyle w:val="NormalHanging12a"/>
      </w:pPr>
      <w:r w:rsidRPr="00542A53">
        <w:t>10.</w:t>
      </w:r>
      <w:r w:rsidRPr="00542A53">
        <w:tab/>
        <w:t xml:space="preserve">odnotowuje decyzję Rady EBI z </w:t>
      </w:r>
      <w:r w:rsidR="008E3CAF">
        <w:t xml:space="preserve">dnia </w:t>
      </w:r>
      <w:r w:rsidRPr="00542A53">
        <w:t>21 marca 2025 r. o rozszerzeniu kryteriów kwalifikowalności grupy EBI w odniesieniu do inwestycji w bezpieczeństwo i obronność, aby ograniczyć wykluczone działania, zgodnie z propozycjami zatwierdzonymi przez przywódców UE na posiedzeniu Rady Europejskiej 6 marca 2025 r.;</w:t>
      </w:r>
    </w:p>
    <w:p w:rsidR="002A6133" w:rsidRPr="00542A53" w:rsidP="002A6133" w14:paraId="33161A9F" w14:textId="77777777">
      <w:pPr>
        <w:pStyle w:val="NormalHanging12a"/>
      </w:pPr>
      <w:r w:rsidRPr="00542A53">
        <w:t>11.</w:t>
      </w:r>
      <w:r w:rsidRPr="00542A53">
        <w:tab/>
        <w:t>z zadowoleniem przyjmuje stałą i zwiększoną rolę EBI we wzmacnianiu bezpieczeństwa Europy poprzez ukierunkowane inwestycje w infrastrukturę zarówno obronną, jak i cywilną, zgodnie z szerszymi celami UE dotyczącymi promowania innowacji i zwiększania bezpieczeństwa Unii; podkreśla, że EBI powinien nadal inwestować w bezpieczną Europę, wspierając europejską bazę technologiczno-przemysłową sektora obronnego, a także udostępnianie produktów, usług i technologii, które wzmacniają europejskie zdolności obronne, badania i rozwój oraz innowacje; apeluje o dalsze dostosowanie zakresu kwalifikujących się inwestycji, aby zrealizować ambitny cel, jakim jest wkład w obronność i bezpieczeństwo Europy;</w:t>
      </w:r>
    </w:p>
    <w:p w:rsidR="002A6133" w:rsidRPr="00542A53" w:rsidP="002A6133" w14:paraId="720807D9" w14:textId="77777777">
      <w:pPr>
        <w:pStyle w:val="NormalHanging12a"/>
      </w:pPr>
      <w:r w:rsidRPr="00542A53">
        <w:t>12.</w:t>
      </w:r>
      <w:r w:rsidRPr="00542A53">
        <w:tab/>
        <w:t xml:space="preserve">zwraca uwagę na znaczny wzrost finansowania EBI na rzecz bezpieczeństwa i obrony z 0,5 mld EUR w 2023 r. do 1,04 mld EUR w 2024 r. oraz dalsze zwiększenie w 2025 r.; zwraca uwagę, że obecna inicjatywa strategiczna EBI na rzecz bezpieczeństwa w Europie o wartości 8 mld EUR zostanie włączona do stałego, przekrojowego celu polityki publicznej, aby uzupełnić istniejące cele polityki publicznej, zlikwidować wcześniej ustalone pułapy, jeśli chodzi o finansowanie bezpieczeństwa, oraz umożliwić większe i elastyczne wsparcie odpowiadające priorytetom Rady; apeluje o </w:t>
      </w:r>
      <w:r w:rsidRPr="00542A53">
        <w:t>wprowadzenie specjalnego rocznego załącznika sprawozdawczego, który byłby przedkładany Parlamentowi oraz dotyczył operacji w zakresie bezpieczeństwa i obrony, w tym również takich kwestii jak dodatkowość, szybkość wdrażania, zabezpieczenia zamówień, kontrole integralności i ustalenia dotyczące podziału ryzyka;</w:t>
      </w:r>
    </w:p>
    <w:p w:rsidR="002A6133" w:rsidRPr="00542A53" w:rsidP="002A6133" w14:paraId="3921F19D" w14:textId="77777777">
      <w:pPr>
        <w:pStyle w:val="NormalHanging12a"/>
      </w:pPr>
      <w:r w:rsidRPr="00542A53">
        <w:t>13.</w:t>
      </w:r>
      <w:r w:rsidRPr="00542A53">
        <w:tab/>
        <w:t xml:space="preserve">zachęca EBI do dalszego wzmacniania synergii z inwestycjami w obronność finansowanymi z budżetu UE oraz do ściślejszego dostosowywania tych inwestycji do inicjatyw </w:t>
      </w:r>
      <w:r w:rsidRPr="00542A53">
        <w:t>ogólnounijnych</w:t>
      </w:r>
      <w:r w:rsidRPr="00542A53">
        <w:t>; podkreśla potrzebę zapewnienia przez EBI, aby jego inwestycje uzupełniały szersze cele polityki obronnej Unii i przyczyniały się do osiągnięcia korzyści skali w obszarze europejskich zdolności obronnych;</w:t>
      </w:r>
    </w:p>
    <w:p w:rsidR="002A6133" w:rsidRPr="00542A53" w:rsidP="002A6133" w14:paraId="663EEF85" w14:textId="77777777">
      <w:pPr>
        <w:pStyle w:val="NormalHanging12a"/>
      </w:pPr>
      <w:r w:rsidRPr="00542A53">
        <w:t>14.</w:t>
      </w:r>
      <w:r w:rsidRPr="00542A53">
        <w:tab/>
        <w:t>odnotowuje znaczne rozszerzenie wsparcia EBI dla operacji związanych z bezpieczeństwem i obroną; podkreśla, że ewentualne rozszerzenie wsparcia EBI w dziedzinie bezpieczeństwa i obrony musi podlegać ścisłej przejrzystości, odpowiedzialności i zabezpieczeniom w zakresie praw człowieka, jasnym kryteriom wykluczenia, monitorowaniu końcowego wykorzystania i regularnym sprawozdaniom dla Parlamentu;</w:t>
      </w:r>
    </w:p>
    <w:p w:rsidR="002A6133" w:rsidRPr="00542A53" w:rsidP="002A6133" w14:paraId="1777B934" w14:textId="77777777">
      <w:pPr>
        <w:pStyle w:val="NormalHanging12a"/>
      </w:pPr>
      <w:r w:rsidRPr="00542A53">
        <w:t>15.</w:t>
      </w:r>
      <w:r w:rsidRPr="00542A53">
        <w:tab/>
        <w:t xml:space="preserve">wzywa EBI do zidentyfikowania barier utrudniających inwestycje w obronność i ochronę granic, gdyż inwestycje te wzmacniają odporność i bezpieczeństwo Unii, przy czym jednocześnie należy zadbać o przestrzeganie prawa UE i o demokratyczny nadzór; podkreśla, że usunięcie przeszkód ma zasadnicze znaczenie dla wymiernej poprawy bezpieczeństwa; przypomina, że wszelkie przydziały środków przez EBI za pośrednictwem </w:t>
      </w:r>
      <w:r w:rsidRPr="00542A53">
        <w:t>InvestEU</w:t>
      </w:r>
      <w:r w:rsidRPr="00542A53">
        <w:t xml:space="preserve"> i innych instrumentów finansowych na cele obronne i inwestycje w technologie krytyczne muszą w pełni uwzględniać interesy bezpieczeństwa narodowego państw członkowskich; podkreśla, że właściwe organy audytowe i organy instytucji UE powinny przeprowadzać szczegółowe i ciągłe kontrole audytowe podmiotów trzecich i państw trzecich, które są beneficjentami finansowania UE oraz realizują inwestycje i projekty w dziedzinie obronności, aby zapewnić przejrzyste wykorzystanie finansowania unijnego; zaznacza, że wyniki takich inwestycji i projektów nie mogą być sprzeczne z interesami bezpieczeństwa narodowego państw członkowskich; wzywa EBI do większego skupienia się na poprawie bezpieczeństwa regionalnego i odporności regionów; podkreśla ważną rolę, jaką EBI może odegrać w tworzeniu infrastruktury wspierającej bezpieczeństwo regionalne i sprzyjającej większej współpracy między państwami członkowskimi w kwestiach energetyki i obronności;</w:t>
      </w:r>
    </w:p>
    <w:p w:rsidR="002A6133" w:rsidRPr="00542A53" w:rsidP="002A6133" w14:paraId="6708CB57" w14:textId="77777777">
      <w:pPr>
        <w:pStyle w:val="NormalHanging12a"/>
      </w:pPr>
      <w:r w:rsidRPr="00542A53">
        <w:t>16.</w:t>
      </w:r>
      <w:r w:rsidRPr="00542A53">
        <w:tab/>
        <w:t>z zadowoleniem przyjmuje ścisłą i zorganizowaną współpracę z Funduszem Innowacyjnym NATO z myślą o synergii i niepowielaniu wysiłków, w szczególności w zakresie zwiększania skali zastosowania technologii tam, gdzie kapitał prywatny jest niewystarczający;</w:t>
      </w:r>
    </w:p>
    <w:p w:rsidR="002A6133" w:rsidRPr="00542A53" w:rsidP="002A6133" w14:paraId="576DC56F" w14:textId="77777777">
      <w:pPr>
        <w:pStyle w:val="Normal12a"/>
      </w:pPr>
      <w:r w:rsidRPr="00542A53">
        <w:rPr>
          <w:b/>
          <w:i/>
        </w:rPr>
        <w:t xml:space="preserve">Inwestycje w obszarach należących do kompetencji krajowych </w:t>
      </w:r>
    </w:p>
    <w:p w:rsidR="002A6133" w:rsidRPr="00542A53" w:rsidP="002A6133" w14:paraId="293C24B1" w14:textId="77777777">
      <w:pPr>
        <w:pStyle w:val="NormalHanging12a"/>
      </w:pPr>
      <w:r w:rsidRPr="00542A53">
        <w:t>17.</w:t>
      </w:r>
      <w:r w:rsidRPr="00542A53">
        <w:tab/>
        <w:t xml:space="preserve">przypomina, że problemy z dostępem mieszkań można skuteczniej rozwiązywać na szczeblu lokalnym lub krajowym; odnotowuje wysiłki grupy EBI na rzecz zapewnienia unijnej wartości dodanej przy podejmowaniu wyzwań związanych z mieszkalnictwem na szczeblu lokalnym i krajowym poprzez wspieranie skalowalnych rozwiązań, które uzupełniają wysiłki krajowe i przynoszą wymierne wyniki; dostrzega, że inwestycje w infrastrukturę mieszkaniową w słabiej rozwiniętych regionach są w pełni zgodne z mandatem EBI i z zapisanym w traktacie celem EBI polegającym na promowaniu </w:t>
      </w:r>
      <w:r w:rsidRPr="00542A53">
        <w:t>spójności gospodarczej, społecznej i terytorialnej poprzez skupienie się na regionach słabiej rozwiniętych;</w:t>
      </w:r>
    </w:p>
    <w:p w:rsidR="002A6133" w:rsidRPr="00542A53" w:rsidP="002A6133" w14:paraId="03586D53" w14:textId="77777777">
      <w:pPr>
        <w:pStyle w:val="NormalHanging12a"/>
      </w:pPr>
      <w:r w:rsidRPr="00542A53">
        <w:t>18.</w:t>
      </w:r>
      <w:r w:rsidRPr="00542A53">
        <w:tab/>
        <w:t>odnotowuje plan działania grupy EBI na rzecz przystępnych cenowo i zrównoważonych mieszkań oraz jej zobowiązanie do inwestowania w tym sektorze; odnotowuje zobowiązanie grupy EBI do zwiększenia inwestycji w infrastrukturę społeczną, w tym mieszkalnictwo socjalne i przystępne cenowo, zgodnie z jej priorytetami strategicznymi na lata 2024–2027 i planem operacyjnym na lata 2026–2028; odnotowuje potencjał ukierunkowanego wsparcia EBI na renowację istniejących zasobów mieszkaniowych w celu poprawy efektywności energetycznej, pod warunkiem że takie operacje wykażą dodatkowość i będą zgodne z zasadą optymalnego wykorzystywania środków finansowych;</w:t>
      </w:r>
    </w:p>
    <w:p w:rsidR="002A6133" w:rsidRPr="00542A53" w:rsidP="002A6133" w14:paraId="7266C684" w14:textId="77777777">
      <w:pPr>
        <w:pStyle w:val="NormalHanging12a"/>
      </w:pPr>
      <w:r w:rsidRPr="00542A53">
        <w:t>19.</w:t>
      </w:r>
      <w:r w:rsidRPr="00542A53">
        <w:tab/>
        <w:t>przypomina o potrzebie zapewnienia dodatkowości i komplementarności z innymi funduszami publicznymi i kredytodawcami komercyjnymi przy jednoczesnym wdrażaniu Europejskiego filaru praw socjalnych, w tym również w dziedzinie edukacji, oraz podkreśla, że zaangażowanie EBI powinno ograniczać się do projektów o możliwym do wykazania stosunku wartości do ceny, takich jak transgraniczna infrastruktura badawcza lub programy na rzecz umiejętności mające na celu wyeliminowanie luk na rynku pracy w całej UE; podkreśla, że finansowanie EBI nie może zastępować krajowych budżetów edukacyjnych;</w:t>
      </w:r>
    </w:p>
    <w:p w:rsidR="002A6133" w:rsidRPr="00542A53" w:rsidP="002A6133" w14:paraId="6BDAAD16" w14:textId="77777777">
      <w:pPr>
        <w:pStyle w:val="Normal12a"/>
      </w:pPr>
      <w:r w:rsidRPr="00542A53">
        <w:rPr>
          <w:b/>
          <w:i/>
        </w:rPr>
        <w:t>Wsparcie dla małych i średnich przedsiębiorstw, spółek o średniej kapitalizacji, przedsiębiorstw typu start-</w:t>
      </w:r>
      <w:r w:rsidRPr="00542A53">
        <w:rPr>
          <w:b/>
          <w:i/>
        </w:rPr>
        <w:t>up</w:t>
      </w:r>
      <w:r w:rsidRPr="00542A53">
        <w:rPr>
          <w:b/>
          <w:i/>
        </w:rPr>
        <w:t xml:space="preserve"> i </w:t>
      </w:r>
      <w:r w:rsidRPr="00542A53">
        <w:rPr>
          <w:b/>
          <w:i/>
        </w:rPr>
        <w:t>scale-up</w:t>
      </w:r>
      <w:r w:rsidRPr="00542A53">
        <w:rPr>
          <w:b/>
          <w:i/>
        </w:rPr>
        <w:t xml:space="preserve"> oraz innych przedsiębiorstw</w:t>
      </w:r>
    </w:p>
    <w:p w:rsidR="002A6133" w:rsidRPr="00542A53" w:rsidP="002A6133" w14:paraId="3F2F1E00" w14:textId="77777777">
      <w:pPr>
        <w:pStyle w:val="NormalHanging12a"/>
      </w:pPr>
      <w:r w:rsidRPr="00542A53">
        <w:t>20.</w:t>
      </w:r>
      <w:r w:rsidRPr="00542A53">
        <w:tab/>
        <w:t>podkreśla, że EBI musi skupić się na rzeczywistych niedoskonałościach rynku, finansowaniu i projektach wspieranych w ramach funduszy, których sektor prywatny nie sfinansowałby lub sfinansowałby jedynie na mniej korzystnych warunkach; uważa, że inwestycje EBI nie mogą zastępować kapitału prywatnego ani regularnych krajowych wydatków budżetowych; podkreśla, że ochrona konkurencji na rynku ma zasadnicze znaczenie;</w:t>
      </w:r>
    </w:p>
    <w:p w:rsidR="002A6133" w:rsidRPr="00542A53" w:rsidP="002A6133" w14:paraId="0D9ECD54" w14:textId="77777777">
      <w:pPr>
        <w:pStyle w:val="NormalHanging12a"/>
      </w:pPr>
      <w:r w:rsidRPr="00542A53">
        <w:t>21.</w:t>
      </w:r>
      <w:r w:rsidRPr="00542A53">
        <w:tab/>
        <w:t>podkreśla zasadniczą rolę dużych unijnych przedsiębiorstw w strukturze gospodarczej UE, w szczególności przedsiębiorstw działających w ważnych sektorach, takich jak energetyka, obronność i infrastruktura; apeluje o zrównoważone podejście, które zapewni dalsze wspieranie przez EBI dużych przedsiębiorstw unijnych w pozyskiwaniu kapitału inwestycyjnego na duże projekty i inicjatywy badawczo-rozwojowe, co przyczyni się do poprawy konkurencyjności UE na arenie międzynarodowej i do suwerenności gospodarczej;</w:t>
      </w:r>
    </w:p>
    <w:p w:rsidR="002A6133" w:rsidRPr="00542A53" w:rsidP="002A6133" w14:paraId="2037D580" w14:textId="77777777">
      <w:pPr>
        <w:pStyle w:val="NormalHanging12a"/>
      </w:pPr>
      <w:r w:rsidRPr="00542A53">
        <w:t>22.</w:t>
      </w:r>
      <w:r w:rsidRPr="00542A53">
        <w:tab/>
        <w:t>zachęca EBI do kontynuowania roli, jaką odgrywa w poprawie dostępu do finansowania dla MŚP oraz przedsiębiorstw typu start-</w:t>
      </w:r>
      <w:r w:rsidRPr="00542A53">
        <w:t>up</w:t>
      </w:r>
      <w:r w:rsidRPr="00542A53">
        <w:t xml:space="preserve"> i </w:t>
      </w:r>
      <w:r w:rsidRPr="00542A53">
        <w:t>scale-up</w:t>
      </w:r>
      <w:r w:rsidRPr="00542A53">
        <w:t>, gdyż jest to korzystne dla długofalowej konkurencyjności UE, a przedsiębiorstwa te często muszą się mierzyć z barierami w dostępie do finansowania od tradycyjnych instytucji finansowych; zachęca EBI również do udostępniania ukierunkowanego finansowania, które pozwali tym przedsiębiorstwom pozyskiwać wystarczające zasoby na rozwój i utrzymanie się na rynku; z zadowoleniem przyjmuje rosnącą liczbę instytucji partnerskich i apeluje o wspieranie tego trendu, aby osiągnąć szeroki zasięg geograficzny i sektorowy; wzywa EBI do zwiększenia udziału finansowania przeznaczonego na inwestycje poprawiające konkurencyjność, zwłaszcza w sektorach strategicznych, takich jak zaawansowana produkcja, technologie cyfrowe i odporność energetyczna;</w:t>
      </w:r>
    </w:p>
    <w:p w:rsidR="002A6133" w:rsidRPr="00542A53" w:rsidP="002A6133" w14:paraId="19065C01" w14:textId="77777777">
      <w:pPr>
        <w:pStyle w:val="NormalHanging12a"/>
      </w:pPr>
      <w:r w:rsidRPr="00542A53">
        <w:t>23.</w:t>
      </w:r>
      <w:r w:rsidRPr="00542A53">
        <w:tab/>
        <w:t xml:space="preserve">odnotowuje ustalenia zawarte w sprawozdaniu specjalnym ETO nr 07/2025, potwierdzające znaczenie wsparcia pochodzącego od Europejskiego Funduszu na rzecz Inwestycji Strategicznych (EFIS), ale jednocześnie wskazujące na to, że nie wykazano wystarczająco jego dodatkowości i że Komisja nie zweryfikowała efektu wypierania wywołanego przez ten fundusz; zwraca uwagę, że te same obawy można również zgłaszać w odniesieniu do operacji EBI w ramach </w:t>
      </w:r>
      <w:r w:rsidRPr="00542A53">
        <w:t>InvestEU</w:t>
      </w:r>
      <w:r w:rsidRPr="00542A53">
        <w:t>; podkreśla zagrożenia związane z wypieraniem prywatnych inwestycji, takie jak sztuczna kompresja premii za ryzyko, zwłaszcza na rynkach takich jak energia odnawialna, co podważa sygnały cenowe, które kierują efektywnymi inwestycjami i mogą być postrzegane jako forma pseudoekologicznego marketingu; apeluje o oceny ex post dotyczące zjawiska wypierania;</w:t>
      </w:r>
    </w:p>
    <w:p w:rsidR="002A6133" w:rsidRPr="00542A53" w:rsidP="002A6133" w14:paraId="2404574D" w14:textId="77777777">
      <w:pPr>
        <w:pStyle w:val="NormalHanging12a"/>
      </w:pPr>
      <w:r w:rsidRPr="00542A53">
        <w:t>24.</w:t>
      </w:r>
      <w:r w:rsidRPr="00542A53">
        <w:tab/>
        <w:t>zauważa, że pożyczki EBI wiążą się niekiedy z większymi obciążeniami administracyjnymi niż pożyczki komercyjne; ostrzega, że przez nadmierne wymogi sprawozdawcze finansowanie EBI jest mniej atrakcyjne dla sektora prywatnego i może zniechęcać do realizacji opłacalnych ekonomicznie projektów; wzywa EBI do opublikowania planów zmniejszenia ograniczeń; wzywa Komisję i EBI do oceny sposobu, w jaki można przyspieszyć wprowadzanie produktów EBI na rynek oraz uprościć mandaty finansowe i wymogi w zakresie sprawozdawczości bez obniżania standardów kontroli; zwraca się do EBI o sporządzanie sprawozdań poświęconych takim kwestiom jak dowody na istnienie luk rynkowych, wyniki ex post, uproszczenia procedur administracyjnych, czas rozpatrywania spraw i obciążenia w postaci wymaganej dokumentacji, a to w kontekście inicjatyw grupy EBI w zakresie cyfryzacji i czasu potrzebnego do wprowadzenia produktów na rynek;</w:t>
      </w:r>
    </w:p>
    <w:p w:rsidR="002A6133" w:rsidRPr="00542A53" w:rsidP="002A6133" w14:paraId="5595DCA5" w14:textId="77777777">
      <w:pPr>
        <w:pStyle w:val="Normal12a"/>
      </w:pPr>
      <w:r w:rsidRPr="00542A53">
        <w:rPr>
          <w:b/>
          <w:i/>
        </w:rPr>
        <w:t>Spójność, klimat, cyfryzacja i zrównoważenie środowiskowe</w:t>
      </w:r>
    </w:p>
    <w:p w:rsidR="002A6133" w:rsidRPr="00542A53" w:rsidP="002A6133" w14:paraId="713E7E34" w14:textId="77777777">
      <w:pPr>
        <w:pStyle w:val="NormalHanging12a"/>
      </w:pPr>
      <w:r w:rsidRPr="00542A53">
        <w:t>25.</w:t>
      </w:r>
      <w:r w:rsidRPr="00542A53">
        <w:tab/>
        <w:t>podkreśla, że sprawozdawczość, której podstawą są wolumeny, mierzy produkty, a nie rezultaty; apeluje, by EBI nadal stosował wskaźniki zorientowane na rezultaty, takie jak emisje CO</w:t>
      </w:r>
      <w:r w:rsidRPr="00542A53">
        <w:rPr>
          <w:vertAlign w:val="subscript"/>
        </w:rPr>
        <w:t>2</w:t>
      </w:r>
      <w:r w:rsidRPr="00542A53">
        <w:t>, których uniknięto, lub liczba nowych trwałych miejsc pracy w przeliczeniu na każde zainwestowane euro, a nawet aby wprowadził większą liczbę podobnych wskaźników; opowiada się za analizą porównawczą względem porównywalnych interwencji;</w:t>
      </w:r>
    </w:p>
    <w:p w:rsidR="002A6133" w:rsidRPr="00542A53" w:rsidP="002A6133" w14:paraId="057C900C" w14:textId="77777777">
      <w:pPr>
        <w:pStyle w:val="NormalHanging12a"/>
      </w:pPr>
      <w:r w:rsidRPr="00542A53">
        <w:t>26.</w:t>
      </w:r>
      <w:r w:rsidRPr="00542A53">
        <w:tab/>
        <w:t>podkreśla, że sprawozdawczość w zakresie klimatu i zrównoważonego rozwoju musi opierać się na weryfikowalnych produktach i wynikach (w tym redukcji emisji, zwiększeniu odporności i efekcie mnożnikowym), wspieranych przez metodykę spójnego portfela i niezależną ocenę;</w:t>
      </w:r>
    </w:p>
    <w:p w:rsidR="002A6133" w:rsidRPr="00542A53" w:rsidP="002A6133" w14:paraId="16AED947" w14:textId="77777777">
      <w:pPr>
        <w:pStyle w:val="NormalHanging12a"/>
      </w:pPr>
      <w:r w:rsidRPr="00542A53">
        <w:t>27.</w:t>
      </w:r>
      <w:r w:rsidRPr="00542A53">
        <w:tab/>
        <w:t>odnotowuje rekordowo wysokie finansowanie przez grupę EBI inwestycji w obszarze spójności w wysokości 38,3 mld EUR w 2024 r., co stanowi 48% całkowitego finansowania ze środków UE; wzywa EBI do publikowania danych dotyczących wpływu w podziale na regiony, aby umożliwić skuteczną kontrolę;</w:t>
      </w:r>
    </w:p>
    <w:p w:rsidR="002A6133" w:rsidRPr="00542A53" w:rsidP="002A6133" w14:paraId="4CD2461E" w14:textId="77777777">
      <w:pPr>
        <w:pStyle w:val="NormalHanging12a"/>
      </w:pPr>
      <w:r w:rsidRPr="00542A53">
        <w:t>28.</w:t>
      </w:r>
      <w:r w:rsidRPr="00542A53">
        <w:tab/>
        <w:t xml:space="preserve">wzywa EBI do zwiększenia przejrzystości w odniesieniu do jego celów przekrojowych przez wyraźne rozróżnienie między celami zleconymi na mocy przepisów UE a celami zainicjowanymi przez EBI; domaga się szczegółowego wskazania, w jaki sposób różne cele konkurują o zasoby; ostrzega, że ciągła akumulacja pokrywających się celów w zakresie włączania w główny nurt polityki grozi powstaniem struktury portfela, która z matematycznego punktu widzenia nie ma sensu; wzywa EBI do przejrzystego informowania o kompromisach między konkurującymi ze sobą celami politycznymi; </w:t>
      </w:r>
      <w:r w:rsidRPr="00542A53">
        <w:t>ponownie podkreśla, że cele dotyczące głównego nurtu należy oceniać pod kątem ich rzeczywistego wpływu; zauważa, że biorąc pod uwagę obecny kontekst geopolityczny i zagrożenia bezpieczeństwa, przed jakimi stoi Europa, należy zwiększyć inwestycje w obronność i bezpieczeństwo, w tym wsparcie na rzecz infrastruktury ochrony granic zewnętrznych;</w:t>
      </w:r>
    </w:p>
    <w:p w:rsidR="002A6133" w:rsidRPr="00542A53" w:rsidP="002A6133" w14:paraId="39D8D81F" w14:textId="77777777">
      <w:pPr>
        <w:pStyle w:val="NormalHanging12a"/>
      </w:pPr>
      <w:r w:rsidRPr="00542A53">
        <w:t>29.</w:t>
      </w:r>
      <w:r w:rsidRPr="00542A53">
        <w:tab/>
        <w:t xml:space="preserve">wzywa EBI i EFI do wspierania inwestycji w </w:t>
      </w:r>
      <w:r w:rsidRPr="00542A53">
        <w:t>cyberbezpieczeństwo</w:t>
      </w:r>
      <w:r w:rsidRPr="00542A53">
        <w:t>, nadzór i technologie cyfrowe, aby uczynić Europę bardziej odporną, a jednocześnie wzmocnić istniejące mechanizmy współpracy i ochronę krytycznych usług;</w:t>
      </w:r>
    </w:p>
    <w:p w:rsidR="002A6133" w:rsidRPr="00542A53" w:rsidP="002A6133" w14:paraId="4EE7F454" w14:textId="77777777">
      <w:pPr>
        <w:pStyle w:val="Normal12a"/>
      </w:pPr>
      <w:r w:rsidRPr="00542A53">
        <w:rPr>
          <w:b/>
          <w:i/>
        </w:rPr>
        <w:t xml:space="preserve">Działalność EBI poza UE </w:t>
      </w:r>
    </w:p>
    <w:p w:rsidR="002A6133" w:rsidRPr="00542A53" w:rsidP="002A6133" w14:paraId="339516E7" w14:textId="77777777">
      <w:pPr>
        <w:pStyle w:val="NormalHanging12a"/>
      </w:pPr>
      <w:r w:rsidRPr="00542A53">
        <w:t>30.</w:t>
      </w:r>
      <w:r w:rsidRPr="00542A53">
        <w:tab/>
        <w:t xml:space="preserve">domaga się, aby skala udzielania pożyczek poza UE podlegała solidnym zabezpieczeniom w zakresie przejrzystości, zwalczania nadużyć finansowych, przestrzegania sankcji, praw człowieka i praworządności, aby brano pod uwagę współpracę w zakresie umów </w:t>
      </w:r>
      <w:r w:rsidRPr="00542A53">
        <w:t>powrotowych</w:t>
      </w:r>
      <w:r w:rsidRPr="00542A53">
        <w:t xml:space="preserve"> oraz aby skala udzielania pożyczek była zgodna z celami polityki zewnętrznej UE; apeluje o bardziej rygorystyczne kontrole ex </w:t>
      </w:r>
      <w:r w:rsidRPr="00542A53">
        <w:t>ante</w:t>
      </w:r>
      <w:r w:rsidRPr="00542A53">
        <w:t xml:space="preserve"> i ex post, w tym również identyfikowalność beneficjentów końcowych, a także o solidne środki antykorupcyjne, większą lub równoważną przejrzystość, oceny wpływu ex </w:t>
      </w:r>
      <w:r w:rsidRPr="00542A53">
        <w:t>ante</w:t>
      </w:r>
      <w:r w:rsidRPr="00542A53">
        <w:t xml:space="preserve"> oraz pełną odpowiedzialność publiczną we wszystkich operacjach EBI poza UE;</w:t>
      </w:r>
    </w:p>
    <w:p w:rsidR="002A6133" w:rsidRPr="00542A53" w:rsidP="002A6133" w14:paraId="799C7455" w14:textId="77777777">
      <w:pPr>
        <w:pStyle w:val="NormalHanging12a"/>
      </w:pPr>
      <w:r w:rsidRPr="00542A53">
        <w:t>31.</w:t>
      </w:r>
      <w:r w:rsidRPr="00542A53">
        <w:tab/>
        <w:t>z uznaniem odnosi się do przyjęcia w 2024 r. Instrumentu na rzecz Ukrainy, który jest rozwinięciem inicjatywy EBI „UE na rzecz Ukrainy” i stanowi mechanizm wsparcia w oparciu o środki z budżetu UE; zachęca państwa członkowskie, by zapewniły dalsze udzielanie temu krajowi solidnego wsparcia zgodnie z jego potrzebami; wzywa EBI do zapewnienia przejrzystości i identyfikowalności jego projektów w Ukrainie; podkreśla, jak ważne jest wzmocnienie zdolności administracyjnych i audytowych ukraińskich organów, którym powierzono wdrażanie, monitorowanie i kontrolowanie finansowanych działań;</w:t>
      </w:r>
    </w:p>
    <w:p w:rsidR="002A6133" w:rsidRPr="00542A53" w:rsidP="002A6133" w14:paraId="0227C79C" w14:textId="77777777">
      <w:pPr>
        <w:pStyle w:val="NormalHanging12a"/>
      </w:pPr>
      <w:r w:rsidRPr="00542A53">
        <w:t>32.</w:t>
      </w:r>
      <w:r w:rsidRPr="00542A53">
        <w:tab/>
        <w:t>zauważa, że od początku rosyjskiej wojny napastniczej EBI wypłacił Ukrainie 2,3 mld EUR w ramach pomocy doraźnej i wsparcia projektów; zauważa, że ekspozycja EBI z tytułu pożyczek wypłaconych w Ukrainie jest w przeważającej mierze objęta gwarancjami UE w ramach upoważnienia EBI do udzielania pożyczek na rzecz państw trzecich</w:t>
      </w:r>
      <w:r>
        <w:rPr>
          <w:rStyle w:val="FootnoteReference"/>
        </w:rPr>
        <w:footnoteReference w:customMarkFollows="1" w:id="5"/>
        <w:t xml:space="preserve">4</w:t>
      </w:r>
      <w:r w:rsidRPr="00542A53">
        <w:t xml:space="preserve">; podkreśla, że wsparcie EBI dla sektora prywatnego umożliwia ukraińskim bankom udzielanie pożyczek na rzecz gospodarki realnej; zauważa, że na koniec 2024 r. EBI udzielił gwarancji finansowych na ekspozycje wobec kontrahentów zlokalizowanych w Ukrainie na kwotę 500,5 mln EUR, również w pełni zabezpieczone gwarancjami UE; zauważa, że EBI utrzymuje lokalną obecność w Ukrainie, a w biurze w Kijowie stopniowo ponownie zatrudnia się pracowników; ponownie wzywa EBI do regularnego przekazywania władzy budżetowej i odpowiednim organom kontrolnym </w:t>
      </w:r>
      <w:r w:rsidRPr="00542A53">
        <w:t>szczegółowych informacji na temat wydatkowania i wdrażania środków objętych gwarancjami UE;</w:t>
      </w:r>
    </w:p>
    <w:p w:rsidR="002A6133" w:rsidRPr="00542A53" w:rsidP="002A6133" w14:paraId="4B216059" w14:textId="77777777">
      <w:pPr>
        <w:pStyle w:val="NormalHanging12a"/>
      </w:pPr>
      <w:r w:rsidRPr="00542A53">
        <w:t>33.</w:t>
      </w:r>
      <w:r w:rsidRPr="00542A53">
        <w:tab/>
        <w:t>zauważa, że w 2024 r. grupę EBI wybrano na jednego z głównych partnerów wykonawczych ram inwestycyjnych dla Ukrainy będących częścią Instrumentu na rzecz Ukrainy, w ramach którego UE przeznaczy 50 mld EUR w latach 2024–2027 na finansowanie ukraińskiego budżetu państwa, stymulowanie inwestycji i zapewnienie wsparcia technicznego; zauważa, że ramy te obejmują gwarancje i dotacje dla europejskich i innych instytucji finansowania rozwoju oraz że co najmniej 2 mld EUR dostępnego wsparcia ma na celu utrzymanie pożyczek EBI dla sektora publicznego;</w:t>
      </w:r>
    </w:p>
    <w:p w:rsidR="002A6133" w:rsidRPr="00542A53" w:rsidP="002A6133" w14:paraId="5A7A0469" w14:textId="77777777">
      <w:pPr>
        <w:pStyle w:val="NormalHanging12a"/>
      </w:pPr>
      <w:r w:rsidRPr="00542A53">
        <w:t>34.</w:t>
      </w:r>
      <w:r w:rsidRPr="00542A53">
        <w:tab/>
        <w:t>przypomina, że EBI ma obowiązek zapobiegać nadużyciom finansowym i korupcji podczas realizacji projektów grupy EBI w Ukrainie oraz rozwiązywać ewentualne problemy związane z nadużyciami i korupcją; wyraża zadowolenie z ustaleń dotyczących współpracy z ukraińskimi organami antykorupcyjnymi i dochodzeniowymi oraz zwraca się do EBI o uwzględnienie w sprawozdaniu dla Parlamentu informacji na temat gwarancji integralności, ograniczania ryzyka nadużyć finansowych i mechanizmów odzyskiwania środków w przypadku operacji związanych z Ukrainą przy jednoczesnym zapewnieniu bezpieczeństwa operacyjnego i poufności; ponownie apeluje o dopilnowanie, by wdrażaniu pomocy finansowej towarzyszyły skuteczne mechanizmy nadzoru, i utrzymuje, że w związku ze wspieranymi i wspomaganymi projektami EBI powinien przez cały czas sprawować wyraźny i nieograniczony nadzór nad inwestycjami poza granicami UE;</w:t>
      </w:r>
    </w:p>
    <w:p w:rsidR="002A6133" w:rsidRPr="00542A53" w:rsidP="002A6133" w14:paraId="160804F7" w14:textId="77777777">
      <w:pPr>
        <w:pStyle w:val="NormalHanging12a"/>
      </w:pPr>
      <w:r w:rsidRPr="00542A53">
        <w:t>35.</w:t>
      </w:r>
      <w:r w:rsidRPr="00542A53">
        <w:tab/>
        <w:t>odnotowuje, że Rada Dyrektorów EBI przyjęła strategiczny plan działania EBI Global; odnotowuje ponadto rolę EBI w ramach strategii Global Gateway oraz jego partnerstwo z Drużyną Europy i partnerami z ONZ z myślą o osiąganiu jak największego wpływu na szczeblu lokalnym; wzywa EBI i państwa członkowskie do wzmocnienia roli europejskich banków prorozwojowych i innych międzynarodowych instytucji finansowych, aby pomóc w dalszym wykorzystywaniu inwestycji publicznych i prywatnych; apeluje do EBI, by w ramach swoich projektów poza granicami UE koncentrował się również na niezwykle ważnych usługach publicznych;</w:t>
      </w:r>
    </w:p>
    <w:p w:rsidR="002A6133" w:rsidRPr="00542A53" w:rsidP="002A6133" w14:paraId="4CB342E2" w14:textId="77777777">
      <w:pPr>
        <w:pStyle w:val="NormalHanging12a"/>
      </w:pPr>
      <w:r w:rsidRPr="00542A53">
        <w:t>36.</w:t>
      </w:r>
      <w:r w:rsidRPr="00542A53">
        <w:tab/>
        <w:t>zauważa, że Ukraina broni się przed nielegalną agresją Rosji i że działania antykorupcyjne muszą być kontynuowane w jak najszerszym zakresie przy jednoczesnym uwzględnieniu tych nadzwyczajnych okoliczności; podkreśla, że solidne środki służące zwalczaniu nadużyć finansowych i korupcji mają zasadnicze dla utrzymania zaufania podatników i zapewnienia stałego publicznego poparcia dla Ukrainy; wzywa EBI do dopilnowania, by środki z Instrumentu na rzecz Ukrainy podlegały rygorystycznym standardom kontroli; utrzymuje, że EBI powinien sprawować nieograniczony nadzór nad wszystkimi swoimi inwestycjami poza UE;</w:t>
      </w:r>
    </w:p>
    <w:p w:rsidR="002A6133" w:rsidRPr="00542A53" w:rsidP="002A6133" w14:paraId="1419B910" w14:textId="77777777">
      <w:pPr>
        <w:pStyle w:val="NormalHanging12a"/>
      </w:pPr>
      <w:r w:rsidRPr="00542A53">
        <w:t>37.</w:t>
      </w:r>
      <w:r w:rsidRPr="00542A53">
        <w:tab/>
        <w:t>wzywa EBI do zadbania o to, aby zwłaszcza w przypadku wszystkich działań poza granicami UE we wszystkich umowach z pośrednikami, instytucjami partnerskimi i podmiotami wdrażającymi zapisywano skuteczne prawa dostępu dla ETO, Europejskiego Urzędu ds. Zwalczania Nadużyć Finansowych (OLAF) i Prokuratury Europejskiej oraz przewidywano dostępność ścieżek audytu aż do poziomu odbiorców końcowych, o ile jest to wykonalne, zgodnie z unijnymi przepisami dotyczącymi ochrony interesów finansowych UE;</w:t>
      </w:r>
    </w:p>
    <w:p w:rsidR="002A6133" w:rsidRPr="00542A53" w:rsidP="002A6133" w14:paraId="39DD4FF0" w14:textId="77777777">
      <w:pPr>
        <w:pStyle w:val="Normal12a"/>
      </w:pPr>
      <w:r w:rsidRPr="00542A53">
        <w:rPr>
          <w:b/>
          <w:i/>
        </w:rPr>
        <w:t>Struktura rozliczalności w EBI</w:t>
      </w:r>
    </w:p>
    <w:p w:rsidR="002A6133" w:rsidRPr="00542A53" w:rsidP="002A6133" w14:paraId="7A507BB5" w14:textId="77777777">
      <w:pPr>
        <w:pStyle w:val="NormalHanging12a"/>
      </w:pPr>
      <w:r w:rsidRPr="00542A53">
        <w:t>38.</w:t>
      </w:r>
      <w:r w:rsidRPr="00542A53">
        <w:tab/>
        <w:t>zauważa, że obecny poziom rozliczalności grupy EBI jest wynikiem działania EBI w ramach podwójnego systemu, w którym operacje wspierane z budżetu UE są pośrednio kontrolowane przez Komisję, ETO i Parlament w jego decyzji w sprawie absolutorium z wykonania budżetu UE, natomiast operacje finansowane z zasobów własnych EBI pochodzących z państw członkowskich (dotyczy to ponad trzech czwartych operacji EBI) w dużej mierze nie podlegają systematycznej kontroli zewnętrznej ani krajowej czy europejskiej kontroli parlamentarnej; zauważa również, że EBI nie podlega żadnemu zewnętrznemu nadzorowi bankowemu w przeciwieństwie do Europejskiego Banku Centralnego, który jest nadzorowany przez Jednolity Mechanizm Nadzorczy;</w:t>
      </w:r>
    </w:p>
    <w:p w:rsidR="002A6133" w:rsidRPr="00542A53" w:rsidP="002A6133" w14:paraId="7CA6C091" w14:textId="77777777">
      <w:pPr>
        <w:pStyle w:val="NormalHanging12a"/>
      </w:pPr>
      <w:r w:rsidRPr="00542A53">
        <w:t>39.</w:t>
      </w:r>
      <w:r w:rsidRPr="00542A53">
        <w:tab/>
        <w:t>zauważa, że EBI dysponuje rozbudowaną wewnętrzną architekturą rozliczalności oraz że zewnętrzny audytor sprawuje nadzór nad operacjami EBI i jego systemem rachunkowości; zgadza się, że taka struktura jest zasadniczo zgodna z praktyką międzynarodową; podkreśla, że wraz z rozszerzaniem tradycyjnej roli EBI oraz rosnącym wykorzystaniem złożonych instrumentów finansowych i działań łączonych coraz częściej podaje się w wątpliwość przejrzystość i ujawnianie informacji przez EBI, jego ramy etyczne stają się niewystarczające, sprawozdawczość wobec Parlamentu ma charakter sporadyczny, współpraca z Europejskim Rzecznikiem Praw Obywatelskich ulega zmianie, a rola ETO jest ograniczona przez obowiązujące przepisy i porozumienia wykonawcze; podkreśla potrzebę podjęcia konkretnych działań przez EBI w celu rozwiązania tej sytuacji, stosownie do wcześniejszych apeli zawartych w rezolucjach Parlamentu oraz gotowości do dialogu i współpracy deklarowanej przez europejski organ budżetowy i organ udzielający absolutorium;</w:t>
      </w:r>
    </w:p>
    <w:p w:rsidR="002A6133" w:rsidRPr="00542A53" w:rsidP="002A6133" w14:paraId="24367795" w14:textId="77777777">
      <w:pPr>
        <w:pStyle w:val="NormalHanging12a"/>
      </w:pPr>
      <w:r w:rsidRPr="00542A53">
        <w:t>40.</w:t>
      </w:r>
      <w:r w:rsidRPr="00542A53">
        <w:tab/>
        <w:t>przypomina o ustaleniach zawartych w oświadczeniu komitetu kontaktowego (CC 1/2025), w którym to oświadczeniu oficjalnie zidentyfikowano krytyczne braki w zakresie zewnętrznego audytu publicznego EBI; zwraca uwagę na paradoks polegający na rozszerzaniu mandatu EBI oraz gwarancji budżetowych UE przy jednoczesnym utrzymywaniu ograniczonych uprawnień kontrolnych; wzywa EBI do aktywnego zaangażowania w ten proces krajowych najwyższych organów kontroli, aby zapewnić rozliczalność za operacje, które nie są obecnie objęte działaniami ETO, oraz zagwarantować solidną rozliczalność i nadzór, w tym poprzez regularną wymianę informacji na temat obszarów ryzyka i działania następcze w związku z zaleceniami z audytu; powtarza, że do zapewnienia ETO – w ramach sprawowanego przezeń mandatu – pełnego i nieograniczonego dostępu do wszystkich operacji EBI, tak aby dostosować demokratyczną rozliczalność do rozwijającej się ekspozycji finansowej EBI, konieczna jest zmiana traktatowa;</w:t>
      </w:r>
    </w:p>
    <w:p w:rsidR="002A6133" w:rsidRPr="00542A53" w:rsidP="002A6133" w14:paraId="5896612D" w14:textId="77777777">
      <w:pPr>
        <w:pStyle w:val="NormalHanging12a"/>
      </w:pPr>
      <w:r w:rsidRPr="00542A53">
        <w:t>41.</w:t>
      </w:r>
      <w:r w:rsidRPr="00542A53">
        <w:tab/>
        <w:t xml:space="preserve">wyraża zaniepokojenie upadłością przedsiębiorstwa </w:t>
      </w:r>
      <w:r w:rsidRPr="00542A53">
        <w:t>Northvolt</w:t>
      </w:r>
      <w:r w:rsidRPr="00542A53">
        <w:t xml:space="preserve"> AB zajmującego się produkcją baterii, które złożyło wniosek o ogłoszenie upadłości w Szwecji 12 marca 2025 r., po tym jak skorzystało ze znaczącego pakietu pożyczkowego EBI w wysokości nieco ponad 942,6 mln EUR, podpisanego w 2020 r. w ramach finansowania dłużnego pozyskanego na rozbudowę </w:t>
      </w:r>
      <w:r w:rsidRPr="00542A53">
        <w:t>gigafabryki</w:t>
      </w:r>
      <w:r w:rsidRPr="00542A53">
        <w:t xml:space="preserve">; zauważa, że podobne ryzyko istnieje w przypadku podobnych przedsięwzięć na dużą skalę takich jak </w:t>
      </w:r>
      <w:r w:rsidRPr="00542A53">
        <w:t>Stegra</w:t>
      </w:r>
      <w:r w:rsidRPr="00542A53">
        <w:t xml:space="preserve"> (H2 Green Steel); wzywa do ujawnienia ocen ryzyka sporządzonych przez EBI oraz ocen sporządzonych po przeprowadzeniu operacji, w tym oceny ekspozycji finansowej i adekwatności wskaźników wczesnego ostrzegania, jak tylko pozwolą na to toczące się procesy; domaga się przeglądu wniosków wyciągniętych w przypadku przedsiębiorstwa </w:t>
      </w:r>
      <w:r w:rsidRPr="00542A53">
        <w:t>Northvolt</w:t>
      </w:r>
      <w:r w:rsidRPr="00542A53">
        <w:t xml:space="preserve">; apeluje do Komisji i Rady Dyrektorów EBI o ustanowienie mechanizmów wczesnego wykrywania ryzyka systemowego związanego ze sztandarowymi inwestycjami, aby zapobiec powtarzaniu się podobnych sytuacji; wzywa EBI do </w:t>
      </w:r>
      <w:r w:rsidRPr="00542A53">
        <w:t xml:space="preserve">opublikowania, w sposób odpowiednio zagregowany i zgodny z zasadami poufności, profili oceny ryzyka tych i innych podobnych projektów, w tym również pod kątem ryzyka związanego z zarządzaniem, koncentracją i technologią; ponawia swój apel do EBI o przedstawienie szczegółowych informacji na temat oceny i procesu decyzyjnego przed inwestycją w </w:t>
      </w:r>
      <w:r w:rsidRPr="00542A53">
        <w:t>Northvolt</w:t>
      </w:r>
      <w:r w:rsidRPr="00542A53">
        <w:t xml:space="preserve"> AB oraz o wyjaśnienie, w jaki sposób taki kluczowy projekt zakończył się niepowodzeniem pomimo zapewnień EBI, że odpowiednio i stale monitoruje on beneficjentów otrzymujących od niego wsparcie finansowe;</w:t>
      </w:r>
    </w:p>
    <w:p w:rsidR="002A6133" w:rsidRPr="00542A53" w:rsidP="002A6133" w14:paraId="1C1AD138" w14:textId="77777777">
      <w:pPr>
        <w:pStyle w:val="NormalHanging12a"/>
      </w:pPr>
      <w:r w:rsidRPr="00542A53">
        <w:t>42.</w:t>
      </w:r>
      <w:r w:rsidRPr="00542A53">
        <w:tab/>
        <w:t>wzywa EBI do ustanowienia usprawnionych testów warunków skrajnych i limitów koncentracji ryzyka dla dużych projektów strategicznych oraz do składania Parlamentowi sprawozdań na temat łącznej ekspozycji na pojedynczych kredytobiorców wysokiego ryzyka;</w:t>
      </w:r>
    </w:p>
    <w:p w:rsidR="002A6133" w:rsidRPr="00542A53" w:rsidP="002A6133" w14:paraId="4BD90AF7" w14:textId="77777777">
      <w:pPr>
        <w:pStyle w:val="NormalHanging12a"/>
      </w:pPr>
      <w:r w:rsidRPr="00542A53">
        <w:t>43.</w:t>
      </w:r>
      <w:r w:rsidRPr="00542A53">
        <w:tab/>
        <w:t>wzywa EBI do systematycznej oceny i publicznego informowania o występowaniu opóźnień w płatnościach i upadłości beneficjentów w całym portfelu pożyczek; nalega, aby taka ocena obejmowała analizę przyczyn źródłowych w celu ustalenia, czy niepowodzenia wynikają z niezachowania należytej staranności, wstrząsów zewnętrznych lub kwestii systemowych w metodach wyboru projektów; podkreśla, że przejrzysta sprawozdawczość ma zasadnicze znaczenie dla oceny, czy optymalnie wykorzystano środki finansowe, i dla utrzymania zaufania podatników;</w:t>
      </w:r>
    </w:p>
    <w:p w:rsidR="002A6133" w:rsidRPr="00542A53" w:rsidP="002A6133" w14:paraId="6086735B" w14:textId="77777777">
      <w:pPr>
        <w:pStyle w:val="NormalHanging12a"/>
      </w:pPr>
      <w:r w:rsidRPr="00542A53">
        <w:t>44.</w:t>
      </w:r>
      <w:r w:rsidRPr="00542A53">
        <w:tab/>
        <w:t>zdecydowanie domaga się wzmocnienia procedur zapobiegania konfliktom interesów w świetle niedawnych przypadków efektu tzw. drzwi obrotowych i zaleceń Europejskiego Rzecznika Praw Obywatelskich; apeluje o zmianę kodeksu postępowania w celu egzekwowania bardziej rygorystycznych okresów karencji dla wiceprezesów EBI, upoważnienia Komisji ds. Etyki i Zgodności do nakładania środków ograniczających ryzyko oraz ustanowienia jaśniejszych zasad udziału wiceprezesów EBI w podejmowaniu decyzji dotyczących ich krajów pochodzenia; podkreśla opublikowane niedawno informacje o zidentyfikowaniu (od 2019 r.) pięciu byłych członków organów decyzyjnych EBI rzekomo zamieszanych w skandale związane z efektem tzw. drzwi obrotowych, w tym przypadek wiceprezesa EBI mianowanego członkiem zarządu podmiotu, dla którego jako przedstawiciel EBI podpisał on pożyczkę; zauważa, że okres karencji przedłużono do 24 miesięcy; przypomina, że członkowie Komitetu Zarządzającego są proszeni o poinformowanie Komisji ds. Etyki i Zgodności o wszelkich negocjacjach dotyczących przyszłego zatrudnienia i uzyskanie jej zgody na ich prowadzenie; podziela opinię Europejskiego Rzecznika Praw Obywatelskich, że należy wzmocnić rolę Komisji ds. Etyki i Zgodności EBI; przypomina, że środki łagodzące, takie jak wyodrębnienie i okresy karencji, powinny być postrzegane jako niepodważalne;</w:t>
      </w:r>
    </w:p>
    <w:p w:rsidR="002A6133" w:rsidRPr="00542A53" w:rsidP="002A6133" w14:paraId="21044ACB" w14:textId="77777777">
      <w:pPr>
        <w:pStyle w:val="NormalHanging12a"/>
      </w:pPr>
      <w:r w:rsidRPr="00542A53">
        <w:t>45.</w:t>
      </w:r>
      <w:r w:rsidRPr="00542A53">
        <w:tab/>
        <w:t>z niepokojem zauważa, że ujawniono audyt wewnętrzny EBI wskazujący na to, że przepisy dotyczące konfliktu interesów uznano za „wymagające znacznej poprawy”, gdyż najwyraźniej nie uwzględniają one oczywistych i potencjalnych konfliktów; podkreśla, że deklaracje interesów składane przez organy zarządzające i kontrolne EBI i EFI są niedostosowane do innych wielostronnych banków rozwoju i Europejskiego Banku Centralnego oraz muszą zostać niezwłocznie skorygowane; podkreśla brak uprawnień, niezależności i zakresu funkcji zgodności z zasadami etyki w EBI i EFI oraz ryzyko stwarzane przez złożone struktury raportowania prowadzące do ujawniania danych wrażliwych; apeluje do EBI o dostosowanie swoich przepisów do Sieci Etyki Organizacji Wielostronnych i o składanie sprawozdań z podejmowanych działań następczych;</w:t>
      </w:r>
    </w:p>
    <w:p w:rsidR="002A6133" w:rsidRPr="00542A53" w:rsidP="002A6133" w14:paraId="3CB61454" w14:textId="77777777">
      <w:pPr>
        <w:pStyle w:val="NormalHanging12a"/>
      </w:pPr>
      <w:r w:rsidRPr="00542A53">
        <w:t>46.</w:t>
      </w:r>
      <w:r w:rsidRPr="00542A53">
        <w:tab/>
        <w:t>jest świadomy, że rozporządzenie (WE) nr 1049/2001</w:t>
      </w:r>
      <w:r>
        <w:rPr>
          <w:rStyle w:val="FootnoteReference"/>
        </w:rPr>
        <w:footnoteReference w:customMarkFollows="1" w:id="6"/>
        <w:t xml:space="preserve">5</w:t>
      </w:r>
      <w:r w:rsidRPr="00542A53">
        <w:t xml:space="preserve"> formalnie nie ma zastosowania do EBI oraz że polityka przejrzystości EBI, oparta na domniemaniu jawności, ma funkcjonować oddzielnie od tego rozporządzenia, ale zgodnie z nim; w kontekście przeglądu polityki przejrzystości na rok 2026 wzywa EBI do ograniczenia wyjątków od domniemania jawności do absolutnie niezbędnych i uzasadnionych przypadków; wzywa EBI do publikowania bardziej szczegółowych protokołów posiedzeń Rady Dyrektorów, w tym protokołów głosowań i uzasadnień dotyczących poszczególnych projektów, przy jednoczesnym poszanowaniu uzasadnionej poufności, gdy jest to konieczne;</w:t>
      </w:r>
    </w:p>
    <w:p w:rsidR="002A6133" w:rsidRPr="00542A53" w:rsidP="002A6133" w14:paraId="3036B867" w14:textId="77777777">
      <w:pPr>
        <w:pStyle w:val="NormalHanging12a"/>
      </w:pPr>
      <w:r w:rsidRPr="00542A53">
        <w:t>47.</w:t>
      </w:r>
      <w:r w:rsidRPr="00542A53">
        <w:tab/>
        <w:t xml:space="preserve">odnotowuje rosnącą liczbę spraw rozpatrywanych przez mechanizm rozpatrywania skarg EBI (113 spraw w 2024 r., 104 w 2023 r. i 97 w 2022 r.); podkreśla, że mechanizm rozpatrywania skarg pozostaje </w:t>
      </w:r>
      <w:r w:rsidRPr="00542A53">
        <w:t>autoreferencyjnym</w:t>
      </w:r>
      <w:r w:rsidRPr="00542A53">
        <w:t xml:space="preserve"> procesem rozwiązywania sporów w pełni osadzonym w strukturze EBI kosztem jego niezależności, którego ustalenia podlegają przeglądowi i zatwierdzeniu przez te same struktury zarządzania, które ma kontrolować; zauważa, że nominacji dokonuje się wewnętrznie bez nadzoru zewnętrznego; ubolewa, że Radzie Dyrektorów nie zgłasza się poszczególnych przypadków, a jedynie zbiorcze podsumowania w sprawozdaniach półrocznych; wzywa EBI do zreformowania mechanizmu rozpatrywania skarg w celu zapewnienia rzeczywistej niezależności i rozliczalności zewnętrznej;</w:t>
      </w:r>
    </w:p>
    <w:p w:rsidR="002A6133" w:rsidRPr="00542A53" w:rsidP="002A6133" w14:paraId="3E4D11BF" w14:textId="77777777">
      <w:pPr>
        <w:pStyle w:val="NormalHanging12a"/>
      </w:pPr>
      <w:r w:rsidRPr="00542A53">
        <w:t>48.</w:t>
      </w:r>
      <w:r w:rsidRPr="00542A53">
        <w:tab/>
        <w:t>odnotowuje zwiększone obciążenie pracą Wydziału Dochodzeń (IG/IN) w 2024 r. (244 nowe zarzuty oraz 49 spraw skierowanych do OLAF-u i Prokuratury Europejskiej); ubolewa, że w sprawozdaniu rocznym IG/IN nadal brakuje odpowiednich informacji na temat skali finansowej, funduszy i upoważnień, których to dotyczy, rodzajów projektów, środków łagodzących i państw członkowskich, których to dotyczy; ponownie zwraca się do generalnego inspektora EBI i kierownika wydziału IG/IN o poprawę jakości danych i współpracę z Parlamentem z myślą o lepszej ochronie interesów finansowych, aby osiągnąć właściwą równowagę między przejrzystością a poufnością; podkreśla, że taka sprawozdawczość powinna obejmować analizę przyczyn źródłowych w celu ustalenia, czy niepowodzenia wynikają z niezachowania należytej staranności, czynników zewnętrznych czy też kwestii systemowych przy wyborze projektów;</w:t>
      </w:r>
    </w:p>
    <w:p w:rsidR="002A6133" w:rsidRPr="00542A53" w:rsidP="002A6133" w14:paraId="2DAEAD6C" w14:textId="77777777">
      <w:pPr>
        <w:pStyle w:val="NormalHanging12a"/>
      </w:pPr>
      <w:r w:rsidRPr="00542A53">
        <w:t>49.</w:t>
      </w:r>
      <w:r w:rsidRPr="00542A53">
        <w:tab/>
        <w:t>z zadowoleniem przyjmuje współpracę grupy EBI z OLAF-em, Prokuraturą Europejską i Europolem oraz odnotowuje 29 odesłań do OLAF-u i 20 zgłoszeń do prokuratury w 2024 r.; z zadowoleniem przyjmuje zainteresowanie EBI uzyskaniem dostępu do opracowanego przez Komisję narzędzia punktowej oceny ryzyka Arachne; wzywa Komisję do niezwłocznego ułatwienia takiego dostępu w celu wzmocnienia wykrywania nadużyć finansowych i zapobiegania im we wszystkich operacjach EBI;</w:t>
      </w:r>
    </w:p>
    <w:p w:rsidR="002A6133" w:rsidRPr="00542A53" w:rsidP="002A6133" w14:paraId="213FC454" w14:textId="77777777">
      <w:pPr>
        <w:pStyle w:val="NormalHanging12a"/>
      </w:pPr>
      <w:r w:rsidRPr="00542A53">
        <w:t>50.</w:t>
      </w:r>
      <w:r w:rsidRPr="00542A53">
        <w:tab/>
        <w:t xml:space="preserve">z zaniepokojeniem zauważa, że autonomiczny system wykluczania EBI i system wczesnego wykrywania i wykluczania Komisji nie są w pełni równoważne i nie działają na zasadzie automatycznej wzajemności; wzywa EBI, by w pełni dostosował swoją politykę wykluczania do systemu wczesnego wykrywania i wykluczania Komisji pod względem standardów decyzyjnych, wyników i środków zaradczych, w tym również </w:t>
      </w:r>
      <w:r w:rsidRPr="00542A53">
        <w:t>jeśli chodzi o systematyczne wzajemne uznawanie decyzji o wykluczeniu, o ile jest to prawnie możliwe; ponownie wzywa grupę EBI i Komisję do współpracy w identyfikowaniu ewentualnych luk i proponowaniu środków zaradczych, w tym przyspieszonej procedury egzekwowania decyzji EBI o wykluczeniu za pośrednictwem systemu wczesnego wykrywania i wykluczania;</w:t>
      </w:r>
    </w:p>
    <w:p w:rsidR="002A6133" w:rsidRPr="00542A53" w:rsidP="002A6133" w14:paraId="265B97EB" w14:textId="77777777">
      <w:pPr>
        <w:pStyle w:val="NormalHanging12a"/>
      </w:pPr>
      <w:r w:rsidRPr="00542A53">
        <w:t>51.</w:t>
      </w:r>
      <w:r w:rsidRPr="00542A53">
        <w:tab/>
        <w:t xml:space="preserve">z zadowoleniem przyjmuje program EBI dotyczący przestrzegania sankcji i nawołuje do regularnego składania sprawozdań na temat kontroli sankcji i zabezpieczeń przed ich obchodzeniem w operacjach finansowanych przez EBI; wzywa grupę EBI do poprawy procedur monitorowania inwestycji kapitałowych dokonywanych za pośrednictwem pośredników finansowych, w tym funduszy venture </w:t>
      </w:r>
      <w:r w:rsidRPr="00542A53">
        <w:t>capital</w:t>
      </w:r>
      <w:r w:rsidRPr="00542A53">
        <w:t>;</w:t>
      </w:r>
    </w:p>
    <w:p w:rsidR="002A6133" w:rsidRPr="00542A53" w:rsidP="002A6133" w14:paraId="22DFDE33" w14:textId="77777777">
      <w:pPr>
        <w:pStyle w:val="NormalHanging12a"/>
      </w:pPr>
      <w:r w:rsidRPr="00542A53">
        <w:t>52.</w:t>
      </w:r>
      <w:r w:rsidRPr="00542A53">
        <w:tab/>
        <w:t>zauważa, że 10 czerwca 2024 r. EBI opublikował załącznik XII do regulaminu pracowniczego pt. „Ramy uznawania związków zawodowych w Europejskim Banku Inwestycyjnym”; zwraca uwagę na działania podejmowane przez EBI z myślą o dobrostanie pracowników, w tym jeśli chodzi o zdrowie psychiczne i równość szans; wzywa EBI do wzmocnienia polityki różnorodności i włączenia społecznego, w tym środków dotyczących włączenia osób z niepełnosprawnościami i równych szans; przypomina o znaczeniu sprawiedliwej reprezentacji geograficznej i równowagi płci podczas rekrutacji i na stanowiskach kierowniczych, a jednocześnie potwierdza, że głównym kryterium wyboru powinny być kwalifikacje, i zwraca się do EBI o przedstawienie sprawozdania na temat reprezentacji geograficznej i w odniesieniu do płci na wszystkich szczeblach hierarchii;</w:t>
      </w:r>
    </w:p>
    <w:p w:rsidR="002A6133" w:rsidRPr="00542A53" w:rsidP="002A6133" w14:paraId="015C1D7A" w14:textId="77777777">
      <w:pPr>
        <w:pStyle w:val="NormalHanging12a"/>
      </w:pPr>
      <w:r w:rsidRPr="00542A53">
        <w:t>53.</w:t>
      </w:r>
      <w:r w:rsidRPr="00542A53">
        <w:tab/>
        <w:t>przypomina o znaczeniu ochrony sygnalistów i solidnych ram antykorupcyjnych;</w:t>
      </w:r>
    </w:p>
    <w:p w:rsidR="002A6133" w:rsidRPr="00542A53" w:rsidP="002A6133" w14:paraId="45E387B8" w14:textId="77777777">
      <w:pPr>
        <w:pStyle w:val="Normal12a"/>
      </w:pPr>
      <w:r w:rsidRPr="00542A53">
        <w:rPr>
          <w:b/>
          <w:i/>
        </w:rPr>
        <w:t>Przejrzystość, kontrola i nadzór</w:t>
      </w:r>
    </w:p>
    <w:p w:rsidR="002A6133" w:rsidRPr="00542A53" w:rsidP="002A6133" w14:paraId="44DA72BD" w14:textId="77777777">
      <w:pPr>
        <w:pStyle w:val="NormalHanging12a"/>
      </w:pPr>
      <w:r w:rsidRPr="00542A53">
        <w:t>54.</w:t>
      </w:r>
      <w:r w:rsidRPr="00542A53">
        <w:tab/>
        <w:t>przyznaje, że główne zadania audytowe powierzono Komitetowi Kontroli i Audytu EBI; uważa, że udział wykwalifikowanych przedstawicieli zewnętrznych w określonych zadaniach Komitetu Kontroli i Audytu mógłby zwiększyć obiektywizm analiz tego komitetu;</w:t>
      </w:r>
    </w:p>
    <w:p w:rsidR="002A6133" w:rsidRPr="00542A53" w:rsidP="002A6133" w14:paraId="0B709A40" w14:textId="77777777">
      <w:pPr>
        <w:pStyle w:val="NormalHanging12a"/>
      </w:pPr>
      <w:r w:rsidRPr="00542A53">
        <w:t>55.</w:t>
      </w:r>
      <w:r w:rsidRPr="00542A53">
        <w:tab/>
        <w:t xml:space="preserve">zwraca uwagę, że w ostatnich latach nastąpiła poprawa, jeśli chodzi o przejrzystość i dostęp do informacji, co obejmuje wysiłki na rzecz poprawy dokumentacji procesu decyzyjnego, w tym również wskazywanie w stosownych przypadkach wymaganej większości głosów; zauważa, że ujawnianie informacji na poziomie projektu i identyfikowalność pozostają nierówne, zwłaszcza w przypadku operacji z udziałem pośredników finansowych i złożonych struktur gwarancyjnych; wzywa EBI do lepszego dostosowania swoich wewnętrznych wskaźników do </w:t>
      </w:r>
      <w:r w:rsidRPr="00542A53">
        <w:t>ogólnounijnych</w:t>
      </w:r>
      <w:r w:rsidRPr="00542A53">
        <w:t xml:space="preserve"> standardów zrównoważonego rozwoju (na przykład poprzez usunięcie rozbieżności między odsetkiem działań w dziedzinie klimatu EBI a wskaźnikiem zielonych aktywów UE); przypomina, że odpowiednia sprawozdawczość jest niezbędnym warunkiem przejrzystości, i ubolewa, że sprawozdawczość dla Parlamentu sprowadza się do dobrowolnych i sporadycznych wystąpień prezesa EBI na posiedzeniu plenarnym bądź w komisji o kompetencjach sektorowych;</w:t>
      </w:r>
    </w:p>
    <w:p w:rsidR="002A6133" w:rsidRPr="00542A53" w:rsidP="002A6133" w14:paraId="79DA37B4" w14:textId="77777777">
      <w:pPr>
        <w:pStyle w:val="NormalHanging12a"/>
      </w:pPr>
      <w:r w:rsidRPr="00542A53">
        <w:t>56.</w:t>
      </w:r>
      <w:r w:rsidRPr="00542A53">
        <w:tab/>
        <w:t xml:space="preserve">odnotowuje wyniki rankingu przejrzystości instytucji finansujących rozwój z 2025 r., w którym to rankingu EBI wypada gorzej niż inne wielostronne banki rozwoju, takie jak Bank Światowy, Azjatycki Bank Rozwoju i Afrykański Bank Rozwoju, pod względem ogólnych wskaźników przejrzystości; uznaje jednak znaczące mocne strony EBI </w:t>
      </w:r>
      <w:r w:rsidRPr="00542A53">
        <w:t>wskazane w raporcie „</w:t>
      </w:r>
      <w:r w:rsidRPr="00542A53">
        <w:t>Behind</w:t>
      </w:r>
      <w:r w:rsidRPr="00542A53">
        <w:t xml:space="preserve"> the Billions”</w:t>
      </w:r>
      <w:r>
        <w:rPr>
          <w:rStyle w:val="FootnoteReference"/>
        </w:rPr>
        <w:footnoteReference w:customMarkFollows="1" w:id="7"/>
        <w:t xml:space="preserve">6</w:t>
      </w:r>
      <w:r w:rsidRPr="00542A53">
        <w:t xml:space="preserve"> z listopada 2025 r., w którym ujawnianie informacji przez EBI uznano za dobrą praktykę umożliwiającą niemal pełną identyfikowalność jego finansowania działań w związku ze zmianą klimatu; podkreśla, że EBI powinien teraz wykorzystać swoją wiodącą pozycję w obszarze danych, aby dostarczać bardziej szczegółowe dane dotyczące efektów swoich inwestycji oraz stosować ujednolicone metody ich oceny, co umożliwi weryfikację efektywności i opłacalności jego inwestycji;</w:t>
      </w:r>
    </w:p>
    <w:p w:rsidR="002A6133" w:rsidRPr="00542A53" w:rsidP="002A6133" w14:paraId="4397E5E8" w14:textId="77777777">
      <w:pPr>
        <w:pStyle w:val="NormalHanging12a"/>
      </w:pPr>
      <w:r w:rsidRPr="00542A53">
        <w:t>57.</w:t>
      </w:r>
      <w:r w:rsidRPr="00542A53">
        <w:tab/>
        <w:t>zdaje sobie sprawę, że pożyczki EBI nie podlegają takim samym obowiązkom w zakresie widoczności jak dotacje; zwraca się jednak do EBI o zadbanie o to, aby obowiązujące ramy umowne i prawne gwarantowały przejrzystość wszystkich projektów finansowanych z wykorzystaniem wsparcia EBI i wyraźnie wskazywały, że finansowanie odbywa się przy wsparciu obywateli państw członkowskich UE, co ma podnieść świadomość społeczną na temat wymiernych korzyści płynących z inwestycji unijnych i zwiększyć zaufanie podatników do wykorzystania zasobów publicznych;</w:t>
      </w:r>
    </w:p>
    <w:p w:rsidR="002A6133" w:rsidRPr="00542A53" w:rsidP="002A6133" w14:paraId="355BD650" w14:textId="77777777">
      <w:pPr>
        <w:pStyle w:val="NormalHanging12a"/>
      </w:pPr>
      <w:r w:rsidRPr="00542A53">
        <w:t>58.</w:t>
      </w:r>
      <w:r w:rsidRPr="00542A53">
        <w:tab/>
        <w:t>przypomina swoje uwagi na temat znaczenia pełnego wdrożenia polityki dotyczącej oszustw podatkowych, uchylania się od opodatkowania i unikania opodatkowania; z zadowoleniem przyjmuje testowanie nowego narzędzia oceny ryzyka uczciwości podatkowej w 2024 r. w celu oceny ryzyka podatkowego w projektach i oczekuje oceny wdrożenia w całej grupie w 2025 r.; ponawia apel do EBI, aby nie finansował beneficjentów ani pośredników finansowych, w przypadku których stwierdzono, że są zaangażowani w nadużycia podatkowe lub że istnieje co do tego wysokie ryzyko, i podkreśla, że podwójne opodatkowanie inwestycji transgranicznych, a także złożone otoczenie podatkowe ograniczają inwestycje;</w:t>
      </w:r>
    </w:p>
    <w:p w:rsidR="002A6133" w:rsidRPr="00542A53" w:rsidP="002A6133" w14:paraId="1F399D85" w14:textId="6269E2B7">
      <w:pPr>
        <w:pStyle w:val="NormalHanging12a"/>
      </w:pPr>
      <w:r w:rsidRPr="00542A53">
        <w:t>59.</w:t>
      </w:r>
      <w:r w:rsidRPr="00542A53">
        <w:tab/>
        <w:t>ubolewa z powodu faktu, że EBI spóźnia się z działaniami następczymi w związku ze sprawozdaniem rocznym Parlamentu w sprawie kontroli jego działalności finansowej za 2023 r.</w:t>
      </w:r>
      <w:r>
        <w:rPr>
          <w:rStyle w:val="FootnoteReference"/>
        </w:rPr>
        <w:footnoteReference w:customMarkFollows="1" w:id="8"/>
        <w:t xml:space="preserve">7</w:t>
      </w:r>
      <w:r w:rsidRPr="00542A53">
        <w:t xml:space="preserve">, co jest niezgodne z praktyką wielu ostatnich lat; podkreśla, że bardziej ustrukturyzowana i przewidywalna współpraca byłaby korzystna dla obu stron; utrzymuje, że protokół ustaleń lub porozumienie międzyinstytucjonalne to zasadnicze elementy, jeśli chodzi o nawiązanie takiej współpracy w zakresie wymiany informacji oraz w zakresie przesłuchań i działań następczych, gdyż sformalizowałyby one praktyki już w dużej mierze stosowane przez EBI; z zadowoleniem przyjmuje deklarowaną przez EBI gotowość do nawiązania dialogu z myślą o tym, aby współpraca opierała się na przewidywalnych zobowiązaniach instytucjonalnych, a nie na nieformalnych ustaleniach; ponawia apel o szybkie sformalizowanie tej współpracy; nawołuje do zbadania dodatkowych sposobów poprawy koordynacji między Parlamentem Europejskim, parlamentami krajowymi i najwyższymi organami kontroli oraz do ściślejszej wymiany ze społeczeństwem obywatelskim i środowiskiem akademickim, co sprzyjałoby większej przejrzystości; </w:t>
      </w:r>
    </w:p>
    <w:p w:rsidR="002A6133" w:rsidRPr="00542A53" w:rsidP="002A6133" w14:paraId="005CC4B9" w14:textId="77777777">
      <w:pPr>
        <w:pStyle w:val="Normal12a"/>
      </w:pPr>
      <w:r w:rsidRPr="00542A53">
        <w:rPr>
          <w:b/>
          <w:i/>
        </w:rPr>
        <w:t>Działania następcze w związku z zaleceniami Parlamentu</w:t>
      </w:r>
    </w:p>
    <w:p w:rsidR="008E3CAF" w:rsidP="002A6133" w14:paraId="1DDAEC20" w14:textId="77777777">
      <w:pPr>
        <w:pStyle w:val="NormalHanging12a"/>
      </w:pPr>
      <w:r w:rsidRPr="00542A53">
        <w:t>60.</w:t>
      </w:r>
      <w:r w:rsidRPr="00542A53">
        <w:tab/>
        <w:t>wzywa EBI do terminowego realizowania zaleceń wydanych przez Parlament, do złożenia sprawozdania z osiągniętych wyników i wpływu działań podjętych w celu realizacji jego priorytetów i polityki UE, ze szczególnym uwzględnieniem:</w:t>
      </w:r>
    </w:p>
    <w:p w:rsidR="008E3CAF" w:rsidP="008E3CAF" w14:paraId="17138949" w14:textId="4D6D4400">
      <w:pPr>
        <w:pStyle w:val="NormalHanging12a"/>
        <w:ind w:left="1134" w:hanging="567"/>
      </w:pPr>
      <w:r w:rsidRPr="00542A53">
        <w:t xml:space="preserve">a) </w:t>
      </w:r>
      <w:r>
        <w:tab/>
      </w:r>
      <w:r w:rsidRPr="00542A53">
        <w:t>skutków (gospodarczych, środowiskowych i społecznych) swojej strategii inwestycyjnej i osiągniętych wyników, aby przyczynić się do zrównoważonego i stałego rozwoju rynku wewnętrznego w interesie UE,</w:t>
      </w:r>
    </w:p>
    <w:p w:rsidR="008E3CAF" w:rsidP="008E3CAF" w14:paraId="7305517C" w14:textId="73D69D6C">
      <w:pPr>
        <w:pStyle w:val="NormalHanging12a"/>
        <w:ind w:left="1134" w:hanging="567"/>
      </w:pPr>
      <w:r w:rsidRPr="00542A53">
        <w:t xml:space="preserve">b) </w:t>
      </w:r>
      <w:r>
        <w:tab/>
      </w:r>
      <w:r w:rsidRPr="00542A53">
        <w:t>działań podjętych w celu skuteczniejszego zapobiegania konfliktom interesów, nadużyciom finansowym, korupcji i innym potencjalnym formom uchybień oraz przeciwdziałania im;</w:t>
      </w:r>
    </w:p>
    <w:p w:rsidR="008E3CAF" w:rsidP="008E3CAF" w14:paraId="32364878" w14:textId="0B6227E2">
      <w:pPr>
        <w:pStyle w:val="NormalHanging12a"/>
        <w:ind w:left="1134" w:hanging="567"/>
      </w:pPr>
      <w:r w:rsidRPr="00542A53">
        <w:t xml:space="preserve">c) </w:t>
      </w:r>
      <w:r>
        <w:tab/>
      </w:r>
      <w:r w:rsidRPr="00542A53">
        <w:t>nowych środków na rzecz większej przejrzystości;</w:t>
      </w:r>
    </w:p>
    <w:p w:rsidR="002A6133" w:rsidRPr="00542A53" w:rsidP="008E3CAF" w14:paraId="01F392AD" w14:textId="4FA0AF17">
      <w:pPr>
        <w:pStyle w:val="NormalHanging12a"/>
        <w:ind w:left="1134" w:hanging="567"/>
      </w:pPr>
      <w:r w:rsidRPr="00542A53">
        <w:t xml:space="preserve">d) </w:t>
      </w:r>
      <w:r w:rsidR="008E3CAF">
        <w:tab/>
      </w:r>
      <w:r w:rsidRPr="00542A53">
        <w:t>środków mających na celu zwiększenie wsparcia dla MŚP i kwalifikujących się podmiotów gospodarczych w toku wdrażania polityki UE;</w:t>
      </w:r>
    </w:p>
    <w:p w:rsidR="002A6133" w:rsidRPr="00542A53" w:rsidP="002A6133" w14:paraId="784EA36E" w14:textId="77777777">
      <w:pPr>
        <w:pStyle w:val="NormalCenter12a"/>
      </w:pPr>
      <w:r w:rsidRPr="00542A53">
        <w:t>°</w:t>
      </w:r>
    </w:p>
    <w:p w:rsidR="002A6133" w:rsidRPr="00542A53" w:rsidP="002A6133" w14:paraId="7BE09E18" w14:textId="77777777">
      <w:pPr>
        <w:pStyle w:val="NormalCenter12a"/>
      </w:pPr>
      <w:r w:rsidRPr="00542A53">
        <w:t>°</w:t>
      </w:r>
      <w:r w:rsidRPr="00542A53">
        <w:tab/>
        <w:t>°</w:t>
      </w:r>
    </w:p>
    <w:p w:rsidR="00542A53" w:rsidRPr="00542A53" w:rsidP="00542A53" w14:paraId="731DF554" w14:textId="5C66F3DB">
      <w:pPr>
        <w:pStyle w:val="NormalHanging12a"/>
      </w:pPr>
      <w:r w:rsidRPr="00542A53">
        <w:t>61.</w:t>
      </w:r>
      <w:r w:rsidRPr="00542A53">
        <w:tab/>
        <w:t>zobowiązuje swoją przewodniczącą do przekazania niniejszej rezolucji Radzie i Komisji oraz zwraca się do Rady i do Rady Dyrektorów EBI o przeprowadzenie debaty na temat stanowisk przedstawionych przez Parlament w tej rezolucji.</w:t>
      </w:r>
    </w:p>
    <w:p w:rsidR="00E365E1" w:rsidRPr="00542A53" w:rsidP="001132E2" w14:paraId="08DE5F34" w14:textId="131FC55D"/>
    <w:sectPr w:rsidSect="00542A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2A53" w14:paraId="008EF72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2A53" w14:paraId="26FA126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2A53" w14:paraId="759F125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132E2" w:rsidRPr="00542A53" w14:paraId="2D36E7FF" w14:textId="77777777">
      <w:r w:rsidRPr="00542A53">
        <w:separator/>
      </w:r>
    </w:p>
  </w:footnote>
  <w:footnote w:type="continuationSeparator" w:id="1">
    <w:p w:rsidR="001132E2" w:rsidRPr="00542A53" w14:paraId="7164D7FE" w14:textId="77777777">
      <w:r w:rsidRPr="00542A53">
        <w:continuationSeparator/>
      </w:r>
    </w:p>
  </w:footnote>
  <w:footnote w:id="2">
    <w:p w:rsidR="002A6133" w:rsidRPr="002C20B5" w:rsidP="00542A53" w14:paraId="0877DE1D" w14:textId="45CBB855">
      <w:pPr>
        <w:pStyle w:val="FootnoteText"/>
        <w:ind w:left="567" w:hanging="567"/>
        <w:rPr>
          <w:sz w:val="24"/>
          <w:lang w:val="fi-FI"/>
        </w:rPr>
      </w:pPr>
      <w:r w:rsidRPr="002C20B5">
        <w:rPr>
          <w:sz w:val="24"/>
          <w:vertAlign w:val="superscript"/>
          <w:lang w:val="fi-FI"/>
        </w:rPr>
        <w:t>1</w:t>
      </w:r>
      <w:r w:rsidRPr="002C20B5" w:rsidR="00542A53">
        <w:rPr>
          <w:sz w:val="24"/>
          <w:vertAlign w:val="superscript"/>
          <w:lang w:val="fi-FI"/>
        </w:rPr>
        <w:t xml:space="preserve"> </w:t>
      </w:r>
      <w:r w:rsidRPr="002C20B5" w:rsidR="00542A53">
        <w:rPr>
          <w:sz w:val="24"/>
          <w:vertAlign w:val="superscript"/>
          <w:lang w:val="fi-FI"/>
        </w:rPr>
        <w:tab/>
      </w:r>
      <w:r w:rsidRPr="002C20B5">
        <w:rPr>
          <w:sz w:val="24"/>
          <w:lang w:val="fi-FI"/>
        </w:rPr>
        <w:t>Dz.U</w:t>
      </w:r>
      <w:r w:rsidRPr="002C20B5">
        <w:rPr>
          <w:sz w:val="24"/>
          <w:lang w:val="fi-FI"/>
        </w:rPr>
        <w:t xml:space="preserve">. L, 2025/504, 14.3.2025, ELI: </w:t>
      </w:r>
      <w:hyperlink r:id="rId1" w:tgtFrame="http://data.europa.eu/eli/dec/2025/504/oj" w:history="1">
        <w:r w:rsidRPr="002C20B5">
          <w:rPr>
            <w:rStyle w:val="Hyperlink"/>
            <w:sz w:val="24"/>
            <w:lang w:val="fi-FI"/>
          </w:rPr>
          <w:t>http://data.europa.eu/eli/dec/2025/504/oj</w:t>
        </w:r>
      </w:hyperlink>
      <w:r w:rsidRPr="002C20B5">
        <w:rPr>
          <w:sz w:val="24"/>
          <w:lang w:val="fi-FI"/>
        </w:rPr>
        <w:t>.</w:t>
      </w:r>
    </w:p>
  </w:footnote>
  <w:footnote w:id="3">
    <w:p w:rsidR="002A6133" w:rsidRPr="00542A53" w:rsidP="00542A53" w14:paraId="7990C603" w14:textId="3905373A">
      <w:pPr>
        <w:pStyle w:val="FootnoteText"/>
        <w:ind w:left="567" w:hanging="567"/>
        <w:rPr>
          <w:sz w:val="24"/>
          <w:lang w:val="pl-PL"/>
        </w:rPr>
      </w:pPr>
      <w:r w:rsidRPr="00542A53">
        <w:rPr>
          <w:sz w:val="24"/>
          <w:vertAlign w:val="superscript"/>
          <w:lang w:val="pl-PL"/>
        </w:rPr>
        <w:t>2</w:t>
      </w:r>
      <w:r w:rsidRPr="00542A53" w:rsidR="00542A53">
        <w:rPr>
          <w:sz w:val="24"/>
          <w:vertAlign w:val="superscript"/>
          <w:lang w:val="pl-PL"/>
        </w:rPr>
        <w:t xml:space="preserve"> </w:t>
      </w:r>
      <w:r w:rsidRPr="00542A53" w:rsidR="00542A53">
        <w:rPr>
          <w:sz w:val="24"/>
          <w:vertAlign w:val="superscript"/>
          <w:lang w:val="pl-PL"/>
        </w:rPr>
        <w:tab/>
      </w:r>
      <w:r w:rsidRPr="00542A53">
        <w:rPr>
          <w:sz w:val="24"/>
          <w:lang w:val="pl-PL"/>
        </w:rPr>
        <w:t xml:space="preserve">Komisja Europejska: Dyrekcja Generalna ds. Przemysłu Obronnego i Przestrzeni Kosmicznej, „Access to equity </w:t>
      </w:r>
      <w:r w:rsidRPr="00542A53">
        <w:rPr>
          <w:sz w:val="24"/>
          <w:lang w:val="pl-PL"/>
        </w:rPr>
        <w:t>financing</w:t>
      </w:r>
      <w:r w:rsidRPr="00542A53">
        <w:rPr>
          <w:sz w:val="24"/>
          <w:lang w:val="pl-PL"/>
        </w:rPr>
        <w:t xml:space="preserve"> for </w:t>
      </w:r>
      <w:r w:rsidRPr="00542A53">
        <w:rPr>
          <w:sz w:val="24"/>
          <w:lang w:val="pl-PL"/>
        </w:rPr>
        <w:t>European</w:t>
      </w:r>
      <w:r w:rsidRPr="00542A53">
        <w:rPr>
          <w:sz w:val="24"/>
          <w:lang w:val="pl-PL"/>
        </w:rPr>
        <w:t xml:space="preserve"> </w:t>
      </w:r>
      <w:r w:rsidRPr="00542A53">
        <w:rPr>
          <w:sz w:val="24"/>
          <w:lang w:val="pl-PL"/>
        </w:rPr>
        <w:t>defence</w:t>
      </w:r>
      <w:r w:rsidRPr="00542A53">
        <w:rPr>
          <w:sz w:val="24"/>
          <w:lang w:val="pl-PL"/>
        </w:rPr>
        <w:t xml:space="preserve"> </w:t>
      </w:r>
      <w:r w:rsidRPr="00542A53">
        <w:rPr>
          <w:sz w:val="24"/>
          <w:lang w:val="pl-PL"/>
        </w:rPr>
        <w:t>SMEs</w:t>
      </w:r>
      <w:r w:rsidRPr="00542A53">
        <w:rPr>
          <w:sz w:val="24"/>
          <w:lang w:val="pl-PL"/>
        </w:rPr>
        <w:t xml:space="preserve">” [Dostęp do finansowania kapitałowego dla europejskich MŚP z sektora obronnego], Urząd Publikacji Unii Europejskiej, 2024, </w:t>
      </w:r>
      <w:hyperlink r:id="rId2" w:tgtFrame="https://data.europa.eu/doi/10.2889/698738" w:history="1">
        <w:r w:rsidRPr="00542A53">
          <w:rPr>
            <w:rStyle w:val="Hyperlink"/>
            <w:sz w:val="24"/>
            <w:lang w:val="pl-PL"/>
          </w:rPr>
          <w:t>https://data.europa.eu/doi/10.2889/698738</w:t>
        </w:r>
      </w:hyperlink>
      <w:r w:rsidRPr="00542A53">
        <w:rPr>
          <w:sz w:val="24"/>
          <w:lang w:val="pl-PL"/>
        </w:rPr>
        <w:t>.</w:t>
      </w:r>
    </w:p>
  </w:footnote>
  <w:footnote w:id="4">
    <w:p w:rsidR="002A6133" w:rsidRPr="002C20B5" w:rsidP="00542A53" w14:paraId="42096C3B" w14:textId="4B40982E">
      <w:pPr>
        <w:pStyle w:val="FootnoteText"/>
        <w:ind w:left="567" w:hanging="567"/>
        <w:rPr>
          <w:sz w:val="24"/>
          <w:lang w:val="fi-FI"/>
        </w:rPr>
      </w:pPr>
      <w:r w:rsidRPr="002C20B5">
        <w:rPr>
          <w:sz w:val="24"/>
          <w:vertAlign w:val="superscript"/>
          <w:lang w:val="fi-FI"/>
        </w:rPr>
        <w:t>3</w:t>
      </w:r>
      <w:r w:rsidRPr="002C20B5" w:rsidR="00542A53">
        <w:rPr>
          <w:sz w:val="24"/>
          <w:vertAlign w:val="superscript"/>
          <w:lang w:val="fi-FI"/>
        </w:rPr>
        <w:t xml:space="preserve"> </w:t>
      </w:r>
      <w:r w:rsidRPr="002C20B5" w:rsidR="00542A53">
        <w:rPr>
          <w:sz w:val="24"/>
          <w:vertAlign w:val="superscript"/>
          <w:lang w:val="fi-FI"/>
        </w:rPr>
        <w:tab/>
      </w:r>
      <w:r w:rsidRPr="002C20B5">
        <w:rPr>
          <w:sz w:val="24"/>
          <w:lang w:val="fi-FI"/>
        </w:rPr>
        <w:t>Dz.U</w:t>
      </w:r>
      <w:r w:rsidRPr="002C20B5">
        <w:rPr>
          <w:sz w:val="24"/>
          <w:lang w:val="fi-FI"/>
        </w:rPr>
        <w:t xml:space="preserve">. C, C/2025/3151, 20.6.2025, ELI: </w:t>
      </w:r>
      <w:hyperlink r:id="rId3" w:tgtFrame="http://data.europa.eu/eli/C/2025/3151/oj" w:history="1">
        <w:r w:rsidRPr="002C20B5">
          <w:rPr>
            <w:rStyle w:val="Hyperlink"/>
            <w:sz w:val="24"/>
            <w:lang w:val="fi-FI"/>
          </w:rPr>
          <w:t>http://data.europa.eu/eli/C/2025/3151/oj</w:t>
        </w:r>
      </w:hyperlink>
      <w:r w:rsidRPr="002C20B5">
        <w:rPr>
          <w:sz w:val="24"/>
          <w:lang w:val="fi-FI"/>
        </w:rPr>
        <w:t>.</w:t>
      </w:r>
    </w:p>
  </w:footnote>
  <w:footnote w:id="5">
    <w:p w:rsidR="002A6133" w:rsidRPr="00542A53" w:rsidP="00542A53" w14:paraId="7E89F91C" w14:textId="0D82901F">
      <w:pPr>
        <w:pStyle w:val="FootnoteText"/>
        <w:ind w:left="567" w:hanging="567"/>
        <w:rPr>
          <w:sz w:val="24"/>
          <w:lang w:val="pl-PL"/>
        </w:rPr>
      </w:pPr>
      <w:r w:rsidRPr="00542A53">
        <w:rPr>
          <w:sz w:val="24"/>
          <w:vertAlign w:val="superscript"/>
          <w:lang w:val="pl-PL"/>
        </w:rPr>
        <w:t>4</w:t>
      </w:r>
      <w:r w:rsidRPr="00542A53" w:rsidR="00542A53">
        <w:rPr>
          <w:sz w:val="24"/>
          <w:vertAlign w:val="superscript"/>
          <w:lang w:val="pl-PL"/>
        </w:rPr>
        <w:t xml:space="preserve"> </w:t>
      </w:r>
      <w:r w:rsidRPr="00542A53" w:rsidR="00542A53">
        <w:rPr>
          <w:sz w:val="24"/>
          <w:vertAlign w:val="superscript"/>
          <w:lang w:val="pl-PL"/>
        </w:rPr>
        <w:tab/>
      </w:r>
      <w:r w:rsidRPr="00542A53">
        <w:rPr>
          <w:sz w:val="24"/>
          <w:lang w:val="pl-PL"/>
        </w:rPr>
        <w:t>Na koniec 2024 r. całkowita ekspozycja z tytuły pożyczek wypłaconych wyniosła 3 227,1 mln EUR (w porównaniu z 3 144,3 mln EUR na koniec 2023 r.), z czego 3 068,1 mln EUR (95%) jest zabezpieczone kompleksowymi gwarancjami UE, 146,6 mln EUR (5%) jest zabezpieczone gwarancją UE obejmującą ryzyko polityczne, a 12,4 mln EUR jest objęte mechanizmem opartym na podziale ryzyka (w porównaniu z odpowiednio: 2 962,7 mln EUR, tj. 94%, 166,8 mln EUR, tj. 5%, oraz 14,8 mln EUR, tj. 1%, na koniec 2023 r.).</w:t>
      </w:r>
    </w:p>
  </w:footnote>
  <w:footnote w:id="6">
    <w:p w:rsidR="002A6133" w:rsidRPr="00542A53" w:rsidP="00542A53" w14:paraId="0E2693AC" w14:textId="75531591">
      <w:pPr>
        <w:pStyle w:val="FootnoteText"/>
        <w:ind w:left="567" w:hanging="567"/>
        <w:rPr>
          <w:sz w:val="24"/>
          <w:lang w:val="pl-PL"/>
        </w:rPr>
      </w:pPr>
      <w:r w:rsidRPr="00542A53">
        <w:rPr>
          <w:sz w:val="24"/>
          <w:vertAlign w:val="superscript"/>
          <w:lang w:val="pl-PL"/>
        </w:rPr>
        <w:t>5</w:t>
      </w:r>
      <w:r w:rsidRPr="00542A53" w:rsidR="00542A53">
        <w:rPr>
          <w:sz w:val="24"/>
          <w:vertAlign w:val="superscript"/>
          <w:lang w:val="pl-PL"/>
        </w:rPr>
        <w:t xml:space="preserve"> </w:t>
      </w:r>
      <w:r w:rsidRPr="00542A53" w:rsidR="00542A53">
        <w:rPr>
          <w:sz w:val="24"/>
          <w:vertAlign w:val="superscript"/>
          <w:lang w:val="pl-PL"/>
        </w:rPr>
        <w:tab/>
      </w:r>
      <w:r w:rsidRPr="00542A53">
        <w:rPr>
          <w:sz w:val="24"/>
          <w:lang w:val="pl-PL"/>
        </w:rPr>
        <w:t xml:space="preserve">Rozporządzenie (WE) nr 1049/2001 Parlamentu Europejskiego i Rady z dnia 30 maja 2001 r. w sprawie publicznego dostępu do dokumentów Parlamentu Europejskiego, Rady i Komisji (Dz.U. L 145 z </w:t>
      </w:r>
      <w:r w:rsidRPr="00542A53">
        <w:rPr>
          <w:sz w:val="24"/>
          <w:lang w:val="pl-PL"/>
        </w:rPr>
        <w:t>31.5.2001</w:t>
      </w:r>
      <w:r w:rsidRPr="00542A53">
        <w:rPr>
          <w:sz w:val="24"/>
          <w:lang w:val="pl-PL"/>
        </w:rPr>
        <w:t xml:space="preserve">, s. 43, ELI: </w:t>
      </w:r>
      <w:hyperlink r:id="rId4" w:tgtFrame="http://data.europa.eu/eli/reg/2001/1049/oj" w:history="1">
        <w:r w:rsidRPr="00542A53">
          <w:rPr>
            <w:rStyle w:val="Hyperlink"/>
            <w:sz w:val="24"/>
            <w:lang w:val="pl-PL"/>
          </w:rPr>
          <w:t>http://data.europa.eu/eli/reg/2001/1049/oj</w:t>
        </w:r>
      </w:hyperlink>
      <w:r w:rsidRPr="00542A53">
        <w:rPr>
          <w:sz w:val="24"/>
          <w:lang w:val="pl-PL"/>
        </w:rPr>
        <w:t>).</w:t>
      </w:r>
    </w:p>
  </w:footnote>
  <w:footnote w:id="7">
    <w:p w:rsidR="002A6133" w:rsidRPr="00542A53" w:rsidP="00542A53" w14:paraId="78FBE18E" w14:textId="3E9D530E">
      <w:pPr>
        <w:pStyle w:val="FootnoteText"/>
        <w:ind w:left="567" w:hanging="567"/>
        <w:rPr>
          <w:sz w:val="24"/>
          <w:lang w:val="pl-PL"/>
        </w:rPr>
      </w:pPr>
      <w:r w:rsidRPr="00542A53">
        <w:rPr>
          <w:sz w:val="24"/>
          <w:vertAlign w:val="superscript"/>
          <w:lang w:val="pl-PL"/>
        </w:rPr>
        <w:t>6</w:t>
      </w:r>
      <w:r w:rsidRPr="00542A53" w:rsidR="00542A53">
        <w:rPr>
          <w:sz w:val="24"/>
          <w:vertAlign w:val="superscript"/>
          <w:lang w:val="pl-PL"/>
        </w:rPr>
        <w:t xml:space="preserve"> </w:t>
      </w:r>
      <w:r w:rsidRPr="00542A53" w:rsidR="00542A53">
        <w:rPr>
          <w:sz w:val="24"/>
          <w:vertAlign w:val="superscript"/>
          <w:lang w:val="pl-PL"/>
        </w:rPr>
        <w:tab/>
      </w:r>
      <w:r w:rsidRPr="00542A53">
        <w:rPr>
          <w:sz w:val="24"/>
          <w:lang w:val="pl-PL"/>
        </w:rPr>
        <w:t>Publish</w:t>
      </w:r>
      <w:r w:rsidRPr="00542A53">
        <w:rPr>
          <w:sz w:val="24"/>
          <w:lang w:val="pl-PL"/>
        </w:rPr>
        <w:t xml:space="preserve"> </w:t>
      </w:r>
      <w:r w:rsidRPr="00542A53">
        <w:rPr>
          <w:sz w:val="24"/>
          <w:lang w:val="pl-PL"/>
        </w:rPr>
        <w:t>What</w:t>
      </w:r>
      <w:r w:rsidRPr="00542A53">
        <w:rPr>
          <w:sz w:val="24"/>
          <w:lang w:val="pl-PL"/>
        </w:rPr>
        <w:t xml:space="preserve"> </w:t>
      </w:r>
      <w:r w:rsidRPr="00542A53">
        <w:rPr>
          <w:sz w:val="24"/>
          <w:lang w:val="pl-PL"/>
        </w:rPr>
        <w:t>You</w:t>
      </w:r>
      <w:r w:rsidRPr="00542A53">
        <w:rPr>
          <w:sz w:val="24"/>
          <w:lang w:val="pl-PL"/>
        </w:rPr>
        <w:t xml:space="preserve"> Fund, ‘</w:t>
      </w:r>
      <w:r w:rsidRPr="00542A53">
        <w:rPr>
          <w:sz w:val="24"/>
          <w:lang w:val="pl-PL"/>
        </w:rPr>
        <w:t>Behind</w:t>
      </w:r>
      <w:r w:rsidRPr="00542A53">
        <w:rPr>
          <w:sz w:val="24"/>
          <w:lang w:val="pl-PL"/>
        </w:rPr>
        <w:t xml:space="preserve"> the </w:t>
      </w:r>
      <w:r w:rsidRPr="00542A53">
        <w:rPr>
          <w:sz w:val="24"/>
          <w:lang w:val="pl-PL"/>
        </w:rPr>
        <w:t>Billions</w:t>
      </w:r>
      <w:r w:rsidRPr="00542A53">
        <w:rPr>
          <w:sz w:val="24"/>
          <w:lang w:val="pl-PL"/>
        </w:rPr>
        <w:t xml:space="preserve">: </w:t>
      </w:r>
      <w:r w:rsidRPr="00542A53">
        <w:rPr>
          <w:sz w:val="24"/>
          <w:lang w:val="pl-PL"/>
        </w:rPr>
        <w:t>Tracking</w:t>
      </w:r>
      <w:r w:rsidRPr="00542A53">
        <w:rPr>
          <w:sz w:val="24"/>
          <w:lang w:val="pl-PL"/>
        </w:rPr>
        <w:t xml:space="preserve"> the missing </w:t>
      </w:r>
      <w:r w:rsidRPr="00542A53">
        <w:rPr>
          <w:sz w:val="24"/>
          <w:lang w:val="pl-PL"/>
        </w:rPr>
        <w:t>pieces</w:t>
      </w:r>
      <w:r w:rsidRPr="00542A53">
        <w:rPr>
          <w:sz w:val="24"/>
          <w:lang w:val="pl-PL"/>
        </w:rPr>
        <w:t xml:space="preserve"> of MDB </w:t>
      </w:r>
      <w:r w:rsidRPr="00542A53">
        <w:rPr>
          <w:sz w:val="24"/>
          <w:lang w:val="pl-PL"/>
        </w:rPr>
        <w:t>climate</w:t>
      </w:r>
      <w:r w:rsidRPr="00542A53">
        <w:rPr>
          <w:sz w:val="24"/>
          <w:lang w:val="pl-PL"/>
        </w:rPr>
        <w:t xml:space="preserve"> </w:t>
      </w:r>
      <w:r w:rsidRPr="00542A53">
        <w:rPr>
          <w:sz w:val="24"/>
          <w:lang w:val="pl-PL"/>
        </w:rPr>
        <w:t>finance</w:t>
      </w:r>
      <w:r w:rsidRPr="00542A53">
        <w:rPr>
          <w:sz w:val="24"/>
          <w:lang w:val="pl-PL"/>
        </w:rPr>
        <w:t xml:space="preserve"> data’ [Na co wydaje się miliardy – identyfikowalność danych finansowych dotyczących działań klimatycznych wielostronnych banków rozwoju], listopad 2025.</w:t>
      </w:r>
    </w:p>
  </w:footnote>
  <w:footnote w:id="8">
    <w:p w:rsidR="002A6133" w:rsidRPr="00542A53" w:rsidP="00542A53" w14:paraId="72090E00" w14:textId="62606166">
      <w:pPr>
        <w:pStyle w:val="FootnoteText"/>
        <w:ind w:left="567" w:hanging="567"/>
        <w:rPr>
          <w:sz w:val="24"/>
          <w:lang w:val="pl-PL"/>
        </w:rPr>
      </w:pPr>
      <w:r w:rsidRPr="00542A53">
        <w:rPr>
          <w:sz w:val="24"/>
          <w:vertAlign w:val="superscript"/>
          <w:lang w:val="pl-PL"/>
        </w:rPr>
        <w:t>7</w:t>
      </w:r>
      <w:r w:rsidRPr="00542A53" w:rsidR="00542A53">
        <w:rPr>
          <w:sz w:val="24"/>
          <w:vertAlign w:val="superscript"/>
          <w:lang w:val="pl-PL"/>
        </w:rPr>
        <w:t xml:space="preserve"> </w:t>
      </w:r>
      <w:r w:rsidRPr="00542A53" w:rsidR="00542A53">
        <w:rPr>
          <w:sz w:val="24"/>
          <w:vertAlign w:val="superscript"/>
          <w:lang w:val="pl-PL"/>
        </w:rPr>
        <w:tab/>
      </w:r>
      <w:r w:rsidRPr="00542A53">
        <w:rPr>
          <w:sz w:val="24"/>
          <w:lang w:val="pl-PL"/>
        </w:rPr>
        <w:t xml:space="preserve">Rezolucja Parlamentu Europejskiego z dnia 6 maja 2025 r. w sprawie kontroli działalności finansowej Europejskiego Banku Inwestycyjnego – sprawozdanie roczne za 2023 r. (Dz.U. C, C/2026/574, </w:t>
      </w:r>
      <w:r w:rsidRPr="00542A53">
        <w:rPr>
          <w:sz w:val="24"/>
          <w:lang w:val="pl-PL"/>
        </w:rPr>
        <w:t>24.2.2026</w:t>
      </w:r>
      <w:r w:rsidRPr="00542A53">
        <w:rPr>
          <w:sz w:val="24"/>
          <w:lang w:val="pl-PL"/>
        </w:rPr>
        <w:t xml:space="preserve">, ELI: </w:t>
      </w:r>
      <w:hyperlink r:id="rId5" w:tgtFrame="http://data.europa.eu/eli/C/2026/574/oj" w:history="1">
        <w:r w:rsidRPr="00542A53">
          <w:rPr>
            <w:rStyle w:val="Hyperlink"/>
            <w:sz w:val="24"/>
            <w:lang w:val="pl-PL"/>
          </w:rPr>
          <w:t>http://data.europa.eu/eli/C/2026/574/oj</w:t>
        </w:r>
      </w:hyperlink>
      <w:r w:rsidRPr="00542A53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2A53" w14:paraId="332BF0B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2A53" w14:paraId="0EDC882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2A53" w14:paraId="73F3012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7944740">
    <w:abstractNumId w:val="9"/>
  </w:num>
  <w:num w:numId="2" w16cid:durableId="1432584035">
    <w:abstractNumId w:val="9"/>
  </w:num>
  <w:num w:numId="3" w16cid:durableId="919025660">
    <w:abstractNumId w:val="7"/>
  </w:num>
  <w:num w:numId="4" w16cid:durableId="897284954">
    <w:abstractNumId w:val="7"/>
  </w:num>
  <w:num w:numId="5" w16cid:durableId="1903901671">
    <w:abstractNumId w:val="6"/>
  </w:num>
  <w:num w:numId="6" w16cid:durableId="559294232">
    <w:abstractNumId w:val="6"/>
  </w:num>
  <w:num w:numId="7" w16cid:durableId="1947689417">
    <w:abstractNumId w:val="5"/>
  </w:num>
  <w:num w:numId="8" w16cid:durableId="1013072182">
    <w:abstractNumId w:val="5"/>
  </w:num>
  <w:num w:numId="9" w16cid:durableId="491683718">
    <w:abstractNumId w:val="4"/>
  </w:num>
  <w:num w:numId="10" w16cid:durableId="1068653853">
    <w:abstractNumId w:val="4"/>
  </w:num>
  <w:num w:numId="11" w16cid:durableId="2000888571">
    <w:abstractNumId w:val="8"/>
  </w:num>
  <w:num w:numId="12" w16cid:durableId="796065927">
    <w:abstractNumId w:val="8"/>
  </w:num>
  <w:num w:numId="13" w16cid:durableId="168982723">
    <w:abstractNumId w:val="3"/>
  </w:num>
  <w:num w:numId="14" w16cid:durableId="231500801">
    <w:abstractNumId w:val="3"/>
  </w:num>
  <w:num w:numId="15" w16cid:durableId="1934122464">
    <w:abstractNumId w:val="2"/>
  </w:num>
  <w:num w:numId="16" w16cid:durableId="1734964643">
    <w:abstractNumId w:val="2"/>
  </w:num>
  <w:num w:numId="17" w16cid:durableId="1150056517">
    <w:abstractNumId w:val="1"/>
  </w:num>
  <w:num w:numId="18" w16cid:durableId="2044820584">
    <w:abstractNumId w:val="1"/>
  </w:num>
  <w:num w:numId="19" w16cid:durableId="1067342456">
    <w:abstractNumId w:val="0"/>
  </w:num>
  <w:num w:numId="20" w16cid:durableId="1515922804">
    <w:abstractNumId w:val="0"/>
  </w:num>
  <w:num w:numId="21" w16cid:durableId="1901594693">
    <w:abstractNumId w:val="9"/>
  </w:num>
  <w:num w:numId="22" w16cid:durableId="1210455091">
    <w:abstractNumId w:val="7"/>
  </w:num>
  <w:num w:numId="23" w16cid:durableId="2016416094">
    <w:abstractNumId w:val="6"/>
  </w:num>
  <w:num w:numId="24" w16cid:durableId="1887376810">
    <w:abstractNumId w:val="5"/>
  </w:num>
  <w:num w:numId="25" w16cid:durableId="183062719">
    <w:abstractNumId w:val="4"/>
  </w:num>
  <w:num w:numId="26" w16cid:durableId="1260335124">
    <w:abstractNumId w:val="8"/>
  </w:num>
  <w:num w:numId="27" w16cid:durableId="1423339348">
    <w:abstractNumId w:val="3"/>
  </w:num>
  <w:num w:numId="28" w16cid:durableId="1819228087">
    <w:abstractNumId w:val="2"/>
  </w:num>
  <w:num w:numId="29" w16cid:durableId="1609119057">
    <w:abstractNumId w:val="1"/>
  </w:num>
  <w:num w:numId="30" w16cid:durableId="1631207317">
    <w:abstractNumId w:val="0"/>
  </w:num>
  <w:num w:numId="31" w16cid:durableId="290021816">
    <w:abstractNumId w:val="9"/>
  </w:num>
  <w:num w:numId="32" w16cid:durableId="2038580897">
    <w:abstractNumId w:val="7"/>
  </w:num>
  <w:num w:numId="33" w16cid:durableId="500123239">
    <w:abstractNumId w:val="6"/>
  </w:num>
  <w:num w:numId="34" w16cid:durableId="653797654">
    <w:abstractNumId w:val="5"/>
  </w:num>
  <w:num w:numId="35" w16cid:durableId="1578513081">
    <w:abstractNumId w:val="4"/>
  </w:num>
  <w:num w:numId="36" w16cid:durableId="475299708">
    <w:abstractNumId w:val="8"/>
  </w:num>
  <w:num w:numId="37" w16cid:durableId="825977653">
    <w:abstractNumId w:val="3"/>
  </w:num>
  <w:num w:numId="38" w16cid:durableId="1933271450">
    <w:abstractNumId w:val="2"/>
  </w:num>
  <w:num w:numId="39" w16cid:durableId="1399212205">
    <w:abstractNumId w:val="1"/>
  </w:num>
  <w:num w:numId="40" w16cid:durableId="1251044674">
    <w:abstractNumId w:val="0"/>
  </w:num>
  <w:num w:numId="41" w16cid:durableId="2131894181">
    <w:abstractNumId w:val="10"/>
  </w:num>
  <w:num w:numId="42" w16cid:durableId="343092774">
    <w:abstractNumId w:val="10"/>
  </w:num>
  <w:num w:numId="43" w16cid:durableId="982658390">
    <w:abstractNumId w:val="10"/>
  </w:num>
  <w:num w:numId="44" w16cid:durableId="2750689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E2"/>
    <w:rsid w:val="00002272"/>
    <w:rsid w:val="00064002"/>
    <w:rsid w:val="000677B9"/>
    <w:rsid w:val="000831BA"/>
    <w:rsid w:val="000A42CC"/>
    <w:rsid w:val="000E7DD9"/>
    <w:rsid w:val="0010095E"/>
    <w:rsid w:val="001132E2"/>
    <w:rsid w:val="00125B37"/>
    <w:rsid w:val="00187494"/>
    <w:rsid w:val="001F32AE"/>
    <w:rsid w:val="002767FF"/>
    <w:rsid w:val="002A6133"/>
    <w:rsid w:val="002B18FE"/>
    <w:rsid w:val="002B5493"/>
    <w:rsid w:val="002C20B5"/>
    <w:rsid w:val="00325EE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A5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3CAF"/>
    <w:rsid w:val="00930C23"/>
    <w:rsid w:val="0093193B"/>
    <w:rsid w:val="009509D8"/>
    <w:rsid w:val="00950B64"/>
    <w:rsid w:val="00981893"/>
    <w:rsid w:val="00A1687D"/>
    <w:rsid w:val="00A2133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D6F"/>
    <w:rsid w:val="00E365E1"/>
    <w:rsid w:val="00E820A4"/>
    <w:rsid w:val="00EB006A"/>
    <w:rsid w:val="00EB4772"/>
    <w:rsid w:val="00ED169E"/>
    <w:rsid w:val="00ED4235"/>
    <w:rsid w:val="00ED51A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86/2026"/>
    <w:docVar w:name="dvlangue" w:val="PL"/>
    <w:docVar w:name="dvnumam" w:val="0"/>
    <w:docVar w:name="dvpe" w:val="784.237"/>
    <w:docVar w:name="dvrapporteur" w:val="Sprawozdawca: "/>
    <w:docVar w:name="dvstar" w:val="?"/>
    <w:docVar w:name="dvtitre" w:val="Rezolucja Parlamentu Europejskiego z dnia  2026 r. w sprawie kontroli działalności finansowej Grupy Europejskiego Banku Inwestycyjnego – sprawozdanie roczne za rok 2024(2025/2237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303ADAF"/>
  <w15:chartTrackingRefBased/>
  <w15:docId w15:val="{50B0A2B2-5A4C-4D86-9EC1-7DB30B9CB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2A6133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2A613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2A6133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2A613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Bold12a">
    <w:name w:val="NormalBold12a"/>
    <w:basedOn w:val="Normal"/>
    <w:rsid w:val="002A6133"/>
    <w:pPr>
      <w:widowControl/>
      <w:spacing w:after="240"/>
    </w:pPr>
    <w:rPr>
      <w:b/>
      <w:szCs w:val="24"/>
      <w:lang w:eastAsia="en-US"/>
    </w:rPr>
  </w:style>
  <w:style w:type="paragraph" w:customStyle="1" w:styleId="NormalCenter12a">
    <w:name w:val="NormalCenter12a"/>
    <w:basedOn w:val="Normal"/>
    <w:rsid w:val="002A6133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2A61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ec/2025/504/oj" TargetMode="External" /><Relationship Id="rId2" Type="http://schemas.openxmlformats.org/officeDocument/2006/relationships/hyperlink" Target="https://data.europa.eu/doi/10.2889/698738" TargetMode="External" /><Relationship Id="rId3" Type="http://schemas.openxmlformats.org/officeDocument/2006/relationships/hyperlink" Target="http://data.europa.eu/eli/C/2025/3151/oj" TargetMode="External" /><Relationship Id="rId4" Type="http://schemas.openxmlformats.org/officeDocument/2006/relationships/hyperlink" Target="http://data.europa.eu/eli/reg/2001/1049/oj" TargetMode="External" /><Relationship Id="rId5" Type="http://schemas.openxmlformats.org/officeDocument/2006/relationships/hyperlink" Target="http://data.europa.eu/eli/C/2026/574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6900</Words>
  <Characters>45691</Characters>
  <Application>Microsoft Office Word</Application>
  <DocSecurity>0</DocSecurity>
  <Lines>713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2026-06-05T07:57:00Z</dcterms:created>
  <dcterms:modified xsi:type="dcterms:W3CDTF">2026-06-05T07:57:00Z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A10-0086/2026</vt:lpwstr>
  </property>
  <property fmtid="{D5CDD505-2E9C-101B-9397-08002B2CF9AE}" pid="4" name="&lt;Type&gt;">
    <vt:lpwstr>RR</vt:lpwstr>
  </property>
</Properties>
</file>