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5CB8C21" w14:textId="77777777" w:rsidTr="0010095E">
        <w:tblPrEx>
          <w:tblW w:w="9072" w:type="dxa"/>
          <w:tblLook w:val="01E0"/>
        </w:tblPrEx>
        <w:trPr>
          <w:trHeight w:hRule="exact" w:val="1418"/>
        </w:trPr>
        <w:tc>
          <w:tcPr>
            <w:tcW w:w="6804" w:type="dxa"/>
            <w:shd w:val="clear" w:color="auto" w:fill="auto"/>
            <w:vAlign w:val="center"/>
          </w:tcPr>
          <w:p w:rsidR="00751A4A" w:rsidRPr="000A57A6" w:rsidP="0010095E" w14:paraId="0D9098DE" w14:textId="77777777">
            <w:pPr>
              <w:pStyle w:val="EPName"/>
            </w:pPr>
            <w:r w:rsidRPr="000A57A6">
              <w:t>Europaparlamentet</w:t>
            </w:r>
          </w:p>
          <w:p w:rsidR="00751A4A" w:rsidRPr="000A57A6" w:rsidP="005F1B17" w14:paraId="7F454088" w14:textId="6EC2BC11">
            <w:pPr>
              <w:pStyle w:val="EPTerm"/>
              <w:rPr>
                <w:rStyle w:val="HideTWBExt"/>
                <w:noProof w:val="0"/>
                <w:vanish w:val="0"/>
                <w:color w:val="auto"/>
              </w:rPr>
            </w:pPr>
            <w:r w:rsidRPr="000A57A6">
              <w:t>2024</w:t>
            </w:r>
            <w:r w:rsidRPr="000A57A6" w:rsidR="00817416">
              <w:t>-</w:t>
            </w:r>
            <w:r w:rsidRPr="000A57A6">
              <w:t>2029</w:t>
            </w:r>
          </w:p>
        </w:tc>
        <w:tc>
          <w:tcPr>
            <w:tcW w:w="2268" w:type="dxa"/>
            <w:shd w:val="clear" w:color="auto" w:fill="auto"/>
          </w:tcPr>
          <w:p w:rsidR="00751A4A" w:rsidRPr="000A57A6" w:rsidP="0010095E" w14:paraId="1EC990FA" w14:textId="77777777">
            <w:pPr>
              <w:pStyle w:val="EPLogo"/>
            </w:pPr>
            <w:r w:rsidRPr="000A57A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A57A6" w:rsidP="004C5D52" w14:paraId="5CCBA880" w14:textId="77777777">
      <w:pPr>
        <w:pStyle w:val="LineTop"/>
      </w:pPr>
    </w:p>
    <w:p w:rsidR="00680577" w:rsidRPr="000A57A6" w:rsidP="00680577" w14:paraId="0C0C2087" w14:textId="77777777">
      <w:pPr>
        <w:pStyle w:val="EPBodyTA1"/>
      </w:pPr>
      <w:r w:rsidRPr="000A57A6">
        <w:t>ANTAGNA TEXTER</w:t>
      </w:r>
    </w:p>
    <w:p w:rsidR="00D058B8" w:rsidRPr="000A57A6" w:rsidP="00D058B8" w14:paraId="48488F58" w14:textId="77777777">
      <w:pPr>
        <w:pStyle w:val="LineBottom"/>
      </w:pPr>
    </w:p>
    <w:p w:rsidR="007C5537" w:rsidRPr="000A57A6" w:rsidP="007C5537" w14:paraId="22AFF491" w14:textId="32FF7D7F">
      <w:pPr>
        <w:pStyle w:val="ATHeading1"/>
      </w:pPr>
      <w:bookmarkStart w:id="0" w:name="TANumber"/>
      <w:r w:rsidRPr="000A57A6">
        <w:t>P</w:t>
      </w:r>
      <w:r w:rsidRPr="000A57A6" w:rsidR="00FA2BCF">
        <w:t>10</w:t>
      </w:r>
      <w:r w:rsidRPr="000A57A6">
        <w:t>_TA(</w:t>
      </w:r>
      <w:r w:rsidRPr="000A57A6" w:rsidR="00FA2BCF">
        <w:t>2026</w:t>
      </w:r>
      <w:r w:rsidRPr="000A57A6">
        <w:t>)</w:t>
      </w:r>
      <w:r w:rsidRPr="000A57A6" w:rsidR="00FA2BCF">
        <w:t>0</w:t>
      </w:r>
      <w:bookmarkEnd w:id="0"/>
      <w:r w:rsidR="00432A74">
        <w:t>119</w:t>
      </w:r>
    </w:p>
    <w:p w:rsidR="007C5537" w:rsidRPr="000A57A6" w:rsidP="007C5537" w14:paraId="53463119" w14:textId="0E248A0C">
      <w:pPr>
        <w:pStyle w:val="ATHeading2"/>
      </w:pPr>
      <w:bookmarkStart w:id="1" w:name="title"/>
      <w:r w:rsidRPr="000A57A6">
        <w:t xml:space="preserve">Kontrollen av Europeiska investeringsbanksgruppens finansiella verksamhet – årsrapport </w:t>
      </w:r>
      <w:r w:rsidRPr="000A57A6" w:rsidR="00FA2BCF">
        <w:t>202</w:t>
      </w:r>
      <w:bookmarkEnd w:id="1"/>
      <w:r w:rsidRPr="000A57A6" w:rsidR="00FA2BCF">
        <w:t>4</w:t>
      </w:r>
    </w:p>
    <w:p w:rsidR="007C5537" w:rsidRPr="000A57A6" w:rsidP="007C5537" w14:paraId="46D65E6E" w14:textId="385F839A">
      <w:pPr>
        <w:rPr>
          <w:i/>
          <w:vanish/>
        </w:rPr>
      </w:pPr>
      <w:r>
        <w:rPr>
          <w:i/>
        </w:rPr>
        <w:fldChar w:fldCharType="begin"/>
      </w:r>
      <w:r w:rsidRPr="000A57A6">
        <w:rPr>
          <w:i/>
        </w:rPr>
        <w:instrText xml:space="preserve"> TC"(</w:instrText>
      </w:r>
      <w:bookmarkStart w:id="2" w:name="DocNumber"/>
      <w:r w:rsidRPr="000A57A6">
        <w:rPr>
          <w:i/>
        </w:rPr>
        <w:instrText>A</w:instrText>
      </w:r>
      <w:r w:rsidRPr="000A57A6" w:rsidR="00FA2BCF">
        <w:rPr>
          <w:i/>
        </w:rPr>
        <w:instrText>10</w:instrText>
      </w:r>
      <w:r w:rsidRPr="000A57A6">
        <w:rPr>
          <w:i/>
        </w:rPr>
        <w:instrText>-</w:instrText>
      </w:r>
      <w:r w:rsidRPr="000A57A6" w:rsidR="00FA2BCF">
        <w:rPr>
          <w:i/>
        </w:rPr>
        <w:instrText>0086</w:instrText>
      </w:r>
      <w:r w:rsidRPr="000A57A6">
        <w:rPr>
          <w:i/>
        </w:rPr>
        <w:instrText>/</w:instrText>
      </w:r>
      <w:r w:rsidRPr="000A57A6" w:rsidR="00FA2BCF">
        <w:rPr>
          <w:i/>
        </w:rPr>
        <w:instrText>202</w:instrText>
      </w:r>
      <w:bookmarkEnd w:id="2"/>
      <w:r w:rsidRPr="000A57A6" w:rsidR="00FA2BCF">
        <w:rPr>
          <w:i/>
        </w:rPr>
        <w:instrText>6</w:instrText>
      </w:r>
      <w:r w:rsidRPr="000A57A6">
        <w:rPr>
          <w:i/>
        </w:rPr>
        <w:instrText xml:space="preserve"> - Föredragande: Dick Erixon)"\l</w:instrText>
      </w:r>
      <w:r w:rsidRPr="000A57A6" w:rsidR="00FA2BCF">
        <w:rPr>
          <w:i/>
        </w:rPr>
        <w:instrText>3</w:instrText>
      </w:r>
      <w:r w:rsidRPr="000A57A6">
        <w:rPr>
          <w:i/>
        </w:rPr>
        <w:instrText xml:space="preserve"> \n&gt; \* MERGEFORMAT </w:instrText>
      </w:r>
      <w:r>
        <w:rPr>
          <w:i/>
        </w:rPr>
        <w:fldChar w:fldCharType="end"/>
      </w:r>
    </w:p>
    <w:p w:rsidR="007C5537" w:rsidRPr="000A57A6" w:rsidP="007C5537" w14:paraId="28F16D57" w14:textId="77777777">
      <w:pPr>
        <w:rPr>
          <w:vanish/>
        </w:rPr>
      </w:pPr>
      <w:bookmarkStart w:id="3" w:name="Commission"/>
      <w:r w:rsidRPr="000A57A6">
        <w:rPr>
          <w:vanish/>
        </w:rPr>
        <w:t>Budgetkontrollutskottet</w:t>
      </w:r>
      <w:bookmarkEnd w:id="3"/>
    </w:p>
    <w:p w:rsidR="007C5537" w:rsidRPr="000A57A6" w:rsidP="007C5537" w14:paraId="50FC721B" w14:textId="0A936499">
      <w:pPr>
        <w:rPr>
          <w:vanish/>
        </w:rPr>
      </w:pPr>
      <w:bookmarkStart w:id="4" w:name="PE"/>
      <w:r w:rsidRPr="000A57A6">
        <w:rPr>
          <w:vanish/>
        </w:rPr>
        <w:t>PE</w:t>
      </w:r>
      <w:r w:rsidRPr="000A57A6" w:rsidR="00FA2BCF">
        <w:rPr>
          <w:vanish/>
        </w:rPr>
        <w:t>784</w:t>
      </w:r>
      <w:r w:rsidRPr="000A57A6">
        <w:rPr>
          <w:vanish/>
        </w:rPr>
        <w:t>.</w:t>
      </w:r>
      <w:r w:rsidRPr="000A57A6" w:rsidR="00FA2BCF">
        <w:rPr>
          <w:vanish/>
        </w:rPr>
        <w:t>23</w:t>
      </w:r>
      <w:bookmarkEnd w:id="4"/>
      <w:r w:rsidRPr="000A57A6" w:rsidR="00FA2BCF">
        <w:rPr>
          <w:vanish/>
        </w:rPr>
        <w:t>7</w:t>
      </w:r>
    </w:p>
    <w:p w:rsidR="007C5537" w:rsidRPr="000A57A6" w:rsidP="007C5537" w14:paraId="7FB244EE" w14:textId="1BAE9CB4">
      <w:pPr>
        <w:pStyle w:val="ATHeading3"/>
      </w:pPr>
      <w:bookmarkStart w:id="5" w:name="Sujet"/>
      <w:r w:rsidRPr="000A57A6">
        <w:t xml:space="preserve">Europaparlamentets resolution av den </w:t>
      </w:r>
      <w:r w:rsidRPr="000A57A6" w:rsidR="00FA2BCF">
        <w:t>28</w:t>
      </w:r>
      <w:r w:rsidRPr="000A57A6" w:rsidR="00705E28">
        <w:t xml:space="preserve"> april </w:t>
      </w:r>
      <w:r w:rsidRPr="000A57A6" w:rsidR="00FA2BCF">
        <w:t>2026</w:t>
      </w:r>
      <w:r w:rsidRPr="000A57A6">
        <w:t xml:space="preserve"> om kontrollen av Europeiska investeringsbanksgruppens finansiella verksamhet – årsrapport </w:t>
      </w:r>
      <w:r w:rsidRPr="000A57A6" w:rsidR="00FA2BCF">
        <w:t>202</w:t>
      </w:r>
      <w:bookmarkEnd w:id="5"/>
      <w:r w:rsidRPr="000A57A6" w:rsidR="00FA2BCF">
        <w:t>4</w:t>
      </w:r>
      <w:r w:rsidRPr="000A57A6">
        <w:t xml:space="preserve"> </w:t>
      </w:r>
      <w:bookmarkStart w:id="6" w:name="References"/>
      <w:r w:rsidRPr="000A57A6">
        <w:t>(</w:t>
      </w:r>
      <w:r w:rsidRPr="000A57A6" w:rsidR="00FA2BCF">
        <w:t>2025</w:t>
      </w:r>
      <w:r w:rsidRPr="000A57A6">
        <w:t>/</w:t>
      </w:r>
      <w:r w:rsidRPr="000A57A6" w:rsidR="00FA2BCF">
        <w:t>2237</w:t>
      </w:r>
      <w:r w:rsidRPr="000A57A6">
        <w:t>(INI))</w:t>
      </w:r>
      <w:bookmarkEnd w:id="6"/>
    </w:p>
    <w:p w:rsidR="00DB690F" w:rsidRPr="000A57A6" w:rsidP="00DB690F" w14:paraId="28FCC987" w14:textId="77777777">
      <w:pPr>
        <w:pStyle w:val="Normal12"/>
      </w:pPr>
      <w:r w:rsidRPr="000A57A6">
        <w:rPr>
          <w:i/>
        </w:rPr>
        <w:t>Europaparlamentet utfärdar denna resolution</w:t>
      </w:r>
    </w:p>
    <w:p w:rsidR="00DB690F" w:rsidRPr="000A57A6" w:rsidP="00DB690F" w14:paraId="04CBFED6" w14:textId="3E887F42">
      <w:pPr>
        <w:pStyle w:val="NormalHanging"/>
      </w:pPr>
      <w:r w:rsidRPr="000A57A6">
        <w:t>–</w:t>
      </w:r>
      <w:r w:rsidRPr="000A57A6">
        <w:tab/>
        <w:t xml:space="preserve">med beaktande av Europeiska investeringsbanksgruppens (EIB-gruppen) verksamhetsrapport för </w:t>
      </w:r>
      <w:r w:rsidRPr="000A57A6" w:rsidR="00FA2BCF">
        <w:t>2024</w:t>
      </w:r>
      <w:r w:rsidRPr="000A57A6">
        <w:t xml:space="preserve"> av den </w:t>
      </w:r>
      <w:r w:rsidRPr="000A57A6" w:rsidR="00FA2BCF">
        <w:t>30</w:t>
      </w:r>
      <w:r w:rsidRPr="000A57A6">
        <w:t xml:space="preserve"> januari </w:t>
      </w:r>
      <w:r w:rsidRPr="000A57A6" w:rsidR="00FA2BCF">
        <w:t>2025</w:t>
      </w:r>
      <w:r w:rsidRPr="000A57A6">
        <w:t xml:space="preserve"> </w:t>
      </w:r>
      <w:r w:rsidRPr="000A57A6">
        <w:rPr>
          <w:i/>
        </w:rPr>
        <w:t>Priorities for prosperity</w:t>
      </w:r>
      <w:r w:rsidRPr="000A57A6">
        <w:t>,</w:t>
      </w:r>
    </w:p>
    <w:p w:rsidR="00DB690F" w:rsidRPr="000A57A6" w:rsidP="00DB690F" w14:paraId="20FC1376" w14:textId="2030DF23">
      <w:pPr>
        <w:pStyle w:val="NormalHanging"/>
      </w:pPr>
      <w:r w:rsidRPr="000A57A6">
        <w:t>–</w:t>
      </w:r>
      <w:r w:rsidRPr="000A57A6">
        <w:tab/>
        <w:t xml:space="preserve">med beaktande av EIB:s investeringsrapport </w:t>
      </w:r>
      <w:r w:rsidRPr="000A57A6" w:rsidR="00FA2BCF">
        <w:t>2024</w:t>
      </w:r>
      <w:r w:rsidRPr="000A57A6">
        <w:t>/</w:t>
      </w:r>
      <w:r w:rsidRPr="000A57A6" w:rsidR="00FA2BCF">
        <w:t>2025</w:t>
      </w:r>
      <w:r w:rsidRPr="000A57A6">
        <w:t xml:space="preserve"> av den </w:t>
      </w:r>
      <w:r w:rsidRPr="000A57A6" w:rsidR="00FA2BCF">
        <w:t>5</w:t>
      </w:r>
      <w:r w:rsidRPr="000A57A6">
        <w:t xml:space="preserve"> mars </w:t>
      </w:r>
      <w:r w:rsidRPr="000A57A6" w:rsidR="00FA2BCF">
        <w:t>2025</w:t>
      </w:r>
      <w:r w:rsidRPr="000A57A6">
        <w:t xml:space="preserve"> </w:t>
      </w:r>
      <w:r w:rsidRPr="000A57A6">
        <w:rPr>
          <w:i/>
        </w:rPr>
        <w:t>Innovation, integration and simplification in Europe</w:t>
      </w:r>
      <w:r w:rsidRPr="000A57A6">
        <w:t xml:space="preserve"> och EIB:s investeringsrapport </w:t>
      </w:r>
      <w:r w:rsidRPr="000A57A6" w:rsidR="00FA2BCF">
        <w:t>2023</w:t>
      </w:r>
      <w:r w:rsidRPr="000A57A6">
        <w:t>/</w:t>
      </w:r>
      <w:r w:rsidRPr="000A57A6" w:rsidR="00FA2BCF">
        <w:t>2024</w:t>
      </w:r>
      <w:r w:rsidRPr="000A57A6">
        <w:t xml:space="preserve"> av den </w:t>
      </w:r>
      <w:r w:rsidRPr="000A57A6" w:rsidR="00FA2BCF">
        <w:t>7</w:t>
      </w:r>
      <w:r w:rsidRPr="000A57A6">
        <w:t xml:space="preserve"> februari </w:t>
      </w:r>
      <w:r w:rsidRPr="000A57A6" w:rsidR="00FA2BCF">
        <w:t>2024</w:t>
      </w:r>
      <w:r w:rsidRPr="000A57A6">
        <w:t xml:space="preserve"> </w:t>
      </w:r>
      <w:r w:rsidRPr="000A57A6">
        <w:rPr>
          <w:i/>
        </w:rPr>
        <w:t>Transforming for competitiveness</w:t>
      </w:r>
      <w:r w:rsidRPr="000A57A6">
        <w:t>,</w:t>
      </w:r>
    </w:p>
    <w:p w:rsidR="00DB690F" w:rsidRPr="000A57A6" w:rsidP="00DB690F" w14:paraId="018366CB" w14:textId="7EABA3F1">
      <w:pPr>
        <w:pStyle w:val="NormalHanging"/>
      </w:pPr>
      <w:r w:rsidRPr="000A57A6">
        <w:t>–</w:t>
      </w:r>
      <w:r w:rsidRPr="000A57A6">
        <w:tab/>
        <w:t xml:space="preserve">med beaktande av EIB-gruppens rapport om genomförandet av EIB-gruppens öppenhetspolitik </w:t>
      </w:r>
      <w:r w:rsidRPr="000A57A6" w:rsidR="00FA2BCF">
        <w:t>2023</w:t>
      </w:r>
      <w:r w:rsidRPr="000A57A6">
        <w:t xml:space="preserve">, som offentliggjordes den </w:t>
      </w:r>
      <w:r w:rsidRPr="000A57A6" w:rsidR="00FA2BCF">
        <w:t>1</w:t>
      </w:r>
      <w:r w:rsidRPr="000A57A6">
        <w:t xml:space="preserve"> juli </w:t>
      </w:r>
      <w:r w:rsidRPr="000A57A6" w:rsidR="00FA2BCF">
        <w:t>2024</w:t>
      </w:r>
      <w:r w:rsidRPr="000A57A6">
        <w:t xml:space="preserve"> och EIB:s öppenhetspolitik som godkändes den </w:t>
      </w:r>
      <w:r w:rsidRPr="000A57A6" w:rsidR="00FA2BCF">
        <w:t>17</w:t>
      </w:r>
      <w:r w:rsidRPr="000A57A6">
        <w:t xml:space="preserve"> november </w:t>
      </w:r>
      <w:r w:rsidRPr="000A57A6" w:rsidR="00FA2BCF">
        <w:t>2021</w:t>
      </w:r>
      <w:r w:rsidRPr="000A57A6">
        <w:t xml:space="preserve"> och ändrades den </w:t>
      </w:r>
      <w:r w:rsidRPr="000A57A6" w:rsidR="00FA2BCF">
        <w:t>16</w:t>
      </w:r>
      <w:r w:rsidRPr="000A57A6">
        <w:t xml:space="preserve"> juli </w:t>
      </w:r>
      <w:r w:rsidRPr="000A57A6" w:rsidR="00FA2BCF">
        <w:t>2025</w:t>
      </w:r>
      <w:r w:rsidRPr="000A57A6">
        <w:t>,</w:t>
      </w:r>
    </w:p>
    <w:p w:rsidR="00DB690F" w:rsidRPr="000A57A6" w:rsidP="00DB690F" w14:paraId="290B33D1" w14:textId="159B404B">
      <w:pPr>
        <w:pStyle w:val="NormalHanging"/>
      </w:pPr>
      <w:r w:rsidRPr="000A57A6">
        <w:t>–</w:t>
      </w:r>
      <w:r w:rsidRPr="000A57A6">
        <w:tab/>
        <w:t xml:space="preserve">med beaktande av EIB-gruppens strategiska färdplan </w:t>
      </w:r>
      <w:r w:rsidRPr="000A57A6" w:rsidR="00FA2BCF">
        <w:t>2024</w:t>
      </w:r>
      <w:r w:rsidRPr="000A57A6">
        <w:t>–</w:t>
      </w:r>
      <w:r w:rsidRPr="000A57A6" w:rsidR="00FA2BCF">
        <w:t>2027</w:t>
      </w:r>
      <w:r w:rsidRPr="000A57A6">
        <w:t xml:space="preserve"> av den </w:t>
      </w:r>
      <w:r w:rsidRPr="000A57A6" w:rsidR="00FA2BCF">
        <w:t>21</w:t>
      </w:r>
      <w:r w:rsidRPr="000A57A6">
        <w:t xml:space="preserve"> juni </w:t>
      </w:r>
      <w:r w:rsidRPr="000A57A6" w:rsidR="00FA2BCF">
        <w:t>2024</w:t>
      </w:r>
      <w:r w:rsidRPr="000A57A6">
        <w:t>,</w:t>
      </w:r>
    </w:p>
    <w:p w:rsidR="00DB690F" w:rsidRPr="000A57A6" w:rsidP="00DB690F" w14:paraId="2DCFAA00" w14:textId="43A65014">
      <w:pPr>
        <w:pStyle w:val="NormalHanging"/>
      </w:pPr>
      <w:r w:rsidRPr="000A57A6">
        <w:t>–</w:t>
      </w:r>
      <w:r w:rsidRPr="000A57A6">
        <w:tab/>
        <w:t xml:space="preserve">med beaktande av EIB:s </w:t>
      </w:r>
      <w:r w:rsidRPr="000A57A6">
        <w:rPr>
          <w:i/>
        </w:rPr>
        <w:t xml:space="preserve">Global </w:t>
      </w:r>
      <w:r w:rsidRPr="000A57A6">
        <w:rPr>
          <w:i/>
        </w:rPr>
        <w:t>Impact</w:t>
      </w:r>
      <w:r w:rsidRPr="000A57A6">
        <w:rPr>
          <w:i/>
        </w:rPr>
        <w:t xml:space="preserve"> </w:t>
      </w:r>
      <w:r w:rsidRPr="000A57A6">
        <w:rPr>
          <w:i/>
        </w:rPr>
        <w:t>report</w:t>
      </w:r>
      <w:r w:rsidRPr="000A57A6">
        <w:t xml:space="preserve"> för </w:t>
      </w:r>
      <w:r w:rsidRPr="000A57A6" w:rsidR="00FA2BCF">
        <w:t>202</w:t>
      </w:r>
      <w:r w:rsidR="00E32966">
        <w:t>3</w:t>
      </w:r>
      <w:r w:rsidRPr="000A57A6">
        <w:t>–</w:t>
      </w:r>
      <w:r w:rsidRPr="000A57A6" w:rsidR="00FA2BCF">
        <w:t>2024</w:t>
      </w:r>
      <w:r w:rsidRPr="000A57A6">
        <w:t xml:space="preserve"> av den </w:t>
      </w:r>
      <w:r w:rsidRPr="000A57A6" w:rsidR="00FA2BCF">
        <w:t>13</w:t>
      </w:r>
      <w:r w:rsidRPr="000A57A6">
        <w:t xml:space="preserve"> juni </w:t>
      </w:r>
      <w:r w:rsidRPr="000A57A6" w:rsidR="00FA2BCF">
        <w:t>2024</w:t>
      </w:r>
      <w:r w:rsidRPr="000A57A6">
        <w:t>,</w:t>
      </w:r>
    </w:p>
    <w:p w:rsidR="00DB690F" w:rsidRPr="000A57A6" w:rsidP="00DB690F" w14:paraId="12B99583" w14:textId="07464C5A">
      <w:pPr>
        <w:pStyle w:val="NormalHanging"/>
      </w:pPr>
      <w:r w:rsidRPr="000A57A6">
        <w:t>–</w:t>
      </w:r>
      <w:r w:rsidRPr="000A57A6">
        <w:tab/>
        <w:t xml:space="preserve">med beaktande av rådets beslut (EU) </w:t>
      </w:r>
      <w:r w:rsidRPr="000A57A6" w:rsidR="00FA2BCF">
        <w:t>2025</w:t>
      </w:r>
      <w:r w:rsidRPr="000A57A6">
        <w:t>/</w:t>
      </w:r>
      <w:r w:rsidRPr="000A57A6" w:rsidR="00FA2BCF">
        <w:t>504</w:t>
      </w:r>
      <w:r w:rsidRPr="000A57A6">
        <w:t xml:space="preserve"> av den </w:t>
      </w:r>
      <w:r w:rsidRPr="000A57A6" w:rsidR="00FA2BCF">
        <w:t>11</w:t>
      </w:r>
      <w:r w:rsidRPr="000A57A6">
        <w:t xml:space="preserve"> mars </w:t>
      </w:r>
      <w:r w:rsidRPr="000A57A6" w:rsidR="00FA2BCF">
        <w:t>2025</w:t>
      </w:r>
      <w:r w:rsidRPr="000A57A6">
        <w:t xml:space="preserve"> om ändring av protokoll nr </w:t>
      </w:r>
      <w:r w:rsidRPr="000A57A6" w:rsidR="00FA2BCF">
        <w:t>5</w:t>
      </w:r>
      <w:r w:rsidRPr="000A57A6">
        <w:t xml:space="preserve"> om Europeiska investeringsbankens stadga</w:t>
      </w:r>
      <w:r>
        <w:rPr>
          <w:rStyle w:val="FootnoteReference"/>
        </w:rPr>
        <w:footnoteReference w:id="2"/>
      </w:r>
      <w:r w:rsidRPr="000A57A6">
        <w:t>,</w:t>
      </w:r>
    </w:p>
    <w:p w:rsidR="00DB690F" w:rsidRPr="000A57A6" w:rsidP="00DB690F" w14:paraId="74A973B4" w14:textId="23F3DE85">
      <w:pPr>
        <w:pStyle w:val="NormalHanging"/>
      </w:pPr>
      <w:r w:rsidRPr="000A57A6">
        <w:t>–</w:t>
      </w:r>
      <w:r w:rsidRPr="000A57A6">
        <w:tab/>
        <w:t xml:space="preserve">med beaktande av EIB-gruppens handlingsplan för säkerhets- och försvarsindustrin, som presenterades vid Ekofinrådets möte i Luxemburg den </w:t>
      </w:r>
      <w:r w:rsidRPr="000A57A6" w:rsidR="00FA2BCF">
        <w:t>12</w:t>
      </w:r>
      <w:r w:rsidRPr="000A57A6">
        <w:t xml:space="preserve"> april </w:t>
      </w:r>
      <w:r w:rsidRPr="000A57A6" w:rsidR="00FA2BCF">
        <w:t>2024</w:t>
      </w:r>
      <w:r w:rsidRPr="000A57A6">
        <w:t>,</w:t>
      </w:r>
    </w:p>
    <w:p w:rsidR="00DB690F" w:rsidRPr="000A57A6" w:rsidP="00DB690F" w14:paraId="23C8AFEC" w14:textId="70ED1FE1">
      <w:pPr>
        <w:pStyle w:val="NormalHanging"/>
      </w:pPr>
      <w:r w:rsidRPr="000A57A6">
        <w:t>–</w:t>
      </w:r>
      <w:r w:rsidRPr="000A57A6">
        <w:tab/>
        <w:t xml:space="preserve">med beaktande av EIB-gruppens operativa plan </w:t>
      </w:r>
      <w:r w:rsidRPr="000A57A6" w:rsidR="00FA2BCF">
        <w:t>2024</w:t>
      </w:r>
      <w:r w:rsidRPr="000A57A6">
        <w:t>–</w:t>
      </w:r>
      <w:r w:rsidRPr="000A57A6" w:rsidR="00FA2BCF">
        <w:t>2026</w:t>
      </w:r>
      <w:r w:rsidRPr="000A57A6">
        <w:t xml:space="preserve"> av den </w:t>
      </w:r>
      <w:r w:rsidRPr="000A57A6" w:rsidR="00FA2BCF">
        <w:t>9</w:t>
      </w:r>
      <w:r w:rsidRPr="000A57A6">
        <w:t xml:space="preserve"> februari </w:t>
      </w:r>
      <w:r w:rsidRPr="000A57A6" w:rsidR="00FA2BCF">
        <w:t>2024</w:t>
      </w:r>
      <w:r w:rsidRPr="000A57A6">
        <w:t xml:space="preserve"> och EIB-gruppens operativa plan </w:t>
      </w:r>
      <w:r w:rsidRPr="000A57A6" w:rsidR="00FA2BCF">
        <w:t>2025</w:t>
      </w:r>
      <w:r w:rsidRPr="000A57A6">
        <w:t>–</w:t>
      </w:r>
      <w:r w:rsidRPr="000A57A6" w:rsidR="00FA2BCF">
        <w:t>2027</w:t>
      </w:r>
      <w:r w:rsidRPr="000A57A6">
        <w:t xml:space="preserve"> av den </w:t>
      </w:r>
      <w:r w:rsidRPr="000A57A6" w:rsidR="00FA2BCF">
        <w:t>30</w:t>
      </w:r>
      <w:r w:rsidRPr="000A57A6">
        <w:t xml:space="preserve"> januari </w:t>
      </w:r>
      <w:r w:rsidRPr="000A57A6" w:rsidR="00FA2BCF">
        <w:t>2025</w:t>
      </w:r>
      <w:r w:rsidRPr="000A57A6">
        <w:t>,</w:t>
      </w:r>
    </w:p>
    <w:p w:rsidR="00DB690F" w:rsidRPr="000A57A6" w:rsidP="00DB690F" w14:paraId="6511C5C7" w14:textId="5FD01C35">
      <w:pPr>
        <w:pStyle w:val="NormalHanging"/>
      </w:pPr>
      <w:r w:rsidRPr="000A57A6">
        <w:t>–</w:t>
      </w:r>
      <w:r w:rsidRPr="000A57A6">
        <w:tab/>
        <w:t xml:space="preserve">med beaktande av EIB-gruppens tredje årsrapport av den </w:t>
      </w:r>
      <w:r w:rsidRPr="000A57A6" w:rsidR="00FA2BCF">
        <w:t>15</w:t>
      </w:r>
      <w:r w:rsidRPr="000A57A6">
        <w:t xml:space="preserve"> juli </w:t>
      </w:r>
      <w:r w:rsidRPr="000A57A6" w:rsidR="00FA2BCF">
        <w:t>2024</w:t>
      </w:r>
      <w:r w:rsidRPr="000A57A6">
        <w:t xml:space="preserve"> </w:t>
      </w:r>
      <w:r w:rsidRPr="000A57A6">
        <w:rPr>
          <w:i/>
        </w:rPr>
        <w:t>EIB Group activities in EU cohesion regions</w:t>
      </w:r>
      <w:r w:rsidRPr="000A57A6">
        <w:t>,</w:t>
      </w:r>
    </w:p>
    <w:p w:rsidR="00DB690F" w:rsidRPr="000A57A6" w:rsidP="00DB690F" w14:paraId="75DD4359" w14:textId="17ADC4D6">
      <w:pPr>
        <w:pStyle w:val="NormalHanging"/>
      </w:pPr>
      <w:r w:rsidRPr="000A57A6">
        <w:t>–</w:t>
      </w:r>
      <w:r w:rsidRPr="000A57A6">
        <w:tab/>
        <w:t xml:space="preserve">med beaktande av EIB:s styrelses beslut av den </w:t>
      </w:r>
      <w:r w:rsidRPr="000A57A6" w:rsidR="00FA2BCF">
        <w:t>21</w:t>
      </w:r>
      <w:r w:rsidRPr="000A57A6">
        <w:t xml:space="preserve"> mars </w:t>
      </w:r>
      <w:r w:rsidRPr="000A57A6" w:rsidR="00FA2BCF">
        <w:t>2025</w:t>
      </w:r>
      <w:r w:rsidRPr="000A57A6">
        <w:t xml:space="preserve"> om begränsning av uteslutna verksamheter, som följer Europeiska rådets ståndpunkt av den </w:t>
      </w:r>
      <w:r w:rsidRPr="000A57A6" w:rsidR="00FA2BCF">
        <w:t>6</w:t>
      </w:r>
      <w:r w:rsidRPr="000A57A6">
        <w:t xml:space="preserve"> mars </w:t>
      </w:r>
      <w:r w:rsidRPr="000A57A6" w:rsidR="00FA2BCF">
        <w:t>2025</w:t>
      </w:r>
      <w:r w:rsidRPr="000A57A6">
        <w:t>,</w:t>
      </w:r>
    </w:p>
    <w:p w:rsidR="00DB690F" w:rsidRPr="000A57A6" w:rsidP="00DB690F" w14:paraId="446DA84A" w14:textId="0DA2EFA4">
      <w:pPr>
        <w:pStyle w:val="NormalHanging"/>
      </w:pPr>
      <w:r w:rsidRPr="000A57A6">
        <w:t>–</w:t>
      </w:r>
      <w:r w:rsidRPr="000A57A6">
        <w:tab/>
        <w:t xml:space="preserve">med beaktande av kommissionens meddelande av den </w:t>
      </w:r>
      <w:r w:rsidRPr="000A57A6" w:rsidR="00FA2BCF">
        <w:t>19</w:t>
      </w:r>
      <w:r w:rsidRPr="000A57A6">
        <w:t xml:space="preserve"> mars </w:t>
      </w:r>
      <w:r w:rsidRPr="000A57A6" w:rsidR="00FA2BCF">
        <w:t>2025</w:t>
      </w:r>
      <w:r w:rsidRPr="000A57A6">
        <w:t xml:space="preserve"> </w:t>
      </w:r>
      <w:r w:rsidRPr="000A57A6">
        <w:rPr>
          <w:i/>
        </w:rPr>
        <w:t>Spar- och investeringsunionen – En strategi för att öka medborgarnas välstånd och den ekonomiska konkurrenskraften i EU</w:t>
      </w:r>
      <w:r w:rsidRPr="000A57A6">
        <w:t xml:space="preserve"> (COM(</w:t>
      </w:r>
      <w:r w:rsidRPr="000A57A6" w:rsidR="00FA2BCF">
        <w:t>2025</w:t>
      </w:r>
      <w:r w:rsidRPr="000A57A6">
        <w:t>)</w:t>
      </w:r>
      <w:r w:rsidRPr="000A57A6" w:rsidR="00FA2BCF">
        <w:t>0124</w:t>
      </w:r>
      <w:r w:rsidRPr="000A57A6">
        <w:t>),</w:t>
      </w:r>
    </w:p>
    <w:p w:rsidR="00DB690F" w:rsidRPr="000A57A6" w:rsidP="00DB690F" w14:paraId="3DDDFB92" w14:textId="3A9B2FB2">
      <w:pPr>
        <w:pStyle w:val="NormalHanging"/>
      </w:pPr>
      <w:r w:rsidRPr="000A57A6">
        <w:t>–</w:t>
      </w:r>
      <w:r w:rsidRPr="000A57A6">
        <w:tab/>
        <w:t xml:space="preserve">med beaktande av EIB-gruppens rapport av den </w:t>
      </w:r>
      <w:r w:rsidRPr="000A57A6" w:rsidR="00FA2BCF">
        <w:t>10</w:t>
      </w:r>
      <w:r w:rsidRPr="000A57A6">
        <w:t xml:space="preserve"> juni </w:t>
      </w:r>
      <w:r w:rsidRPr="000A57A6" w:rsidR="00FA2BCF">
        <w:t>2025</w:t>
      </w:r>
      <w:r w:rsidRPr="000A57A6">
        <w:t xml:space="preserve"> </w:t>
      </w:r>
      <w:r w:rsidRPr="000A57A6">
        <w:rPr>
          <w:i/>
        </w:rPr>
        <w:t xml:space="preserve">Complaints Mechanism – </w:t>
      </w:r>
      <w:r w:rsidRPr="000A57A6" w:rsidR="00FA2BCF">
        <w:rPr>
          <w:i/>
        </w:rPr>
        <w:t>2024</w:t>
      </w:r>
      <w:r w:rsidRPr="000A57A6">
        <w:rPr>
          <w:i/>
        </w:rPr>
        <w:t xml:space="preserve"> annual report</w:t>
      </w:r>
      <w:r w:rsidRPr="000A57A6">
        <w:t>,</w:t>
      </w:r>
    </w:p>
    <w:p w:rsidR="00DB690F" w:rsidRPr="000A57A6" w:rsidP="00DB690F" w14:paraId="0808DDF8" w14:textId="643AD981">
      <w:pPr>
        <w:pStyle w:val="NormalHanging"/>
      </w:pPr>
      <w:r w:rsidRPr="000A57A6">
        <w:t>–</w:t>
      </w:r>
      <w:r w:rsidRPr="000A57A6">
        <w:tab/>
        <w:t xml:space="preserve">med beaktande av EIB:s revisionskommittés årsrapport för </w:t>
      </w:r>
      <w:r w:rsidRPr="000A57A6" w:rsidR="00FA2BCF">
        <w:t>2024</w:t>
      </w:r>
      <w:r w:rsidRPr="000A57A6">
        <w:t xml:space="preserve">, som offentliggjordes den </w:t>
      </w:r>
      <w:r w:rsidRPr="000A57A6" w:rsidR="00FA2BCF">
        <w:t>12</w:t>
      </w:r>
      <w:r w:rsidRPr="000A57A6">
        <w:t xml:space="preserve"> september </w:t>
      </w:r>
      <w:r w:rsidRPr="000A57A6" w:rsidR="00FA2BCF">
        <w:t>2025</w:t>
      </w:r>
      <w:r w:rsidRPr="000A57A6">
        <w:t>,</w:t>
      </w:r>
    </w:p>
    <w:p w:rsidR="00DB690F" w:rsidRPr="000A57A6" w:rsidP="00DB690F" w14:paraId="573822F9" w14:textId="36580133">
      <w:pPr>
        <w:pStyle w:val="NormalHanging"/>
      </w:pPr>
      <w:r w:rsidRPr="000A57A6">
        <w:t>–</w:t>
      </w:r>
      <w:r w:rsidRPr="000A57A6">
        <w:tab/>
        <w:t xml:space="preserve">med beaktande av EIB-gruppens rapport av den </w:t>
      </w:r>
      <w:r w:rsidRPr="000A57A6" w:rsidR="00FA2BCF">
        <w:t>26</w:t>
      </w:r>
      <w:r w:rsidRPr="000A57A6">
        <w:t xml:space="preserve"> juni </w:t>
      </w:r>
      <w:r w:rsidRPr="000A57A6" w:rsidR="00FA2BCF">
        <w:t>2024</w:t>
      </w:r>
      <w:r w:rsidRPr="000A57A6">
        <w:t xml:space="preserve"> </w:t>
      </w:r>
      <w:r w:rsidRPr="000A57A6">
        <w:rPr>
          <w:i/>
        </w:rPr>
        <w:t xml:space="preserve">EIB Group support for EU </w:t>
      </w:r>
      <w:r w:rsidRPr="000A57A6">
        <w:rPr>
          <w:i/>
        </w:rPr>
        <w:t>businesses</w:t>
      </w:r>
      <w:r w:rsidRPr="000A57A6">
        <w:rPr>
          <w:i/>
        </w:rPr>
        <w:t>:</w:t>
      </w:r>
      <w:r w:rsidRPr="000A57A6">
        <w:t xml:space="preserve"> </w:t>
      </w:r>
      <w:r w:rsidRPr="000A57A6">
        <w:rPr>
          <w:i/>
        </w:rPr>
        <w:t>Evidence</w:t>
      </w:r>
      <w:r w:rsidRPr="000A57A6">
        <w:rPr>
          <w:i/>
        </w:rPr>
        <w:t xml:space="preserve"> </w:t>
      </w:r>
      <w:r w:rsidRPr="000A57A6">
        <w:rPr>
          <w:i/>
        </w:rPr>
        <w:t>of</w:t>
      </w:r>
      <w:r w:rsidRPr="000A57A6">
        <w:rPr>
          <w:i/>
        </w:rPr>
        <w:t xml:space="preserve"> </w:t>
      </w:r>
      <w:r w:rsidRPr="000A57A6">
        <w:rPr>
          <w:i/>
        </w:rPr>
        <w:t>impact</w:t>
      </w:r>
      <w:r w:rsidRPr="000A57A6">
        <w:rPr>
          <w:i/>
        </w:rPr>
        <w:t xml:space="preserve"> in </w:t>
      </w:r>
      <w:r w:rsidRPr="000A57A6">
        <w:rPr>
          <w:i/>
        </w:rPr>
        <w:t>addressing</w:t>
      </w:r>
      <w:r w:rsidRPr="000A57A6">
        <w:rPr>
          <w:i/>
        </w:rPr>
        <w:t xml:space="preserve"> market </w:t>
      </w:r>
      <w:r w:rsidRPr="000A57A6">
        <w:rPr>
          <w:i/>
        </w:rPr>
        <w:t>failures</w:t>
      </w:r>
      <w:r w:rsidRPr="000A57A6">
        <w:t>,</w:t>
      </w:r>
    </w:p>
    <w:p w:rsidR="00DB690F" w:rsidRPr="000A57A6" w:rsidP="00DB690F" w14:paraId="1FA286EC" w14:textId="479F4455">
      <w:pPr>
        <w:pStyle w:val="NormalHanging"/>
      </w:pPr>
      <w:r w:rsidRPr="000A57A6">
        <w:t>–</w:t>
      </w:r>
      <w:r w:rsidRPr="000A57A6">
        <w:tab/>
        <w:t xml:space="preserve">med beaktande av det gemensamma meddelandet från kommissionen och unionens höga representant för utrikes frågor och säkerhetspolitik av den </w:t>
      </w:r>
      <w:r w:rsidRPr="000A57A6" w:rsidR="00FA2BCF">
        <w:t>5</w:t>
      </w:r>
      <w:r w:rsidRPr="000A57A6">
        <w:t xml:space="preserve"> mars </w:t>
      </w:r>
      <w:r w:rsidRPr="000A57A6" w:rsidR="00FA2BCF">
        <w:t>2024</w:t>
      </w:r>
      <w:r w:rsidRPr="000A57A6">
        <w:t xml:space="preserve"> </w:t>
      </w:r>
      <w:r w:rsidRPr="000A57A6">
        <w:rPr>
          <w:i/>
        </w:rPr>
        <w:t>En ny strategi för europeisk försvarsindustri:</w:t>
      </w:r>
      <w:r w:rsidRPr="000A57A6">
        <w:t xml:space="preserve"> </w:t>
      </w:r>
      <w:r w:rsidRPr="000A57A6">
        <w:rPr>
          <w:i/>
        </w:rPr>
        <w:t>uppnå EU-beredskap genom en lyhörd och motståndskraftig europeisk försvarsindustri</w:t>
      </w:r>
      <w:r w:rsidRPr="000A57A6">
        <w:t xml:space="preserve"> (JOIN(</w:t>
      </w:r>
      <w:r w:rsidRPr="000A57A6" w:rsidR="00FA2BCF">
        <w:t>2024</w:t>
      </w:r>
      <w:r w:rsidRPr="000A57A6">
        <w:t>)</w:t>
      </w:r>
      <w:r w:rsidRPr="000A57A6" w:rsidR="00FA2BCF">
        <w:t>0010</w:t>
      </w:r>
      <w:r w:rsidRPr="000A57A6">
        <w:t>),</w:t>
      </w:r>
    </w:p>
    <w:p w:rsidR="00DB690F" w:rsidRPr="000A57A6" w:rsidP="00DB690F" w14:paraId="391EC4C1" w14:textId="4F11E5F9">
      <w:pPr>
        <w:pStyle w:val="NormalHanging"/>
      </w:pPr>
      <w:r w:rsidRPr="000A57A6">
        <w:t>–</w:t>
      </w:r>
      <w:r w:rsidRPr="000A57A6">
        <w:tab/>
        <w:t xml:space="preserve">med beaktande av revisionsrättens särskilda rapport </w:t>
      </w:r>
      <w:r w:rsidRPr="000A57A6" w:rsidR="00FA2BCF">
        <w:t>22</w:t>
      </w:r>
      <w:r w:rsidRPr="000A57A6">
        <w:t>/</w:t>
      </w:r>
      <w:r w:rsidRPr="000A57A6" w:rsidR="00FA2BCF">
        <w:t>2024</w:t>
      </w:r>
      <w:r w:rsidRPr="000A57A6">
        <w:t xml:space="preserve"> av den </w:t>
      </w:r>
      <w:r w:rsidRPr="000A57A6" w:rsidR="00FA2BCF">
        <w:t>21</w:t>
      </w:r>
      <w:r w:rsidRPr="000A57A6">
        <w:t xml:space="preserve"> oktober </w:t>
      </w:r>
      <w:r w:rsidRPr="000A57A6" w:rsidR="00FA2BCF">
        <w:t>2024</w:t>
      </w:r>
      <w:r w:rsidRPr="000A57A6">
        <w:t xml:space="preserve"> </w:t>
      </w:r>
      <w:r w:rsidRPr="000A57A6">
        <w:rPr>
          <w:i/>
        </w:rPr>
        <w:t>Dubbel finansiering från EU-budgeten</w:t>
      </w:r>
      <w:r w:rsidRPr="000A57A6">
        <w:t>,</w:t>
      </w:r>
    </w:p>
    <w:p w:rsidR="00DB690F" w:rsidRPr="000A57A6" w:rsidP="00DB690F" w14:paraId="6C6F02B7" w14:textId="2F824EBA">
      <w:pPr>
        <w:pStyle w:val="NormalHanging"/>
      </w:pPr>
      <w:r w:rsidRPr="000A57A6">
        <w:t>–</w:t>
      </w:r>
      <w:r w:rsidRPr="000A57A6">
        <w:tab/>
        <w:t xml:space="preserve">med beaktande av revisionsrättens särskilda rapport </w:t>
      </w:r>
      <w:r w:rsidRPr="000A57A6" w:rsidR="00FA2BCF">
        <w:t>07</w:t>
      </w:r>
      <w:r w:rsidRPr="000A57A6">
        <w:t>/</w:t>
      </w:r>
      <w:r w:rsidRPr="000A57A6" w:rsidR="00FA2BCF">
        <w:t>2025</w:t>
      </w:r>
      <w:r w:rsidRPr="000A57A6">
        <w:t xml:space="preserve"> </w:t>
      </w:r>
      <w:r w:rsidRPr="000A57A6" w:rsidR="00FA2BCF">
        <w:t xml:space="preserve">av den 19 mars 2025 </w:t>
      </w:r>
      <w:r w:rsidRPr="000A57A6">
        <w:rPr>
          <w:i/>
        </w:rPr>
        <w:t>Europeiska fonden för strategiska investeringar</w:t>
      </w:r>
      <w:r w:rsidRPr="000A57A6">
        <w:t>,</w:t>
      </w:r>
    </w:p>
    <w:p w:rsidR="00DB690F" w:rsidRPr="000A57A6" w:rsidP="00DB690F" w14:paraId="79C8282E" w14:textId="558B375E">
      <w:pPr>
        <w:pStyle w:val="NormalHanging"/>
      </w:pPr>
      <w:r w:rsidRPr="000A57A6">
        <w:t>–</w:t>
      </w:r>
      <w:r w:rsidRPr="000A57A6">
        <w:tab/>
        <w:t xml:space="preserve">med beaktande av EIB-gruppens rapport av den </w:t>
      </w:r>
      <w:r w:rsidRPr="000A57A6" w:rsidR="00FA2BCF">
        <w:t>8</w:t>
      </w:r>
      <w:r w:rsidRPr="000A57A6">
        <w:t xml:space="preserve"> augusti </w:t>
      </w:r>
      <w:r w:rsidRPr="000A57A6" w:rsidR="00FA2BCF">
        <w:rPr>
          <w:i/>
        </w:rPr>
        <w:t>2025</w:t>
      </w:r>
      <w:r w:rsidRPr="000A57A6">
        <w:rPr>
          <w:i/>
        </w:rPr>
        <w:t xml:space="preserve"> December </w:t>
      </w:r>
      <w:r w:rsidRPr="000A57A6" w:rsidR="00FA2BCF">
        <w:rPr>
          <w:i/>
        </w:rPr>
        <w:t>2024</w:t>
      </w:r>
      <w:r w:rsidRPr="000A57A6">
        <w:rPr>
          <w:i/>
        </w:rPr>
        <w:t xml:space="preserve"> </w:t>
      </w:r>
      <w:r w:rsidRPr="000A57A6">
        <w:rPr>
          <w:i/>
        </w:rPr>
        <w:t>European</w:t>
      </w:r>
      <w:r w:rsidRPr="000A57A6">
        <w:rPr>
          <w:i/>
        </w:rPr>
        <w:t xml:space="preserve"> Investment Bank Group Risk Management </w:t>
      </w:r>
      <w:r w:rsidRPr="000A57A6">
        <w:rPr>
          <w:i/>
        </w:rPr>
        <w:t>Disclosure</w:t>
      </w:r>
      <w:r w:rsidRPr="000A57A6">
        <w:rPr>
          <w:i/>
        </w:rPr>
        <w:t xml:space="preserve"> </w:t>
      </w:r>
      <w:r w:rsidRPr="000A57A6">
        <w:rPr>
          <w:i/>
        </w:rPr>
        <w:t>Report</w:t>
      </w:r>
      <w:r w:rsidRPr="000A57A6">
        <w:t>,</w:t>
      </w:r>
    </w:p>
    <w:p w:rsidR="00DB690F" w:rsidRPr="000A57A6" w:rsidP="00DB690F" w14:paraId="0EBA56BD" w14:textId="2A45121F">
      <w:pPr>
        <w:pStyle w:val="NormalHanging"/>
      </w:pPr>
      <w:r w:rsidRPr="000A57A6">
        <w:t>–</w:t>
      </w:r>
      <w:r w:rsidRPr="000A57A6">
        <w:tab/>
        <w:t xml:space="preserve">med beaktande av EIB-gruppens verksamhetsrapport om bedrägeriutredningar </w:t>
      </w:r>
      <w:r w:rsidRPr="000A57A6" w:rsidR="00FA2BCF">
        <w:t>2024</w:t>
      </w:r>
      <w:r w:rsidRPr="000A57A6">
        <w:t xml:space="preserve">, som offentliggjordes den </w:t>
      </w:r>
      <w:r w:rsidRPr="000A57A6" w:rsidR="00FA2BCF">
        <w:t>4</w:t>
      </w:r>
      <w:r w:rsidRPr="000A57A6">
        <w:t xml:space="preserve"> augusti </w:t>
      </w:r>
      <w:r w:rsidRPr="000A57A6" w:rsidR="00FA2BCF">
        <w:t>2025</w:t>
      </w:r>
      <w:r w:rsidRPr="000A57A6">
        <w:t>,</w:t>
      </w:r>
    </w:p>
    <w:p w:rsidR="00DB690F" w:rsidRPr="000A57A6" w:rsidP="00DB690F" w14:paraId="1D9E450A" w14:textId="41A89EC7">
      <w:pPr>
        <w:pStyle w:val="NormalHanging"/>
      </w:pPr>
      <w:r w:rsidRPr="000A57A6">
        <w:t>–</w:t>
      </w:r>
      <w:r w:rsidRPr="000A57A6">
        <w:tab/>
        <w:t xml:space="preserve">med beaktande av det gemensamma meddelandet av den </w:t>
      </w:r>
      <w:r w:rsidRPr="000A57A6" w:rsidR="00FA2BCF">
        <w:t>19</w:t>
      </w:r>
      <w:r w:rsidRPr="000A57A6">
        <w:t xml:space="preserve"> mars </w:t>
      </w:r>
      <w:r w:rsidRPr="000A57A6" w:rsidR="00FA2BCF">
        <w:t>2025</w:t>
      </w:r>
      <w:r w:rsidRPr="000A57A6">
        <w:t xml:space="preserve"> </w:t>
      </w:r>
      <w:r w:rsidRPr="000A57A6">
        <w:rPr>
          <w:i/>
        </w:rPr>
        <w:t xml:space="preserve">Gemensam vitbok om europeisk försvarsberedskap </w:t>
      </w:r>
      <w:r w:rsidRPr="000A57A6" w:rsidR="00FA2BCF">
        <w:rPr>
          <w:i/>
        </w:rPr>
        <w:t>2030</w:t>
      </w:r>
      <w:r w:rsidRPr="000A57A6">
        <w:t xml:space="preserve"> från kommissionen och unionens höga representant för utrikes frågor och säkerhetspolitik (JOIN(</w:t>
      </w:r>
      <w:r w:rsidRPr="000A57A6" w:rsidR="00FA2BCF">
        <w:t>2025</w:t>
      </w:r>
      <w:r w:rsidRPr="000A57A6">
        <w:t>)</w:t>
      </w:r>
      <w:r w:rsidRPr="000A57A6" w:rsidR="00FA2BCF">
        <w:t>0120</w:t>
      </w:r>
      <w:r w:rsidRPr="000A57A6">
        <w:t xml:space="preserve">), </w:t>
      </w:r>
    </w:p>
    <w:p w:rsidR="00DB690F" w:rsidRPr="000A57A6" w:rsidP="00DB690F" w14:paraId="5BCB42D5" w14:textId="791F6994">
      <w:pPr>
        <w:pStyle w:val="NormalHanging"/>
      </w:pPr>
      <w:r w:rsidRPr="000A57A6">
        <w:t>–</w:t>
      </w:r>
      <w:r w:rsidRPr="000A57A6">
        <w:tab/>
        <w:t xml:space="preserve">med beaktande av EIB-gruppens rapport från juli </w:t>
      </w:r>
      <w:r w:rsidRPr="000A57A6" w:rsidR="00FA2BCF">
        <w:t>2025</w:t>
      </w:r>
      <w:r w:rsidRPr="000A57A6">
        <w:t xml:space="preserve"> </w:t>
      </w:r>
      <w:r w:rsidRPr="000A57A6">
        <w:rPr>
          <w:i/>
        </w:rPr>
        <w:t xml:space="preserve">EIB </w:t>
      </w:r>
      <w:r w:rsidRPr="000A57A6">
        <w:rPr>
          <w:i/>
        </w:rPr>
        <w:t>Group’s</w:t>
      </w:r>
      <w:r w:rsidRPr="000A57A6">
        <w:rPr>
          <w:i/>
        </w:rPr>
        <w:t xml:space="preserve"> </w:t>
      </w:r>
      <w:r w:rsidRPr="000A57A6">
        <w:rPr>
          <w:i/>
        </w:rPr>
        <w:t>contribution</w:t>
      </w:r>
      <w:r w:rsidRPr="000A57A6">
        <w:rPr>
          <w:i/>
        </w:rPr>
        <w:t xml:space="preserve"> to the </w:t>
      </w:r>
      <w:r w:rsidRPr="000A57A6">
        <w:rPr>
          <w:i/>
        </w:rPr>
        <w:t>European</w:t>
      </w:r>
      <w:r w:rsidRPr="000A57A6">
        <w:rPr>
          <w:i/>
        </w:rPr>
        <w:t xml:space="preserve"> </w:t>
      </w:r>
      <w:r w:rsidRPr="000A57A6">
        <w:rPr>
          <w:i/>
        </w:rPr>
        <w:t>Union’s</w:t>
      </w:r>
      <w:r w:rsidRPr="000A57A6">
        <w:rPr>
          <w:i/>
        </w:rPr>
        <w:t xml:space="preserve"> </w:t>
      </w:r>
      <w:r w:rsidRPr="000A57A6" w:rsidR="00FA2BCF">
        <w:rPr>
          <w:i/>
        </w:rPr>
        <w:t>2021</w:t>
      </w:r>
      <w:r w:rsidRPr="000A57A6">
        <w:rPr>
          <w:i/>
        </w:rPr>
        <w:t xml:space="preserve"> – </w:t>
      </w:r>
      <w:r w:rsidRPr="000A57A6" w:rsidR="00FA2BCF">
        <w:rPr>
          <w:i/>
        </w:rPr>
        <w:t>2027</w:t>
      </w:r>
      <w:r w:rsidRPr="000A57A6">
        <w:rPr>
          <w:i/>
        </w:rPr>
        <w:t xml:space="preserve"> </w:t>
      </w:r>
      <w:r w:rsidRPr="000A57A6">
        <w:rPr>
          <w:i/>
        </w:rPr>
        <w:t>Multiannual</w:t>
      </w:r>
      <w:r w:rsidRPr="000A57A6">
        <w:rPr>
          <w:i/>
        </w:rPr>
        <w:t xml:space="preserve"> </w:t>
      </w:r>
      <w:r w:rsidRPr="000A57A6">
        <w:rPr>
          <w:i/>
        </w:rPr>
        <w:t>Financial</w:t>
      </w:r>
      <w:r w:rsidRPr="000A57A6">
        <w:rPr>
          <w:i/>
        </w:rPr>
        <w:t xml:space="preserve"> </w:t>
      </w:r>
      <w:r w:rsidRPr="000A57A6">
        <w:rPr>
          <w:i/>
        </w:rPr>
        <w:t>Framework</w:t>
      </w:r>
      <w:r w:rsidRPr="000A57A6">
        <w:rPr>
          <w:i/>
        </w:rPr>
        <w:t xml:space="preserve"> (MFF):</w:t>
      </w:r>
      <w:r w:rsidRPr="000A57A6">
        <w:t xml:space="preserve"> </w:t>
      </w:r>
      <w:r w:rsidRPr="000A57A6">
        <w:rPr>
          <w:i/>
        </w:rPr>
        <w:t xml:space="preserve">A </w:t>
      </w:r>
      <w:r w:rsidRPr="000A57A6">
        <w:rPr>
          <w:i/>
        </w:rPr>
        <w:t>synthesis</w:t>
      </w:r>
      <w:r w:rsidRPr="000A57A6">
        <w:rPr>
          <w:i/>
        </w:rPr>
        <w:t xml:space="preserve"> </w:t>
      </w:r>
      <w:r w:rsidRPr="000A57A6">
        <w:rPr>
          <w:i/>
        </w:rPr>
        <w:t>of</w:t>
      </w:r>
      <w:r w:rsidRPr="000A57A6">
        <w:rPr>
          <w:i/>
        </w:rPr>
        <w:t xml:space="preserve"> </w:t>
      </w:r>
      <w:r w:rsidRPr="000A57A6">
        <w:rPr>
          <w:i/>
        </w:rPr>
        <w:t>evaluative</w:t>
      </w:r>
      <w:r w:rsidRPr="000A57A6">
        <w:rPr>
          <w:i/>
        </w:rPr>
        <w:t xml:space="preserve"> </w:t>
      </w:r>
      <w:r w:rsidRPr="000A57A6">
        <w:rPr>
          <w:i/>
        </w:rPr>
        <w:t>evidence</w:t>
      </w:r>
      <w:r w:rsidRPr="000A57A6">
        <w:t>,</w:t>
      </w:r>
    </w:p>
    <w:p w:rsidR="00DB690F" w:rsidRPr="000A57A6" w:rsidP="00DB690F" w14:paraId="1FCFDA0B" w14:textId="0B620984">
      <w:pPr>
        <w:pStyle w:val="NormalHanging"/>
      </w:pPr>
      <w:r w:rsidRPr="000A57A6">
        <w:t>–</w:t>
      </w:r>
      <w:r w:rsidRPr="000A57A6">
        <w:tab/>
        <w:t xml:space="preserve">med beaktande av den studie som kommissionen offentliggjorde </w:t>
      </w:r>
      <w:r w:rsidRPr="000A57A6" w:rsidR="00FA2BCF">
        <w:t>2024</w:t>
      </w:r>
      <w:r w:rsidRPr="000A57A6">
        <w:t xml:space="preserve"> </w:t>
      </w:r>
      <w:r w:rsidRPr="000A57A6">
        <w:rPr>
          <w:i/>
        </w:rPr>
        <w:t xml:space="preserve">Access to </w:t>
      </w:r>
      <w:r w:rsidRPr="000A57A6">
        <w:rPr>
          <w:i/>
        </w:rPr>
        <w:t>equity</w:t>
      </w:r>
      <w:r w:rsidRPr="000A57A6">
        <w:rPr>
          <w:i/>
        </w:rPr>
        <w:t xml:space="preserve"> </w:t>
      </w:r>
      <w:r w:rsidRPr="000A57A6">
        <w:rPr>
          <w:i/>
        </w:rPr>
        <w:t>financing</w:t>
      </w:r>
      <w:r w:rsidRPr="000A57A6">
        <w:rPr>
          <w:i/>
        </w:rPr>
        <w:t xml:space="preserve"> for </w:t>
      </w:r>
      <w:r w:rsidRPr="000A57A6">
        <w:rPr>
          <w:i/>
        </w:rPr>
        <w:t>European</w:t>
      </w:r>
      <w:r w:rsidRPr="000A57A6">
        <w:rPr>
          <w:i/>
        </w:rPr>
        <w:t xml:space="preserve"> </w:t>
      </w:r>
      <w:r w:rsidRPr="000A57A6">
        <w:rPr>
          <w:i/>
        </w:rPr>
        <w:t>defence</w:t>
      </w:r>
      <w:r w:rsidRPr="000A57A6">
        <w:rPr>
          <w:i/>
        </w:rPr>
        <w:t xml:space="preserve"> SMEs</w:t>
      </w:r>
      <w:r>
        <w:rPr>
          <w:rStyle w:val="FootnoteReference"/>
        </w:rPr>
        <w:footnoteReference w:id="3"/>
      </w:r>
      <w:r w:rsidRPr="000A57A6">
        <w:t>,</w:t>
      </w:r>
    </w:p>
    <w:p w:rsidR="00DB690F" w:rsidRPr="000A57A6" w:rsidP="00DB690F" w14:paraId="03ECAAB9" w14:textId="27BF9F19">
      <w:pPr>
        <w:pStyle w:val="NormalHanging"/>
      </w:pPr>
      <w:r w:rsidRPr="000A57A6">
        <w:t>–</w:t>
      </w:r>
      <w:r w:rsidRPr="000A57A6">
        <w:tab/>
        <w:t xml:space="preserve">med beaktande av revisionsrättens yttrande </w:t>
      </w:r>
      <w:r w:rsidRPr="000A57A6" w:rsidR="00FA2BCF">
        <w:t>01</w:t>
      </w:r>
      <w:r w:rsidRPr="000A57A6">
        <w:t>/</w:t>
      </w:r>
      <w:r w:rsidRPr="000A57A6" w:rsidR="00FA2BCF">
        <w:t>2026</w:t>
      </w:r>
      <w:r w:rsidRPr="000A57A6">
        <w:t xml:space="preserve"> av den </w:t>
      </w:r>
      <w:r w:rsidRPr="000A57A6" w:rsidR="00FA2BCF">
        <w:t>12</w:t>
      </w:r>
      <w:r w:rsidRPr="000A57A6">
        <w:t xml:space="preserve"> januari </w:t>
      </w:r>
      <w:r w:rsidRPr="000A57A6" w:rsidR="00FA2BCF">
        <w:t>2026</w:t>
      </w:r>
      <w:r w:rsidRPr="000A57A6">
        <w:t>,</w:t>
      </w:r>
    </w:p>
    <w:p w:rsidR="00DB690F" w:rsidRPr="000A57A6" w:rsidP="00DB690F" w14:paraId="295E1CB4" w14:textId="1D9C9E43">
      <w:pPr>
        <w:pStyle w:val="NormalHanging"/>
      </w:pPr>
      <w:r w:rsidRPr="000A57A6">
        <w:t>–</w:t>
      </w:r>
      <w:r w:rsidRPr="000A57A6">
        <w:tab/>
        <w:t xml:space="preserve">med beaktande av uttalande CC </w:t>
      </w:r>
      <w:r w:rsidRPr="000A57A6" w:rsidR="00FA2BCF">
        <w:t>1</w:t>
      </w:r>
      <w:r w:rsidRPr="000A57A6">
        <w:t>/</w:t>
      </w:r>
      <w:r w:rsidRPr="000A57A6" w:rsidR="00FA2BCF">
        <w:t>2025</w:t>
      </w:r>
      <w:r w:rsidRPr="000A57A6">
        <w:t xml:space="preserve"> från kontaktkommittén för de högre revisionsorganen i Europeiska unionen av den </w:t>
      </w:r>
      <w:r w:rsidRPr="000A57A6" w:rsidR="00FA2BCF">
        <w:t>30</w:t>
      </w:r>
      <w:r w:rsidRPr="000A57A6">
        <w:t xml:space="preserve"> september </w:t>
      </w:r>
      <w:r w:rsidRPr="000A57A6" w:rsidR="00FA2BCF">
        <w:t>2025</w:t>
      </w:r>
      <w:r w:rsidRPr="000A57A6">
        <w:t xml:space="preserve"> om den externa offentliga revisionen av Europeiska investeringsbanken,</w:t>
      </w:r>
    </w:p>
    <w:p w:rsidR="00DB690F" w:rsidRPr="000A57A6" w:rsidP="00DB690F" w14:paraId="1A7FE049" w14:textId="6944C0D2">
      <w:pPr>
        <w:pStyle w:val="NormalHanging"/>
      </w:pPr>
      <w:r w:rsidRPr="000A57A6">
        <w:t>–</w:t>
      </w:r>
      <w:r w:rsidRPr="000A57A6">
        <w:tab/>
        <w:t xml:space="preserve">med beaktande av Enrico </w:t>
      </w:r>
      <w:r w:rsidRPr="000A57A6">
        <w:t>Lettas</w:t>
      </w:r>
      <w:r w:rsidRPr="000A57A6">
        <w:t xml:space="preserve"> rapport av den </w:t>
      </w:r>
      <w:r w:rsidRPr="000A57A6" w:rsidR="00FA2BCF">
        <w:t>17</w:t>
      </w:r>
      <w:r w:rsidRPr="000A57A6">
        <w:t xml:space="preserve"> april </w:t>
      </w:r>
      <w:r w:rsidRPr="000A57A6" w:rsidR="00FA2BCF">
        <w:t>2024</w:t>
      </w:r>
      <w:r w:rsidRPr="000A57A6">
        <w:t xml:space="preserve"> </w:t>
      </w:r>
      <w:r w:rsidRPr="000A57A6">
        <w:rPr>
          <w:i/>
        </w:rPr>
        <w:t>Much</w:t>
      </w:r>
      <w:r w:rsidRPr="000A57A6">
        <w:rPr>
          <w:i/>
        </w:rPr>
        <w:t xml:space="preserve"> </w:t>
      </w:r>
      <w:r w:rsidRPr="000A57A6">
        <w:rPr>
          <w:i/>
        </w:rPr>
        <w:t>more</w:t>
      </w:r>
      <w:r w:rsidRPr="000A57A6">
        <w:rPr>
          <w:i/>
        </w:rPr>
        <w:t xml:space="preserve"> </w:t>
      </w:r>
      <w:r w:rsidRPr="000A57A6">
        <w:rPr>
          <w:i/>
        </w:rPr>
        <w:t>than</w:t>
      </w:r>
      <w:r w:rsidRPr="000A57A6">
        <w:rPr>
          <w:i/>
        </w:rPr>
        <w:t xml:space="preserve"> a market – Speed, </w:t>
      </w:r>
      <w:r w:rsidRPr="000A57A6">
        <w:rPr>
          <w:i/>
        </w:rPr>
        <w:t>Security</w:t>
      </w:r>
      <w:r w:rsidRPr="000A57A6">
        <w:rPr>
          <w:i/>
        </w:rPr>
        <w:t xml:space="preserve">, </w:t>
      </w:r>
      <w:r w:rsidRPr="000A57A6">
        <w:rPr>
          <w:i/>
        </w:rPr>
        <w:t>Solidarity</w:t>
      </w:r>
      <w:r w:rsidRPr="000A57A6">
        <w:rPr>
          <w:i/>
        </w:rPr>
        <w:t>:</w:t>
      </w:r>
      <w:r w:rsidRPr="000A57A6">
        <w:t xml:space="preserve"> </w:t>
      </w:r>
      <w:r w:rsidRPr="000A57A6">
        <w:rPr>
          <w:i/>
        </w:rPr>
        <w:t>Empowering</w:t>
      </w:r>
      <w:r w:rsidRPr="000A57A6">
        <w:rPr>
          <w:i/>
        </w:rPr>
        <w:t xml:space="preserve"> the </w:t>
      </w:r>
      <w:r w:rsidRPr="000A57A6">
        <w:rPr>
          <w:i/>
        </w:rPr>
        <w:t>Single</w:t>
      </w:r>
      <w:r w:rsidRPr="000A57A6">
        <w:rPr>
          <w:i/>
        </w:rPr>
        <w:t xml:space="preserve"> Market to </w:t>
      </w:r>
      <w:r w:rsidRPr="000A57A6">
        <w:rPr>
          <w:i/>
        </w:rPr>
        <w:t>deliver</w:t>
      </w:r>
      <w:r w:rsidRPr="000A57A6">
        <w:rPr>
          <w:i/>
        </w:rPr>
        <w:t xml:space="preserve"> a </w:t>
      </w:r>
      <w:r w:rsidRPr="000A57A6">
        <w:rPr>
          <w:i/>
        </w:rPr>
        <w:t>sustainable</w:t>
      </w:r>
      <w:r w:rsidRPr="000A57A6">
        <w:rPr>
          <w:i/>
        </w:rPr>
        <w:t xml:space="preserve"> </w:t>
      </w:r>
      <w:r w:rsidRPr="000A57A6">
        <w:rPr>
          <w:i/>
        </w:rPr>
        <w:t>future</w:t>
      </w:r>
      <w:r w:rsidRPr="000A57A6">
        <w:rPr>
          <w:i/>
        </w:rPr>
        <w:t xml:space="preserve"> and </w:t>
      </w:r>
      <w:r w:rsidRPr="000A57A6">
        <w:rPr>
          <w:i/>
        </w:rPr>
        <w:t>prosperity</w:t>
      </w:r>
      <w:r w:rsidRPr="000A57A6">
        <w:rPr>
          <w:i/>
        </w:rPr>
        <w:t xml:space="preserve"> for all EU Citizens</w:t>
      </w:r>
      <w:r w:rsidRPr="000A57A6">
        <w:t xml:space="preserve"> (</w:t>
      </w:r>
      <w:r w:rsidRPr="000A57A6">
        <w:t>Letta</w:t>
      </w:r>
      <w:r w:rsidRPr="000A57A6">
        <w:t>-rapporten),</w:t>
      </w:r>
    </w:p>
    <w:p w:rsidR="00DB690F" w:rsidRPr="000A57A6" w:rsidP="00DB690F" w14:paraId="36CC2185" w14:textId="500DA0B4">
      <w:pPr>
        <w:pStyle w:val="NormalHanging"/>
      </w:pPr>
      <w:r w:rsidRPr="000A57A6">
        <w:t>–</w:t>
      </w:r>
      <w:r w:rsidRPr="000A57A6">
        <w:tab/>
        <w:t xml:space="preserve">med beaktande av rapporten av den </w:t>
      </w:r>
      <w:r w:rsidRPr="000A57A6" w:rsidR="00FA2BCF">
        <w:t>25</w:t>
      </w:r>
      <w:r w:rsidRPr="000A57A6">
        <w:t xml:space="preserve"> april </w:t>
      </w:r>
      <w:r w:rsidRPr="000A57A6" w:rsidR="00FA2BCF">
        <w:t>2024</w:t>
      </w:r>
      <w:r w:rsidRPr="000A57A6">
        <w:t xml:space="preserve"> från den expertkommitté som leddes av Christian </w:t>
      </w:r>
      <w:r w:rsidRPr="000A57A6">
        <w:t>Noyer</w:t>
      </w:r>
      <w:r w:rsidRPr="000A57A6">
        <w:t xml:space="preserve"> </w:t>
      </w:r>
      <w:r w:rsidRPr="000A57A6">
        <w:rPr>
          <w:i/>
        </w:rPr>
        <w:t xml:space="preserve">Developing </w:t>
      </w:r>
      <w:r w:rsidRPr="000A57A6">
        <w:rPr>
          <w:i/>
        </w:rPr>
        <w:t>European</w:t>
      </w:r>
      <w:r w:rsidRPr="000A57A6">
        <w:rPr>
          <w:i/>
        </w:rPr>
        <w:t xml:space="preserve"> </w:t>
      </w:r>
      <w:r w:rsidRPr="000A57A6">
        <w:rPr>
          <w:i/>
        </w:rPr>
        <w:t>capital</w:t>
      </w:r>
      <w:r w:rsidRPr="000A57A6">
        <w:rPr>
          <w:i/>
        </w:rPr>
        <w:t xml:space="preserve"> markets to </w:t>
      </w:r>
      <w:r w:rsidRPr="000A57A6">
        <w:rPr>
          <w:i/>
        </w:rPr>
        <w:t>finance</w:t>
      </w:r>
      <w:r w:rsidRPr="000A57A6">
        <w:rPr>
          <w:i/>
        </w:rPr>
        <w:t xml:space="preserve"> the </w:t>
      </w:r>
      <w:r w:rsidRPr="000A57A6">
        <w:rPr>
          <w:i/>
        </w:rPr>
        <w:t>future</w:t>
      </w:r>
      <w:r w:rsidRPr="000A57A6">
        <w:t>,</w:t>
      </w:r>
    </w:p>
    <w:p w:rsidR="00DB690F" w:rsidRPr="000A57A6" w:rsidP="00DB690F" w14:paraId="502EAC5A" w14:textId="7BE6DE9C">
      <w:pPr>
        <w:pStyle w:val="NormalHanging"/>
      </w:pPr>
      <w:r w:rsidRPr="000A57A6">
        <w:t>–</w:t>
      </w:r>
      <w:r w:rsidRPr="000A57A6">
        <w:tab/>
        <w:t xml:space="preserve">med beaktande av Mario </w:t>
      </w:r>
      <w:r w:rsidRPr="000A57A6">
        <w:t>Draghis</w:t>
      </w:r>
      <w:r w:rsidRPr="000A57A6">
        <w:t xml:space="preserve"> rapport av den </w:t>
      </w:r>
      <w:r w:rsidRPr="000A57A6" w:rsidR="00FA2BCF">
        <w:t>9</w:t>
      </w:r>
      <w:r w:rsidRPr="000A57A6">
        <w:t xml:space="preserve"> september </w:t>
      </w:r>
      <w:r w:rsidRPr="000A57A6" w:rsidR="00FA2BCF">
        <w:t>2024</w:t>
      </w:r>
      <w:r w:rsidRPr="000A57A6">
        <w:t xml:space="preserve"> </w:t>
      </w:r>
      <w:r w:rsidRPr="000A57A6">
        <w:rPr>
          <w:i/>
        </w:rPr>
        <w:t xml:space="preserve">The </w:t>
      </w:r>
      <w:r w:rsidRPr="000A57A6">
        <w:rPr>
          <w:i/>
        </w:rPr>
        <w:t>future</w:t>
      </w:r>
      <w:r w:rsidRPr="000A57A6">
        <w:rPr>
          <w:i/>
        </w:rPr>
        <w:t xml:space="preserve"> </w:t>
      </w:r>
      <w:r w:rsidRPr="000A57A6">
        <w:rPr>
          <w:i/>
        </w:rPr>
        <w:t>of</w:t>
      </w:r>
      <w:r w:rsidRPr="000A57A6">
        <w:rPr>
          <w:i/>
        </w:rPr>
        <w:t xml:space="preserve"> </w:t>
      </w:r>
      <w:r w:rsidRPr="000A57A6">
        <w:rPr>
          <w:i/>
        </w:rPr>
        <w:t>European</w:t>
      </w:r>
      <w:r w:rsidRPr="000A57A6">
        <w:rPr>
          <w:i/>
        </w:rPr>
        <w:t xml:space="preserve"> </w:t>
      </w:r>
      <w:r w:rsidRPr="000A57A6">
        <w:rPr>
          <w:i/>
        </w:rPr>
        <w:t>competitiveness</w:t>
      </w:r>
      <w:r w:rsidRPr="000A57A6">
        <w:t xml:space="preserve"> (</w:t>
      </w:r>
      <w:r w:rsidRPr="000A57A6">
        <w:t>Draghi</w:t>
      </w:r>
      <w:r w:rsidRPr="000A57A6">
        <w:t>-rapporten),</w:t>
      </w:r>
    </w:p>
    <w:p w:rsidR="00DB690F" w:rsidRPr="000A57A6" w:rsidP="00DB690F" w14:paraId="2996EC03" w14:textId="18A44C0C">
      <w:pPr>
        <w:pStyle w:val="NormalHanging"/>
      </w:pPr>
      <w:r w:rsidRPr="000A57A6">
        <w:t>–</w:t>
      </w:r>
      <w:r w:rsidRPr="000A57A6">
        <w:tab/>
        <w:t xml:space="preserve">med beaktande av pressuttalandet av den </w:t>
      </w:r>
      <w:r w:rsidRPr="000A57A6" w:rsidR="00FA2BCF">
        <w:t>4</w:t>
      </w:r>
      <w:r w:rsidRPr="000A57A6">
        <w:t xml:space="preserve"> mars </w:t>
      </w:r>
      <w:r w:rsidRPr="000A57A6" w:rsidR="00FA2BCF">
        <w:t>2025</w:t>
      </w:r>
      <w:r w:rsidRPr="000A57A6">
        <w:t xml:space="preserve"> från kommissionens ordförande Ursula von der </w:t>
      </w:r>
      <w:r w:rsidRPr="000A57A6">
        <w:t>Leyen</w:t>
      </w:r>
      <w:r w:rsidRPr="000A57A6">
        <w:t xml:space="preserve"> om försvarspaketet,</w:t>
      </w:r>
    </w:p>
    <w:p w:rsidR="00DB690F" w:rsidRPr="000A57A6" w:rsidP="00DB690F" w14:paraId="1DE8F779" w14:textId="23E01F38">
      <w:pPr>
        <w:pStyle w:val="NormalHanging"/>
      </w:pPr>
      <w:r w:rsidRPr="000A57A6">
        <w:t>–</w:t>
      </w:r>
      <w:r w:rsidRPr="000A57A6">
        <w:tab/>
        <w:t xml:space="preserve">med beaktande av sin resolution av den </w:t>
      </w:r>
      <w:r w:rsidRPr="000A57A6" w:rsidR="00FA2BCF">
        <w:t>12</w:t>
      </w:r>
      <w:r w:rsidRPr="000A57A6">
        <w:t xml:space="preserve"> mars </w:t>
      </w:r>
      <w:r w:rsidRPr="000A57A6" w:rsidR="00FA2BCF">
        <w:t>2025</w:t>
      </w:r>
      <w:r w:rsidRPr="000A57A6">
        <w:t xml:space="preserve"> om vitboken om det europeiska försvarets framtid</w:t>
      </w:r>
      <w:r>
        <w:rPr>
          <w:rStyle w:val="FootnoteReference"/>
        </w:rPr>
        <w:footnoteReference w:id="4"/>
      </w:r>
      <w:r w:rsidRPr="000A57A6">
        <w:t>,</w:t>
      </w:r>
    </w:p>
    <w:p w:rsidR="00DB690F" w:rsidRPr="000A57A6" w:rsidP="00DB690F" w14:paraId="0D6AA245" w14:textId="53E97C60">
      <w:pPr>
        <w:pStyle w:val="NormalHanging"/>
      </w:pPr>
      <w:r w:rsidRPr="000A57A6">
        <w:t>–</w:t>
      </w:r>
      <w:r w:rsidRPr="000A57A6">
        <w:tab/>
        <w:t xml:space="preserve">med beaktande av EIB-gruppens förteckning över uteslutna verksamheter som offentliggjordes den </w:t>
      </w:r>
      <w:r w:rsidRPr="000A57A6" w:rsidR="00FA2BCF">
        <w:t>17</w:t>
      </w:r>
      <w:r w:rsidRPr="000A57A6">
        <w:t xml:space="preserve"> juli </w:t>
      </w:r>
      <w:r w:rsidRPr="000A57A6" w:rsidR="00FA2BCF">
        <w:t>2025</w:t>
      </w:r>
      <w:r w:rsidRPr="000A57A6">
        <w:t>,</w:t>
      </w:r>
    </w:p>
    <w:p w:rsidR="00DB690F" w:rsidRPr="000A57A6" w:rsidP="00DB690F" w14:paraId="4EDFE537" w14:textId="7A7AB329">
      <w:pPr>
        <w:pStyle w:val="NormalHanging"/>
      </w:pPr>
      <w:r w:rsidRPr="000A57A6">
        <w:t>–</w:t>
      </w:r>
      <w:r w:rsidRPr="000A57A6">
        <w:tab/>
        <w:t xml:space="preserve">med beaktande av artikel </w:t>
      </w:r>
      <w:r w:rsidRPr="000A57A6" w:rsidR="00FA2BCF">
        <w:t>55</w:t>
      </w:r>
      <w:r w:rsidRPr="000A57A6">
        <w:t xml:space="preserve"> i arbetsordningen,</w:t>
      </w:r>
    </w:p>
    <w:p w:rsidR="00DB690F" w:rsidRPr="000A57A6" w:rsidP="00DB690F" w14:paraId="7E695900" w14:textId="0F0011E9">
      <w:pPr>
        <w:pStyle w:val="NormalHanging"/>
      </w:pPr>
      <w:r w:rsidRPr="000A57A6">
        <w:t>–</w:t>
      </w:r>
      <w:r w:rsidRPr="000A57A6">
        <w:tab/>
        <w:t>med beaktande av betänkandet från budgetkontrollutskottet (A</w:t>
      </w:r>
      <w:r w:rsidRPr="000A57A6" w:rsidR="00FA2BCF">
        <w:t>10</w:t>
      </w:r>
      <w:r w:rsidRPr="000A57A6">
        <w:t>-</w:t>
      </w:r>
      <w:r w:rsidRPr="000A57A6" w:rsidR="00FA2BCF">
        <w:t>0086</w:t>
      </w:r>
      <w:r w:rsidRPr="000A57A6">
        <w:t>/</w:t>
      </w:r>
      <w:r w:rsidRPr="000A57A6" w:rsidR="00FA2BCF">
        <w:t>2026</w:t>
      </w:r>
      <w:r w:rsidRPr="000A57A6">
        <w:t>), och av följande skäl:</w:t>
      </w:r>
    </w:p>
    <w:p w:rsidR="00DB690F" w:rsidRPr="000A57A6" w:rsidP="00DB690F" w14:paraId="2A885607" w14:textId="77777777">
      <w:pPr>
        <w:pStyle w:val="NormalHanging"/>
      </w:pPr>
      <w:r w:rsidRPr="000A57A6">
        <w:t>A.</w:t>
      </w:r>
      <w:r w:rsidRPr="000A57A6">
        <w:tab/>
        <w:t>EIB-gruppen består av EIB – världens största multilaterala finansinstitut, helägt av EU:s medlemsstater – och Europeiska investeringsfonden (EIF). En offentlig banks verksamhet bör vara att ta itu med tydliga marknadsmisslyckanden och investeringsgap där privat finansiering saknas.</w:t>
      </w:r>
    </w:p>
    <w:p w:rsidR="00DB690F" w:rsidRPr="000A57A6" w:rsidP="00DB690F" w14:paraId="4B591C4A" w14:textId="77777777">
      <w:pPr>
        <w:pStyle w:val="NormalHanging"/>
      </w:pPr>
      <w:r w:rsidRPr="000A57A6">
        <w:t>B.</w:t>
      </w:r>
      <w:r w:rsidRPr="000A57A6">
        <w:tab/>
        <w:t>EIB-gruppen bör i enlighet med bestämmelserna i EU-fördraget bidra till en balanserad och stadig utveckling av den inre marknaden i unionens intresse. Dess investeringar bör inriktas på projekt som ger påvisbar additionalitet och valuta för pengarna och som syftar till att utveckla den inre marknaden, eller projekt av gemensamt intresse som inte helt kan finansieras med de medel som finns tillgängliga i en medlemsstat.</w:t>
      </w:r>
    </w:p>
    <w:p w:rsidR="00DB690F" w:rsidRPr="000A57A6" w:rsidP="00DB690F" w14:paraId="349F233E" w14:textId="77777777">
      <w:pPr>
        <w:pStyle w:val="NormalHanging"/>
      </w:pPr>
      <w:r w:rsidRPr="000A57A6">
        <w:t>C.</w:t>
      </w:r>
      <w:r w:rsidRPr="000A57A6">
        <w:tab/>
        <w:t>EIB:s finansiering bör komplettera, inte ersätta, nationella budgetar och privat finansiering och respektera subsidiaritetsprincipen, särskilt inom politikområden som i första hand omfattas av nationell behörighet. EIB:s finansiering måste ge ett tydligt EU-mervärde och uppvisa mätbara resultat i form av verklig additionalitet.</w:t>
      </w:r>
    </w:p>
    <w:p w:rsidR="00DB690F" w:rsidRPr="000A57A6" w:rsidP="00DB690F" w14:paraId="5817CBA0" w14:textId="77777777">
      <w:pPr>
        <w:pStyle w:val="NormalHanging"/>
      </w:pPr>
      <w:r w:rsidRPr="000A57A6">
        <w:t>D.</w:t>
      </w:r>
      <w:r w:rsidRPr="000A57A6">
        <w:tab/>
        <w:t>EIB-gruppen bidrar till att främja ekonomisk, social och territoriell sammanhållning inom EU och stöder unionens politik för utvecklingssamarbete genom åtgärder som genomförs utanför EU.</w:t>
      </w:r>
    </w:p>
    <w:p w:rsidR="00DB690F" w:rsidRPr="000A57A6" w:rsidP="00DB690F" w14:paraId="23EBAB9E" w14:textId="77777777">
      <w:pPr>
        <w:pStyle w:val="NormalHanging"/>
      </w:pPr>
      <w:r w:rsidRPr="000A57A6">
        <w:t>E.</w:t>
      </w:r>
      <w:r w:rsidRPr="000A57A6">
        <w:tab/>
        <w:t xml:space="preserve">I </w:t>
      </w:r>
      <w:r w:rsidRPr="000A57A6">
        <w:t>Letta</w:t>
      </w:r>
      <w:r w:rsidRPr="000A57A6">
        <w:t xml:space="preserve">- och </w:t>
      </w:r>
      <w:r w:rsidRPr="000A57A6">
        <w:t>Draghi</w:t>
      </w:r>
      <w:r w:rsidRPr="000A57A6">
        <w:t xml:space="preserve">-rapporterna om Europeiska unionens framtid efterlyses en förstärkning av EU:s konkurrenskraft, marknadsintegrationens viktiga roll betonas och vikten av att påskynda både offentliga och privata investeringar för att bygga ett starkare Europa understryks. EIB-gruppen spelar en nyckelroll, särskilt genom EIF, när det gäller att stödja små och medelstora företag och därigenom förbättra deras möjligheter att få tillgång till finansmarknaderna. EIB:s roll när det gäller bostäder bör </w:t>
      </w:r>
      <w:r w:rsidRPr="000A57A6">
        <w:t xml:space="preserve">bedömas mot bakgrund av </w:t>
      </w:r>
      <w:r w:rsidRPr="000A57A6">
        <w:t>additionalitetskriterier</w:t>
      </w:r>
      <w:r w:rsidRPr="000A57A6">
        <w:t xml:space="preserve"> och komplettera nationella insatser snarare än ersätta dem.</w:t>
      </w:r>
    </w:p>
    <w:p w:rsidR="00DB690F" w:rsidRPr="000A57A6" w:rsidP="00DB690F" w14:paraId="232394DB" w14:textId="77777777">
      <w:pPr>
        <w:pStyle w:val="NormalHanging"/>
      </w:pPr>
      <w:r w:rsidRPr="000A57A6">
        <w:t>F.</w:t>
      </w:r>
      <w:r w:rsidRPr="000A57A6">
        <w:tab/>
        <w:t>EIB:s kreditbetyg AAA utgör en strategisk tillgång för Europeiska unionen och dess medlemsstater.</w:t>
      </w:r>
    </w:p>
    <w:p w:rsidR="00DB690F" w:rsidRPr="000A57A6" w:rsidP="00DB690F" w14:paraId="271261D6" w14:textId="77777777">
      <w:pPr>
        <w:pStyle w:val="NormalHanging"/>
      </w:pPr>
      <w:r w:rsidRPr="000A57A6">
        <w:t>G.</w:t>
      </w:r>
      <w:r w:rsidRPr="000A57A6">
        <w:tab/>
        <w:t>Detta betänkande är inriktat på kontrolldimensionen av EIB:s verksamhet och bedömer valuta för pengarna, ansvarsskyldighet och sund förvaltning av EU:s resurser. Den kontinuerliga utvidgningen av EIB:s mandat och ökningen av EU:s budgetgarantier till stöd för EIB:s verksamhet gör det legitimt och nödvändigt att öka nivån på den externa granskningen i motsvarande grad.</w:t>
      </w:r>
    </w:p>
    <w:p w:rsidR="00DB690F" w:rsidRPr="000A57A6" w:rsidP="00DB690F" w14:paraId="07402523" w14:textId="77777777">
      <w:pPr>
        <w:pStyle w:val="NormalHanging"/>
      </w:pPr>
      <w:r w:rsidRPr="000A57A6">
        <w:t>H.</w:t>
      </w:r>
      <w:r w:rsidRPr="000A57A6">
        <w:tab/>
        <w:t>Den demokratiska ansvarsskyldigheten måste hålla jämna steg med EIB:s föränderliga roll. Grundligheten i och kvaliteten på parlamentets tillsyn över EIB:s finansiella transaktioner bör stämma överens med intensiteten i samarbetet mellan EIB och kommissionen, som har blivit mycket betydande. EIB:s växande roll bör åtföljas av större demokratisk ansvarsskyldighet och transparens. Ökad parlamentarisk kontroll skulle stärka EIB:s demokratiska ansvarsskyldighet och detta kräver transparent rapportering, tillgång till revision och strukturerad uppföljning av parlamentets rekommendationer.</w:t>
      </w:r>
    </w:p>
    <w:p w:rsidR="00DB690F" w:rsidRPr="000A57A6" w:rsidP="00DB690F" w14:paraId="42DD73C0" w14:textId="77777777">
      <w:pPr>
        <w:pStyle w:val="NormalHanging"/>
      </w:pPr>
      <w:r w:rsidRPr="000A57A6">
        <w:t>I.</w:t>
      </w:r>
      <w:r w:rsidRPr="000A57A6">
        <w:tab/>
        <w:t>Ett effektivt skydd för visselblåsare och undersökande journalistik bidrar till att förebygga bedrägerier och till en sund ekonomisk förvaltning, eftersom de ökar transparensen och den offentliga granskningen.</w:t>
      </w:r>
    </w:p>
    <w:p w:rsidR="00DB690F" w:rsidRPr="000A57A6" w:rsidP="00DB690F" w14:paraId="44AE63E4" w14:textId="6044744D">
      <w:pPr>
        <w:pStyle w:val="NormalHanging"/>
      </w:pPr>
      <w:r w:rsidRPr="000A57A6">
        <w:t>J.</w:t>
      </w:r>
      <w:r w:rsidRPr="000A57A6">
        <w:tab/>
        <w:t xml:space="preserve">EIB ägs av medlemsstaterna, och ansvaret för dess tecknade kapital på </w:t>
      </w:r>
      <w:r w:rsidRPr="000A57A6" w:rsidR="00FA2BCF">
        <w:t>248</w:t>
      </w:r>
      <w:r w:rsidRPr="000A57A6">
        <w:t>,</w:t>
      </w:r>
      <w:r w:rsidRPr="000A57A6" w:rsidR="00FA2BCF">
        <w:t>8</w:t>
      </w:r>
      <w:r w:rsidRPr="000A57A6">
        <w:t> miljarder EUR ligger på skattebetalarna. EIB:s upplåning förekommer inte i den nationella skuldstatistiken. Denna typ av verksamhet utanför balansräkningen gör det nödvändigt med strikta effektivitetsstandarder och extern revision. Utvidgningen av EIB:s mandat måste åtföljas av en förstärkning av arrangemangen för extern revision.</w:t>
      </w:r>
    </w:p>
    <w:p w:rsidR="00DB690F" w:rsidRPr="000A57A6" w:rsidP="00DB690F" w14:paraId="713B052E" w14:textId="77777777">
      <w:pPr>
        <w:pStyle w:val="NormalHanging"/>
      </w:pPr>
      <w:r w:rsidRPr="000A57A6">
        <w:t>K.</w:t>
      </w:r>
      <w:r w:rsidRPr="000A57A6">
        <w:tab/>
        <w:t>EIB-gruppen har interna mekanismer för ansvarsskyldighet, som dock inte ersätter revisionsrättens oberoende externa demokratiska kontroll och tillsyn.</w:t>
      </w:r>
    </w:p>
    <w:p w:rsidR="00DB690F" w:rsidRPr="000A57A6" w:rsidP="00DB690F" w14:paraId="0042B05F" w14:textId="77777777">
      <w:pPr>
        <w:pStyle w:val="NormalHanging"/>
      </w:pPr>
      <w:r w:rsidRPr="000A57A6">
        <w:t>L.</w:t>
      </w:r>
      <w:r w:rsidRPr="000A57A6">
        <w:tab/>
        <w:t>Enligt den nuvarande fördragsramen och EIB:s stadga bygger samarbetet mellan EIB och parlamentet inom ramen för den årliga kontrollrapporten till stor del på informella arrangemang och etablerad praxis snarare än på bindande institutionella skyldigheter.</w:t>
      </w:r>
    </w:p>
    <w:p w:rsidR="00DB690F" w:rsidRPr="000A57A6" w:rsidP="00DB690F" w14:paraId="1974ED54" w14:textId="77777777">
      <w:pPr>
        <w:pStyle w:val="NormalHanging"/>
      </w:pPr>
      <w:r w:rsidRPr="000A57A6">
        <w:t>M.</w:t>
      </w:r>
      <w:r w:rsidRPr="000A57A6">
        <w:tab/>
        <w:t>EIB:s affärsmodell kräver högsta möjliga standarder för integritet, ansvarsskyldighet och transparens, och lämpliga åtgärder måste antas och kontinuerligt uppdateras för att undvika finansiering av alla former av bedrägerier, penningtvätt, terrorism, organiserad brottslighet och skatteflykt.</w:t>
      </w:r>
    </w:p>
    <w:p w:rsidR="00DB690F" w:rsidRPr="000A57A6" w:rsidP="00DB690F" w14:paraId="35C16790" w14:textId="4B4F91E7">
      <w:pPr>
        <w:pStyle w:val="NormalHanging"/>
      </w:pPr>
      <w:r w:rsidRPr="000A57A6">
        <w:t>N.</w:t>
      </w:r>
      <w:r w:rsidRPr="000A57A6">
        <w:tab/>
        <w:t xml:space="preserve">EIB spelar en nyckelroll när det gäller att främja unionens externa mål genom sin utlåningsverksamhet i länder utanför EU, bland annat genom EIB Global, som lanserades </w:t>
      </w:r>
      <w:r w:rsidRPr="000A57A6" w:rsidR="00FA2BCF">
        <w:t>2022</w:t>
      </w:r>
      <w:r w:rsidRPr="000A57A6">
        <w:t xml:space="preserve"> och som ska anpassas till EU:s politik och prioriteringar runt om i världen. Ett effektivt samarbete med partnerländer om migrationshantering, inbegripet återtagande och återvändande av migranter som inte har någon laglig rätt att stanna i unionen, är en relevant aspekt inom ramen för EU:s externa utlåningsram.</w:t>
      </w:r>
    </w:p>
    <w:p w:rsidR="00DB690F" w:rsidRPr="000A57A6" w:rsidP="00DB690F" w14:paraId="57AEE26C" w14:textId="77777777">
      <w:pPr>
        <w:pStyle w:val="NormalHanging"/>
      </w:pPr>
      <w:r w:rsidRPr="000A57A6">
        <w:t>O.</w:t>
      </w:r>
      <w:r w:rsidRPr="000A57A6">
        <w:tab/>
        <w:t xml:space="preserve">Personalen på alla nivåer i EIB-gruppen, inbegripet den högsta ledningen och styrelsen, bör vara könsbalanserad och geografiskt välbalanserad, samtidigt som meritbaserade </w:t>
      </w:r>
      <w:r w:rsidRPr="000A57A6">
        <w:t>urvalsprinciper respekteras fullt ut. Personalens välbefinnande och en transparent och rättvis ram för mänskliga resurser är avgörande för den institutionella motståndskraften och integriteten.</w:t>
      </w:r>
    </w:p>
    <w:p w:rsidR="00DB690F" w:rsidRPr="000A57A6" w:rsidP="00DB690F" w14:paraId="6B3136DA" w14:textId="77777777">
      <w:pPr>
        <w:pStyle w:val="Normal12a"/>
      </w:pPr>
      <w:r w:rsidRPr="000A57A6">
        <w:rPr>
          <w:b/>
          <w:i/>
        </w:rPr>
        <w:t>Finansiella transaktioner och prestation</w:t>
      </w:r>
    </w:p>
    <w:p w:rsidR="00DB690F" w:rsidRPr="000A57A6" w:rsidP="00DB690F" w14:paraId="5A123F6E" w14:textId="2E2A8575">
      <w:pPr>
        <w:pStyle w:val="NormalHanging12a"/>
      </w:pPr>
      <w:r w:rsidRPr="000A57A6">
        <w:t>1</w:t>
      </w:r>
      <w:r w:rsidRPr="000A57A6">
        <w:t>.</w:t>
      </w:r>
      <w:r w:rsidRPr="000A57A6">
        <w:tab/>
        <w:t xml:space="preserve">Europaparlamentet noterar EIB-gruppens stabila ekonomiska resultat </w:t>
      </w:r>
      <w:r w:rsidRPr="000A57A6">
        <w:t>2024</w:t>
      </w:r>
      <w:r w:rsidRPr="000A57A6">
        <w:t xml:space="preserve"> och dess konsoliderade resultat </w:t>
      </w:r>
      <w:r w:rsidRPr="000A57A6">
        <w:t>2024</w:t>
      </w:r>
      <w:r w:rsidRPr="000A57A6">
        <w:t xml:space="preserve">, som uppgick till </w:t>
      </w:r>
      <w:r w:rsidRPr="000A57A6">
        <w:t>3</w:t>
      </w:r>
      <w:r w:rsidRPr="000A57A6">
        <w:t>,</w:t>
      </w:r>
      <w:r w:rsidRPr="000A57A6">
        <w:t>38</w:t>
      </w:r>
      <w:r w:rsidRPr="000A57A6">
        <w:t xml:space="preserve"> miljarder EUR. Parlamentet betonar att bevarandet av EIB:s AAA-kreditbetyg måste förbli ett primärt mål för EIB:s styrning. Parlamentet betonar att EIB:s AAA-kreditbetyg är en strategisk tillgång som gör att EIB kan säkerställa gynnsamma finansieringsvillkor. Parlamentet betonar att framgång även i fortsättningen och i allt högre grad måste mätas genom påvisbara ekonomiska och politiska resultat, inte bara genom beviljade finansieringsvolymer. Parlamentet betonar dessutom att ekonomiska resultat bör mätas i förhållande till bevis på politisk additionalitet, valuta för pengarna och mätbara resultat. Parlamentet påminner om att förenklade förfaranden regelbundet bör lämnas in för oberoende granskning.</w:t>
      </w:r>
    </w:p>
    <w:p w:rsidR="00DB690F" w:rsidRPr="000A57A6" w:rsidP="00DB690F" w14:paraId="09185115" w14:textId="1185D017">
      <w:pPr>
        <w:pStyle w:val="NormalHanging12a"/>
      </w:pPr>
      <w:r w:rsidRPr="000A57A6">
        <w:t>2</w:t>
      </w:r>
      <w:r w:rsidRPr="000A57A6">
        <w:t>.</w:t>
      </w:r>
      <w:r w:rsidRPr="000A57A6">
        <w:tab/>
        <w:t xml:space="preserve">Europaparlamentet noterar med oro att andelen betalningar som var försenade med mer än </w:t>
      </w:r>
      <w:r w:rsidRPr="000A57A6">
        <w:t>90</w:t>
      </w:r>
      <w:r w:rsidRPr="000A57A6">
        <w:t xml:space="preserve"> dagar tredubblades och uppgick till totalt </w:t>
      </w:r>
      <w:r w:rsidRPr="000A57A6">
        <w:t>281</w:t>
      </w:r>
      <w:r w:rsidRPr="000A57A6">
        <w:t>,</w:t>
      </w:r>
      <w:r w:rsidRPr="000A57A6">
        <w:t>3</w:t>
      </w:r>
      <w:r w:rsidRPr="000A57A6">
        <w:t xml:space="preserve"> miljoner EUR i slutet av </w:t>
      </w:r>
      <w:r w:rsidRPr="000A57A6">
        <w:t>2024</w:t>
      </w:r>
      <w:r w:rsidRPr="000A57A6">
        <w:t xml:space="preserve">, vilket motsvarar </w:t>
      </w:r>
      <w:r w:rsidRPr="000A57A6">
        <w:t>0</w:t>
      </w:r>
      <w:r w:rsidRPr="000A57A6">
        <w:t>,</w:t>
      </w:r>
      <w:r w:rsidRPr="000A57A6">
        <w:t>06</w:t>
      </w:r>
      <w:r w:rsidRPr="000A57A6">
        <w:t xml:space="preserve"> % av den totala låneportföljen (jämfört med </w:t>
      </w:r>
      <w:r w:rsidRPr="000A57A6">
        <w:t>82</w:t>
      </w:r>
      <w:r w:rsidRPr="000A57A6">
        <w:t>,</w:t>
      </w:r>
      <w:r w:rsidRPr="000A57A6">
        <w:t>4</w:t>
      </w:r>
      <w:r w:rsidRPr="000A57A6">
        <w:t xml:space="preserve"> miljoner EUR eller </w:t>
      </w:r>
      <w:r w:rsidRPr="000A57A6">
        <w:t>0</w:t>
      </w:r>
      <w:r w:rsidRPr="000A57A6">
        <w:t>,</w:t>
      </w:r>
      <w:r w:rsidRPr="000A57A6">
        <w:t>02</w:t>
      </w:r>
      <w:r w:rsidRPr="000A57A6">
        <w:t xml:space="preserve"> % i slutet av </w:t>
      </w:r>
      <w:r w:rsidRPr="000A57A6">
        <w:t>2023</w:t>
      </w:r>
      <w:r w:rsidRPr="000A57A6">
        <w:t xml:space="preserve">) och konstaterar att dessa fortfarande är mycket låga i förhållande till bankstandarderna, och uppmanar EIB att förklara de bakomliggande orsakerna och rapportera om de korrigerande åtgärder som vidtagits. Parlamentet betonar att varje ökning av nödlidande exponeringar måste övervakas noggrant för att skydda EIB:s finansiella stabilitet och kreditvärdighet. Parlamentet framhåller att dessa ökningar av nödlidande exponeringar och försenade betalningar avsevärt överstiger ökningen på </w:t>
      </w:r>
      <w:r w:rsidRPr="000A57A6">
        <w:t>2</w:t>
      </w:r>
      <w:r w:rsidRPr="000A57A6">
        <w:t> % i den totala låneportföljen.</w:t>
      </w:r>
    </w:p>
    <w:p w:rsidR="00DB690F" w:rsidRPr="000A57A6" w:rsidP="00DB690F" w14:paraId="04EB383F" w14:textId="77777777">
      <w:pPr>
        <w:pStyle w:val="Normal12a"/>
      </w:pPr>
      <w:r w:rsidRPr="000A57A6">
        <w:rPr>
          <w:b/>
          <w:i/>
        </w:rPr>
        <w:t>InvestEU</w:t>
      </w:r>
      <w:r w:rsidRPr="000A57A6">
        <w:rPr>
          <w:b/>
          <w:i/>
        </w:rPr>
        <w:t>, förenkling av den fleråriga budgetramen och faciliteten för återhämtning och resiliens</w:t>
      </w:r>
    </w:p>
    <w:p w:rsidR="00DB690F" w:rsidRPr="000A57A6" w:rsidP="00DB690F" w14:paraId="4ED98368" w14:textId="67E586E8">
      <w:pPr>
        <w:pStyle w:val="NormalHanging12a"/>
      </w:pPr>
      <w:r w:rsidRPr="000A57A6">
        <w:t>3</w:t>
      </w:r>
      <w:r w:rsidRPr="000A57A6">
        <w:t>.</w:t>
      </w:r>
      <w:r w:rsidRPr="000A57A6">
        <w:tab/>
        <w:t xml:space="preserve">Europaparlamentet noterar att EIB under </w:t>
      </w:r>
      <w:r w:rsidRPr="000A57A6">
        <w:t>2024</w:t>
      </w:r>
      <w:r w:rsidRPr="000A57A6">
        <w:t xml:space="preserve"> godkände </w:t>
      </w:r>
      <w:r w:rsidRPr="000A57A6">
        <w:t>38</w:t>
      </w:r>
      <w:r w:rsidRPr="000A57A6">
        <w:t xml:space="preserve"> transaktioner inom ramen för </w:t>
      </w:r>
      <w:r w:rsidRPr="000A57A6">
        <w:t>InvestEU</w:t>
      </w:r>
      <w:r w:rsidRPr="000A57A6">
        <w:t xml:space="preserve"> och utnyttjade </w:t>
      </w:r>
      <w:r w:rsidRPr="000A57A6">
        <w:t>1</w:t>
      </w:r>
      <w:r w:rsidRPr="000A57A6">
        <w:t>,</w:t>
      </w:r>
      <w:r w:rsidRPr="000A57A6">
        <w:t>7</w:t>
      </w:r>
      <w:r w:rsidRPr="000A57A6">
        <w:t xml:space="preserve"> miljarder EUR av EU-garantin. Parlamentet insisterar på att rapporteringen måste komplettera inputbaserade mått med effektbaserade indikatorer som visar på verkliga ekonomiska resultat och måste omfatta en </w:t>
      </w:r>
      <w:r w:rsidRPr="000A57A6">
        <w:t>additionalitetsbedömning</w:t>
      </w:r>
      <w:r w:rsidRPr="000A57A6">
        <w:t xml:space="preserve"> och en efterhandsanalys av potentiell utträngning, även för transaktioner som genomförs genom finansiella </w:t>
      </w:r>
      <w:r w:rsidRPr="000A57A6">
        <w:t>intermediärer</w:t>
      </w:r>
      <w:r w:rsidRPr="000A57A6">
        <w:t>. Parlamentet efterlyser en prestationsbaserad budgeteringsstrategi där kapitalallokering och strategiska prioriteringar utvärderas på grundval av bevisad effektivitet, avkastning på investeringar och verklig valuta för pengarna, utöver efterlevnad av på förhand fastställda procentmål.</w:t>
      </w:r>
    </w:p>
    <w:p w:rsidR="00DB690F" w:rsidRPr="000A57A6" w:rsidP="00DB690F" w14:paraId="0993014E" w14:textId="798E99E6">
      <w:pPr>
        <w:pStyle w:val="NormalHanging12a"/>
      </w:pPr>
      <w:r w:rsidRPr="000A57A6">
        <w:t>4</w:t>
      </w:r>
      <w:r w:rsidRPr="000A57A6">
        <w:t>.</w:t>
      </w:r>
      <w:r w:rsidRPr="000A57A6">
        <w:tab/>
        <w:t xml:space="preserve">Europaparlamentet betonar att </w:t>
      </w:r>
      <w:r w:rsidRPr="000A57A6">
        <w:t>InvestEU</w:t>
      </w:r>
      <w:r w:rsidRPr="000A57A6">
        <w:t xml:space="preserve">-programmet även bör utvärderas på grundval av kvaliteten på dess insatser och deras mätbara effekter och inte bara på grundval av det belopp som används. Parlamentet påminner om att det för närvarande inte finns några kontrollerbara mätramar för att bedöma resultaten av projekt som finansieras inom ramen för </w:t>
      </w:r>
      <w:r w:rsidRPr="000A57A6">
        <w:t>InvestEU</w:t>
      </w:r>
      <w:r w:rsidRPr="000A57A6">
        <w:t>.</w:t>
      </w:r>
    </w:p>
    <w:p w:rsidR="00DB690F" w:rsidRPr="000A57A6" w:rsidP="00DB690F" w14:paraId="67A5BC9D" w14:textId="7E5CC68C">
      <w:pPr>
        <w:pStyle w:val="NormalHanging12a"/>
      </w:pPr>
      <w:r w:rsidRPr="000A57A6">
        <w:t>5</w:t>
      </w:r>
      <w:r w:rsidRPr="000A57A6">
        <w:t>.</w:t>
      </w:r>
      <w:r w:rsidRPr="000A57A6">
        <w:tab/>
        <w:t xml:space="preserve">Europaparlamentet noterar att EU:s fragmenterade och komplexa finansieringslandskap leder till ineffektivitet. Parlamentet betonar att minskad byråkrati är avgörande för att återställa konkurrenskraften och att förenklingen bör minska den administrativa bördan </w:t>
      </w:r>
      <w:r w:rsidRPr="000A57A6">
        <w:t xml:space="preserve">utan att försvaga verifieringskedjor, transparens eller bedrägeribekämpningskontroller. Parlamentet noterar EIB:s insatser för att förenkla sin bedömning av tiden till marknad. Parlamentet uppmanar EIB att offentliggöra årliga centrala prestationsindikatorer för godkännanden och påvisa mätbara minskningar av den administrativa bördan för sökande, särskilt små och medelstora företag och </w:t>
      </w:r>
      <w:r w:rsidRPr="000A57A6">
        <w:t>midcap</w:t>
      </w:r>
      <w:r w:rsidRPr="000A57A6">
        <w:t>-bolag.</w:t>
      </w:r>
    </w:p>
    <w:p w:rsidR="00DB690F" w:rsidRPr="000A57A6" w:rsidP="00DB690F" w14:paraId="5C41C47A" w14:textId="276A222C">
      <w:pPr>
        <w:pStyle w:val="NormalHanging12a"/>
      </w:pPr>
      <w:r w:rsidRPr="000A57A6">
        <w:t>6</w:t>
      </w:r>
      <w:r w:rsidRPr="000A57A6">
        <w:t>.</w:t>
      </w:r>
      <w:r w:rsidRPr="000A57A6">
        <w:tab/>
        <w:t xml:space="preserve">Europaparlamentet välkomnar den pågående utvärderingen av EIB:s ramverk för </w:t>
      </w:r>
      <w:r w:rsidRPr="000A57A6">
        <w:t>additionalitets</w:t>
      </w:r>
      <w:r w:rsidRPr="000A57A6">
        <w:t xml:space="preserve">- och effektmätning och noterar att resultat förväntas under första halvåret </w:t>
      </w:r>
      <w:r w:rsidRPr="000A57A6">
        <w:t>2026</w:t>
      </w:r>
      <w:r w:rsidRPr="000A57A6">
        <w:t xml:space="preserve">. Parlamentet uppmanar EIB och kommissionen att inrätta en gemensam metod för additionalitet i efterhand för EU-stödda transaktioner och att regelbundet rapportera om dess effekter på portfölj- och </w:t>
      </w:r>
      <w:r w:rsidRPr="000A57A6">
        <w:t>sektorsnivå</w:t>
      </w:r>
      <w:r w:rsidRPr="000A57A6">
        <w:t>.</w:t>
      </w:r>
    </w:p>
    <w:p w:rsidR="00DB690F" w:rsidRPr="000A57A6" w:rsidP="00DB690F" w14:paraId="621B564F" w14:textId="77777777">
      <w:pPr>
        <w:pStyle w:val="Normal12a"/>
      </w:pPr>
      <w:r w:rsidRPr="000A57A6">
        <w:rPr>
          <w:b/>
          <w:i/>
        </w:rPr>
        <w:t>Energitrygghet</w:t>
      </w:r>
    </w:p>
    <w:p w:rsidR="00DB690F" w:rsidRPr="000A57A6" w:rsidP="00DB690F" w14:paraId="4DCAF44F" w14:textId="6EE2A6FC">
      <w:pPr>
        <w:pStyle w:val="NormalHanging12a"/>
      </w:pPr>
      <w:r w:rsidRPr="000A57A6">
        <w:t>7</w:t>
      </w:r>
      <w:r w:rsidRPr="000A57A6">
        <w:t>.</w:t>
      </w:r>
      <w:r w:rsidRPr="000A57A6">
        <w:tab/>
        <w:t xml:space="preserve">Europaparlamentet uppmanar EIB att utvärdera alla koldioxidsnåla projekt, inbegripet kärnkraft, mot objektiva och transparenta kriterier, inbegripet koldioxidintensitet under hela livscykeln, nätstabilitet och kostnadseffektivitet, med tillämpning av teknikneutralitet, samtidigt som man fokuserar på strategiska gränsöverskridande projekt för att öka EU-mervärdet. Parlamentet noterar att EIB investerade över </w:t>
      </w:r>
      <w:r w:rsidRPr="000A57A6">
        <w:t>27</w:t>
      </w:r>
      <w:r w:rsidRPr="000A57A6">
        <w:t xml:space="preserve"> miljarder EUR i energiomställning och energitrygghet under </w:t>
      </w:r>
      <w:r w:rsidRPr="000A57A6">
        <w:t>2024</w:t>
      </w:r>
      <w:r w:rsidRPr="000A57A6">
        <w:t>, inbegripet förnybar energi, nät och lagring. Parlamentet uppmanar EIB att prioritera energieffektivitet och kostnadseffektivitet, samtidigt som medlemsstaternas suveräna rätt att besluta om sin energimix respekteras fullt ut.</w:t>
      </w:r>
    </w:p>
    <w:p w:rsidR="00DB690F" w:rsidRPr="000A57A6" w:rsidP="00DB690F" w14:paraId="7E0B4BD8" w14:textId="48B5F7AE">
      <w:pPr>
        <w:pStyle w:val="NormalHanging12a"/>
      </w:pPr>
      <w:r w:rsidRPr="000A57A6">
        <w:t>8</w:t>
      </w:r>
      <w:r w:rsidRPr="000A57A6">
        <w:t>.</w:t>
      </w:r>
      <w:r w:rsidRPr="000A57A6">
        <w:tab/>
        <w:t>Europaparlamentet uttrycker oro över de oproportionerliga rapporteringskrav avseende miljö, samhällsansvar och bolagsstyrning (ESG) som åläggs EIB:s låntagare. Parlamentet varnar för att överdrivna krav på offentliggörande avskräcker ekonomiskt bärkraftiga projekt och skapar konkurrensnackdelar för europeiska företag. Parlamentet uppmanar EIB att se över sina ESG-rapporteringskrav i syfte att säkerställa proportionalitet.</w:t>
      </w:r>
    </w:p>
    <w:p w:rsidR="00DB690F" w:rsidRPr="000A57A6" w:rsidP="00DB690F" w14:paraId="126992CF" w14:textId="77777777">
      <w:pPr>
        <w:pStyle w:val="Normal12a"/>
      </w:pPr>
      <w:r w:rsidRPr="000A57A6">
        <w:rPr>
          <w:b/>
          <w:i/>
        </w:rPr>
        <w:t>Försvars- och säkerhetspolitik</w:t>
      </w:r>
    </w:p>
    <w:p w:rsidR="00DB690F" w:rsidRPr="000A57A6" w:rsidP="00DB690F" w14:paraId="7731D40E" w14:textId="1DBDE97D">
      <w:pPr>
        <w:pStyle w:val="NormalHanging12a"/>
      </w:pPr>
      <w:r w:rsidRPr="000A57A6">
        <w:t>9</w:t>
      </w:r>
      <w:r w:rsidRPr="000A57A6">
        <w:t>.</w:t>
      </w:r>
      <w:r w:rsidRPr="000A57A6">
        <w:tab/>
        <w:t xml:space="preserve">Europaparlamentet betonar vikten av EIB-gruppens bidrag till Europas försvar och säkerhet, i enlighet med vitboken om europeisk försvarsberedskap </w:t>
      </w:r>
      <w:r w:rsidRPr="000A57A6">
        <w:t>2030</w:t>
      </w:r>
      <w:r w:rsidRPr="000A57A6">
        <w:t>, genom dess stöd till initiativ som stärker unionens strategiska oberoende och resiliens, stärker EU:s försvarsindustri, förbättrar cybersäkerhetsinfrastrukturen och främjar innovation inom kritisk försvarsteknik genom att tillhandahålla finansiering och mobilisera privata investeringar.</w:t>
      </w:r>
    </w:p>
    <w:p w:rsidR="00DB690F" w:rsidRPr="000A57A6" w:rsidP="00DB690F" w14:paraId="4DA11A84" w14:textId="41357525">
      <w:pPr>
        <w:pStyle w:val="NormalHanging12a"/>
      </w:pPr>
      <w:r w:rsidRPr="000A57A6">
        <w:t>10</w:t>
      </w:r>
      <w:r w:rsidRPr="000A57A6">
        <w:t>.</w:t>
      </w:r>
      <w:r w:rsidRPr="000A57A6">
        <w:tab/>
        <w:t xml:space="preserve">Europaparlamentet noterar EIB-styrelsens beslut av den </w:t>
      </w:r>
      <w:r w:rsidRPr="000A57A6">
        <w:t>21</w:t>
      </w:r>
      <w:r w:rsidRPr="000A57A6">
        <w:t xml:space="preserve"> mars </w:t>
      </w:r>
      <w:r w:rsidRPr="000A57A6">
        <w:t>2025</w:t>
      </w:r>
      <w:r w:rsidRPr="000A57A6">
        <w:t xml:space="preserve"> om att bredda EIB-gruppens kriterier för stödberättigande för säkerhets- och försvarsinvesteringar och begränsa uteslutna verksamheter, i enlighet med de förslag som godkändes av EU:s ledare vid Europeiska rådets möte den </w:t>
      </w:r>
      <w:r w:rsidRPr="000A57A6">
        <w:t>6</w:t>
      </w:r>
      <w:r w:rsidRPr="000A57A6">
        <w:t xml:space="preserve"> mars </w:t>
      </w:r>
      <w:r w:rsidRPr="000A57A6">
        <w:t>2025</w:t>
      </w:r>
      <w:r w:rsidRPr="000A57A6">
        <w:t>.</w:t>
      </w:r>
    </w:p>
    <w:p w:rsidR="00DB690F" w:rsidRPr="000A57A6" w:rsidP="00DB690F" w14:paraId="3883167E" w14:textId="02BBB63D">
      <w:pPr>
        <w:pStyle w:val="NormalHanging12a"/>
      </w:pPr>
      <w:r w:rsidRPr="000A57A6">
        <w:t>11</w:t>
      </w:r>
      <w:r w:rsidRPr="000A57A6">
        <w:t>.</w:t>
      </w:r>
      <w:r w:rsidRPr="000A57A6">
        <w:tab/>
        <w:t xml:space="preserve">Europaparlamentet välkomnar EIB:s fortsatta och förstärkta roll när det gäller att stärka Europas säkerhet genom riktade investeringar i både försvarsinfrastruktur och civil infrastruktur, i linje med EU:s bredare mål att främja innovation och förbättra unionens säkerhet. Parlamentet betonar att EIB bör fortsätta att investera i ett tryggt och säkert Europa och stödja den europeiska försvarstekniska och försvarsindustriella basen och tillhandahållandet av produkter, tjänster och teknik som stärker Europas </w:t>
      </w:r>
      <w:r w:rsidRPr="000A57A6">
        <w:t>försvarskapacitet, forskning och utveckling samt innovation. Parlamentet begär att omfattningen av stödberättigande investeringar anpassas ytterligare för att uppfylla det ambitiösa målet att bidra till Europas försvar och säkerhet.</w:t>
      </w:r>
    </w:p>
    <w:p w:rsidR="00DB690F" w:rsidRPr="000A57A6" w:rsidP="00DB690F" w14:paraId="18029FC4" w14:textId="579AEF31">
      <w:pPr>
        <w:pStyle w:val="NormalHanging12a"/>
      </w:pPr>
      <w:r w:rsidRPr="000A57A6">
        <w:t>12</w:t>
      </w:r>
      <w:r w:rsidRPr="000A57A6">
        <w:t>.</w:t>
      </w:r>
      <w:r w:rsidRPr="000A57A6">
        <w:tab/>
        <w:t xml:space="preserve">Europaparlamentet noterar den kraftiga ökningen av EIB:s säkerhets- och försvarsfinansiering från </w:t>
      </w:r>
      <w:r w:rsidRPr="000A57A6">
        <w:t>0</w:t>
      </w:r>
      <w:r w:rsidRPr="000A57A6">
        <w:t>,</w:t>
      </w:r>
      <w:r w:rsidRPr="000A57A6">
        <w:t>5</w:t>
      </w:r>
      <w:r w:rsidRPr="000A57A6">
        <w:t xml:space="preserve"> miljarder EUR </w:t>
      </w:r>
      <w:r w:rsidRPr="000A57A6">
        <w:t>2023</w:t>
      </w:r>
      <w:r w:rsidRPr="000A57A6">
        <w:t xml:space="preserve"> till </w:t>
      </w:r>
      <w:r w:rsidRPr="000A57A6">
        <w:t>1</w:t>
      </w:r>
      <w:r w:rsidRPr="000A57A6">
        <w:t>,</w:t>
      </w:r>
      <w:r w:rsidRPr="000A57A6">
        <w:t>04</w:t>
      </w:r>
      <w:r w:rsidRPr="000A57A6">
        <w:t xml:space="preserve"> miljarder EUR </w:t>
      </w:r>
      <w:r w:rsidRPr="000A57A6">
        <w:t>2024</w:t>
      </w:r>
      <w:r w:rsidRPr="000A57A6">
        <w:t xml:space="preserve">, och den ytterligare ökningen </w:t>
      </w:r>
      <w:r w:rsidRPr="000A57A6">
        <w:t>2025</w:t>
      </w:r>
      <w:r w:rsidRPr="000A57A6">
        <w:t xml:space="preserve">. Parlamentet påpekar att EIB:s nuvarande strategiska europeiska säkerhetsinitiativ på </w:t>
      </w:r>
      <w:r w:rsidRPr="000A57A6">
        <w:t>8</w:t>
      </w:r>
      <w:r w:rsidRPr="000A57A6">
        <w:t> miljarder EUR kommer att integreras i ett permanent, övergripande mål för den offentliga politiken, som kompletterar befintliga mål för den offentliga politiken, avskaffar på förhand fastställda tak för säkerhetsfinansiering och möjliggör ökat och flexibelt stöd i linje med rådets prioriteringar. Parlamentet efterlyser en särskild bilaga för årlig rapportering till parlamentet om säkerhets- och försvarsinsatser, inbegripet additionalitet, genomförandehastighet, upphandlingsgarantier, integritetskontroller och riskdelningsarrangemang.</w:t>
      </w:r>
    </w:p>
    <w:p w:rsidR="00DB690F" w:rsidRPr="000A57A6" w:rsidP="00DB690F" w14:paraId="37B7DA53" w14:textId="0633CED3">
      <w:pPr>
        <w:pStyle w:val="NormalHanging12a"/>
      </w:pPr>
      <w:r w:rsidRPr="000A57A6">
        <w:t>13</w:t>
      </w:r>
      <w:r w:rsidRPr="000A57A6">
        <w:t>.</w:t>
      </w:r>
      <w:r w:rsidRPr="000A57A6">
        <w:tab/>
        <w:t>Europaparlamentet uppmanar EIB att ytterligare stärka synergierna med försvarsinvesteringar som finansieras genom EU:s budget och att bättre anpassa dessa investeringar till EU-omfattande initiativ. Parlamentet betonar för EIB att det är nödvändigt att se till att dess investeringar kompletterar EU:s bredare försvarspolitiska mål och bidrar till att uppnå stordriftsfördelar i Europas försvarskapacitet.</w:t>
      </w:r>
    </w:p>
    <w:p w:rsidR="00DB690F" w:rsidRPr="000A57A6" w:rsidP="00DB690F" w14:paraId="233F7DDE" w14:textId="3BD82BA0">
      <w:pPr>
        <w:pStyle w:val="NormalHanging12a"/>
      </w:pPr>
      <w:r w:rsidRPr="000A57A6">
        <w:t>14</w:t>
      </w:r>
      <w:r w:rsidRPr="000A57A6">
        <w:t>.</w:t>
      </w:r>
      <w:r w:rsidRPr="000A57A6">
        <w:tab/>
        <w:t>Europaparlamentet noterar den betydande ökningen av EIB:s stöd till säkerhets- och försvarsinsatser. Parlamentet betonar att en eventuell utvidgning av EIB:s stöd på säkerhets- och försvarsområdet måste omfattas av strikt transparens, ansvarsskyldighet och garantier för mänskliga rättigheter, tydliga uteslutningskriterier, övervakning av slutanvändningen och regelbunden rapportering till parlamentet.</w:t>
      </w:r>
    </w:p>
    <w:p w:rsidR="00DB690F" w:rsidRPr="000A57A6" w:rsidP="00DB690F" w14:paraId="55CC6DB6" w14:textId="7C5C1DBB">
      <w:pPr>
        <w:pStyle w:val="NormalHanging12a"/>
      </w:pPr>
      <w:r w:rsidRPr="000A57A6">
        <w:t>15</w:t>
      </w:r>
      <w:r w:rsidRPr="000A57A6">
        <w:t>.</w:t>
      </w:r>
      <w:r w:rsidRPr="000A57A6">
        <w:tab/>
        <w:t xml:space="preserve">Europaparlamentet uppmanar EIB att identifiera hinder för investeringar i försvar och gränsskydd som skulle stärka unionens resiliens och säkerhet, samtidigt som efterlevnaden av EU-rätten och den demokratiska tillsynen säkerställs. Parlamentet betonar att undanröjandet av hinder är avgörande för konkreta säkerhetsresultat. Parlamentet påminner om att all tilldelning av medel från EIB, genom </w:t>
      </w:r>
      <w:r w:rsidRPr="000A57A6">
        <w:t>InvestEU</w:t>
      </w:r>
      <w:r w:rsidRPr="000A57A6">
        <w:t xml:space="preserve"> och andra finansieringsinstrument för försvarsändamål och för investeringar i kritisk teknik, fullt ut måste respektera medlemsstaternas nationella säkerhetsintressen. Parlamentet understryker att EU-institutionernas behöriga revisionsmyndigheter och revisionsorgan bör utföra noggranna och kontinuerliga revisionskontroller av tredje enheter och tredjeländer som tar emot EU-finansiering och som genomför investeringar och projekt på försvarsområdet, för att säkerställa en transparent användning av EU-medel. Parlamentet betonar att resultatet av sådana investeringar och projekt inte får undergräva medlemsstaternas nationella säkerhetsintressen. Parlamentet uppmanar EIB att utöka sitt fokus på att förbättra den regionala säkerheten och resiliensen. Parlamentet betonar den viktiga roll som EIB kan spela för att skapa en infrastruktur som stöder regional säkerhet och främjar ökat samarbete mellan medlemsstaterna i energi- och försvarsfrågor.</w:t>
      </w:r>
    </w:p>
    <w:p w:rsidR="00DB690F" w:rsidRPr="000A57A6" w:rsidP="00DB690F" w14:paraId="1E99C493" w14:textId="02888553">
      <w:pPr>
        <w:pStyle w:val="NormalHanging12a"/>
      </w:pPr>
      <w:r w:rsidRPr="000A57A6">
        <w:t>16</w:t>
      </w:r>
      <w:r w:rsidRPr="000A57A6">
        <w:t>.</w:t>
      </w:r>
      <w:r w:rsidRPr="000A57A6">
        <w:tab/>
        <w:t>Europaparlamentet välkomnar det nära och strukturerade samarbetet med Natos innovationsfond för att säkerställa synergier och undvika dubbelarbete, särskilt när det gäller att skala upp teknik där det privata kapitalet är otillräckligt.</w:t>
      </w:r>
    </w:p>
    <w:p w:rsidR="00DB690F" w:rsidRPr="000A57A6" w:rsidP="00DB690F" w14:paraId="0C16ECA2" w14:textId="77777777">
      <w:pPr>
        <w:pStyle w:val="Normal12a"/>
      </w:pPr>
      <w:r w:rsidRPr="000A57A6">
        <w:rPr>
          <w:b/>
          <w:i/>
        </w:rPr>
        <w:t xml:space="preserve">Investeringar på områden som omfattas av nationell behörighet </w:t>
      </w:r>
    </w:p>
    <w:p w:rsidR="00DB690F" w:rsidRPr="000A57A6" w:rsidP="00DB690F" w14:paraId="6680C34A" w14:textId="7206298B">
      <w:pPr>
        <w:pStyle w:val="NormalHanging12a"/>
      </w:pPr>
      <w:r w:rsidRPr="000A57A6">
        <w:t>17</w:t>
      </w:r>
      <w:r w:rsidRPr="000A57A6">
        <w:t>.</w:t>
      </w:r>
      <w:r w:rsidRPr="000A57A6">
        <w:tab/>
        <w:t>Europaparlamentet påminner om att bostadsutmaningar skulle kunna hanteras mer effektivt på lokal eller nationell nivå. Parlamentet noterar EIB-gruppens insatser för att säkerställa ett EU-mervärde i samband med hanteringen av bostadsutmaningarna på lokal och nationell nivå genom att stödja skalbara lösningar som kompletterar nationella insatser och ger mätbara resultat. Parlamentet erkänner att investeringar i bostadsinfrastruktur i mindre utvecklade regioner är helt anpassade till EIB:s mandat och till EIB:s fördragsfästa mål att främja ekonomisk, social och territoriell sammanhållning genom att fokusera på mindre utvecklade regioner.</w:t>
      </w:r>
    </w:p>
    <w:p w:rsidR="00DB690F" w:rsidRPr="000A57A6" w:rsidP="00DB690F" w14:paraId="74D0CFD0" w14:textId="7174BABF">
      <w:pPr>
        <w:pStyle w:val="NormalHanging12a"/>
      </w:pPr>
      <w:r w:rsidRPr="000A57A6">
        <w:t>18</w:t>
      </w:r>
      <w:r w:rsidRPr="000A57A6">
        <w:t>.</w:t>
      </w:r>
      <w:r w:rsidRPr="000A57A6">
        <w:tab/>
        <w:t xml:space="preserve">Europaparlamentet noterar EIB-gruppens handlingsplan för överkomliga och hållbara bostäder och dess åtagande att investera i sektorn. Parlamentet noterar EIB-gruppens åtagande att öka investeringarna i social infrastruktur, inbegripet subventionerade och överkomliga bostäder, i enlighet med dess strategiska prioriteringar för </w:t>
      </w:r>
      <w:r w:rsidRPr="000A57A6">
        <w:t>2024</w:t>
      </w:r>
      <w:r w:rsidRPr="000A57A6">
        <w:t>–</w:t>
      </w:r>
      <w:r w:rsidRPr="000A57A6">
        <w:t>2027</w:t>
      </w:r>
      <w:r w:rsidRPr="000A57A6">
        <w:t xml:space="preserve"> och dess operativa plan </w:t>
      </w:r>
      <w:r w:rsidRPr="000A57A6">
        <w:t>2026</w:t>
      </w:r>
      <w:r w:rsidRPr="000A57A6">
        <w:t>–</w:t>
      </w:r>
      <w:r w:rsidRPr="000A57A6">
        <w:t>2028</w:t>
      </w:r>
      <w:r w:rsidRPr="000A57A6">
        <w:t>. Parlamentet noterar potentialen hos riktat EIB-stöd till renovering av det befintliga bostadsbeståndet för att förbättra energieffektiviteten, förutsatt att sådana transaktioner uppvisar additionalitet och ger valuta för pengarna.</w:t>
      </w:r>
    </w:p>
    <w:p w:rsidR="00DB690F" w:rsidRPr="000A57A6" w:rsidP="00DB690F" w14:paraId="09C147EA" w14:textId="262D17F7">
      <w:pPr>
        <w:pStyle w:val="NormalHanging12a"/>
      </w:pPr>
      <w:r w:rsidRPr="000A57A6">
        <w:t>19</w:t>
      </w:r>
      <w:r w:rsidRPr="000A57A6">
        <w:t>.</w:t>
      </w:r>
      <w:r w:rsidRPr="000A57A6">
        <w:tab/>
        <w:t xml:space="preserve">Europaparlamentet påminner om behovet av att säkerställa additionalitet och </w:t>
      </w:r>
      <w:r w:rsidRPr="000A57A6">
        <w:t>komplementaritet</w:t>
      </w:r>
      <w:r w:rsidRPr="000A57A6">
        <w:t xml:space="preserve"> med andra offentliga medel och kommersiella långivare, samtidigt som man genomför den europeiska pelaren för sociala rättigheter, bland annat när det gäller utbildning, och betonar att EIB:s deltagande bör begränsas till projekt med påvisbar valuta för pengarna, såsom gränsöverskridande forskningsinfrastruktur eller kompetensprogram som åtgärdar brister på arbetsmarknaden i hela EU. Parlamentet insisterar på att EIB:s finansiering inte får ersätta nationella utbildningsbudgetar.</w:t>
      </w:r>
    </w:p>
    <w:p w:rsidR="00DB690F" w:rsidRPr="000A57A6" w:rsidP="00DB690F" w14:paraId="56F09E78" w14:textId="77777777">
      <w:pPr>
        <w:pStyle w:val="Normal12a"/>
      </w:pPr>
      <w:r w:rsidRPr="000A57A6">
        <w:rPr>
          <w:b/>
          <w:i/>
        </w:rPr>
        <w:t xml:space="preserve">Stöd till små och medelstora företag, </w:t>
      </w:r>
      <w:r w:rsidRPr="000A57A6">
        <w:rPr>
          <w:b/>
          <w:i/>
        </w:rPr>
        <w:t>midcap</w:t>
      </w:r>
      <w:r w:rsidRPr="000A57A6">
        <w:rPr>
          <w:b/>
          <w:i/>
        </w:rPr>
        <w:t>-bolag, uppstartsföretag, expanderande företag och andra företag</w:t>
      </w:r>
    </w:p>
    <w:p w:rsidR="00DB690F" w:rsidRPr="000A57A6" w:rsidP="00DB690F" w14:paraId="67FC3FDA" w14:textId="154CAC60">
      <w:pPr>
        <w:pStyle w:val="NormalHanging12a"/>
      </w:pPr>
      <w:r w:rsidRPr="000A57A6">
        <w:t>20</w:t>
      </w:r>
      <w:r w:rsidRPr="000A57A6">
        <w:t>.</w:t>
      </w:r>
      <w:r w:rsidRPr="000A57A6">
        <w:tab/>
        <w:t>Europaparlamentet betonar att EIB måste inrikta sig på verkliga marknadsmisslyckanden genom att finansiera projekt som enbart den privata sektorn inte skulle finansiera, eller endast skulle finansiera på mindre gynnsamma villkor. Parlamentet betonar att EIB:s investeringar inte får ersätta privat kapital eller fungera som ersättning för nationella återkommande budgetutgifter. Parlamentet betonar att det är mycket viktigt att skydda den konkurrensutsatta marknadsmiljön.</w:t>
      </w:r>
    </w:p>
    <w:p w:rsidR="00DB690F" w:rsidRPr="000A57A6" w:rsidP="00DB690F" w14:paraId="532A7B5D" w14:textId="2425625F">
      <w:pPr>
        <w:pStyle w:val="NormalHanging12a"/>
      </w:pPr>
      <w:r w:rsidRPr="000A57A6">
        <w:t>21</w:t>
      </w:r>
      <w:r w:rsidRPr="000A57A6">
        <w:t>.</w:t>
      </w:r>
      <w:r w:rsidRPr="000A57A6">
        <w:tab/>
        <w:t>Europaparlamentet betonar den avgörande roll som stora EU-företag spelar i EU:s ekonomiska struktur, särskilt de som är verksamma inom viktiga sektorer såsom energi, försvar och infrastruktur. Parlamentet efterlyser en balanserad strategi som säkerställer att EIB fortsätter att stödja stora EU-företag när det gäller att säkra investeringskapital för större projekt och forsknings- och utvecklingsinitiativ, och därigenom stärka EU:s globala konkurrenskraft och ekonomiska suveränitet.</w:t>
      </w:r>
    </w:p>
    <w:p w:rsidR="00DB690F" w:rsidRPr="000A57A6" w:rsidP="00DB690F" w14:paraId="1FCB9194" w14:textId="3EBE6D3F">
      <w:pPr>
        <w:pStyle w:val="NormalHanging12a"/>
      </w:pPr>
      <w:r w:rsidRPr="000A57A6">
        <w:t>22</w:t>
      </w:r>
      <w:r w:rsidRPr="000A57A6">
        <w:t>.</w:t>
      </w:r>
      <w:r w:rsidRPr="000A57A6">
        <w:tab/>
        <w:t xml:space="preserve">Europaparlamentet uppmuntrar EIB att fortsätta sin roll när det gäller att förbättra tillgången till finansiering för små och medelstora företag, uppstartsföretag och expanderande företag för att stärka EU:s långsiktiga konkurrenskraft, eftersom de ofta möter hinder för finansiering från traditionella finansinstitut, och när det gäller att tillhandahålla riktad finansiering för att säkerställa att de har tillräckliga resurser för att växa och frodas. Parlamentet välkomnar den ständiga ökningen av antalet partnerinstitutioner och vill se att detta fortsätter så att man uppnår en bred geografisk och sektoriell täckning. Parlamentet uppmanar EIB att öka andelen finansiering som </w:t>
      </w:r>
      <w:r w:rsidRPr="000A57A6">
        <w:t xml:space="preserve">riktas till investeringar som stärker konkurrenskraften, särskilt inom strategiska sektorer såsom avancerad tillverkning, digital teknik och </w:t>
      </w:r>
      <w:r w:rsidRPr="000A57A6">
        <w:t>energiresiliens</w:t>
      </w:r>
      <w:r w:rsidRPr="000A57A6">
        <w:t>.</w:t>
      </w:r>
    </w:p>
    <w:p w:rsidR="00DB690F" w:rsidRPr="000A57A6" w:rsidP="00DB690F" w14:paraId="5F9C98BB" w14:textId="319C89EB">
      <w:pPr>
        <w:pStyle w:val="NormalHanging12a"/>
      </w:pPr>
      <w:r w:rsidRPr="000A57A6">
        <w:t>23</w:t>
      </w:r>
      <w:r w:rsidRPr="000A57A6">
        <w:t>.</w:t>
      </w:r>
      <w:r w:rsidRPr="000A57A6">
        <w:tab/>
        <w:t xml:space="preserve">Europaparlamentet noterar slutsatserna i revisionsrättens särskilda rapport </w:t>
      </w:r>
      <w:r w:rsidRPr="000A57A6">
        <w:t>07</w:t>
      </w:r>
      <w:r w:rsidRPr="000A57A6">
        <w:t>/</w:t>
      </w:r>
      <w:r w:rsidRPr="000A57A6">
        <w:t>2025</w:t>
      </w:r>
      <w:r w:rsidRPr="000A57A6">
        <w:t xml:space="preserve"> som bekräftar betydelsen av stöd från Europeiska fonden för strategiska investeringar (</w:t>
      </w:r>
      <w:r w:rsidRPr="000A57A6">
        <w:t>Efsi</w:t>
      </w:r>
      <w:r w:rsidRPr="000A57A6">
        <w:t xml:space="preserve">), men också att dess additionalitet inte var tillräckligt påvisad och att kommissionen inte kontrollerade </w:t>
      </w:r>
      <w:r w:rsidRPr="000A57A6">
        <w:t>Efsis</w:t>
      </w:r>
      <w:r w:rsidRPr="000A57A6">
        <w:t xml:space="preserve"> utträngningseffekt. Parlamentet betonar att samma farhågor också kan tas upp när det gäller EIB:s verksamhet inom ramen för </w:t>
      </w:r>
      <w:r w:rsidRPr="000A57A6">
        <w:t>InvestEU</w:t>
      </w:r>
      <w:r w:rsidRPr="000A57A6">
        <w:t>. Parlamentet understryker riskerna med att tränga ut privata investeringar, såsom att på konstgjord väg komprimera riskpremier, särskilt på marknader såsom förnybar energi, vilket undergräver prissignaler som styr effektiva investeringar och skulle kunna uppfattas som en form av grönmålning. Parlamentet efterlyser efterhandsbedömningar av utträngning.</w:t>
      </w:r>
    </w:p>
    <w:p w:rsidR="00DB690F" w:rsidRPr="000A57A6" w:rsidP="00DB690F" w14:paraId="159C2018" w14:textId="2E6D8238">
      <w:pPr>
        <w:pStyle w:val="NormalHanging12a"/>
      </w:pPr>
      <w:r w:rsidRPr="000A57A6">
        <w:t>24</w:t>
      </w:r>
      <w:r w:rsidRPr="000A57A6">
        <w:t>.</w:t>
      </w:r>
      <w:r w:rsidRPr="000A57A6">
        <w:tab/>
        <w:t>Europaparlamentet noterar att EIB-lån ibland medför större administrativa bördor än kommersiella lån. Parlamentet varnar för att överdrivna rapporteringskrav gör EIB:s finansiering mindre attraktiv för den privata sektorn och kan avskräcka ekonomiskt bärkraftiga projekt. Parlamentet uppmanar EIB att offentliggöra planer för att minska begränsningarna. Parlamentet uppmanar kommissionen och EIB att bedöma hur EIB:s tid till marknaden kan påskyndas och hur finansieringsmandat och rapporteringskrav kan förenklas utan att revisionsstandarderna äventyras. Parlamentet uppmanar EIB att rapportera om bevis på marknadsklyftor och resultat i efterhand och om administrativ förenkling, handläggningstider och dokumentationsbörda, mot bakgrund av EIB-gruppens initiativ för digitalisering och tid till marknad.</w:t>
      </w:r>
    </w:p>
    <w:p w:rsidR="00DB690F" w:rsidRPr="000A57A6" w:rsidP="00DB690F" w14:paraId="2187EA40" w14:textId="77777777">
      <w:pPr>
        <w:pStyle w:val="Normal12a"/>
      </w:pPr>
      <w:r w:rsidRPr="000A57A6">
        <w:rPr>
          <w:b/>
          <w:i/>
        </w:rPr>
        <w:t>Politikområdena sammanhållning, klimat, digitalisering och miljömässig hållbarhet</w:t>
      </w:r>
    </w:p>
    <w:p w:rsidR="00DB690F" w:rsidRPr="000A57A6" w:rsidP="00DB690F" w14:paraId="76324F32" w14:textId="544B32DF">
      <w:pPr>
        <w:pStyle w:val="NormalHanging12a"/>
      </w:pPr>
      <w:r w:rsidRPr="000A57A6">
        <w:t>25</w:t>
      </w:r>
      <w:r w:rsidRPr="000A57A6">
        <w:t>.</w:t>
      </w:r>
      <w:r w:rsidRPr="000A57A6">
        <w:tab/>
        <w:t xml:space="preserve">Europaparlamentet betonar att rapportering baserad på volym mäter output och inte resultat. Parlamentet uppmanar EIB att fortsätta, och till och med öka, användningen av resultatinriktade indikatorer såsom undvikande av koldioxidutsläpp och skapande av långsiktiga arbetstillfällen inom den privata sektorn per investerad euro. Parlamentet förespråkar </w:t>
      </w:r>
      <w:r w:rsidRPr="000A57A6">
        <w:t>riktmärkning</w:t>
      </w:r>
      <w:r w:rsidRPr="000A57A6">
        <w:t xml:space="preserve"> mot jämförbara insatser.</w:t>
      </w:r>
    </w:p>
    <w:p w:rsidR="00DB690F" w:rsidRPr="000A57A6" w:rsidP="00DB690F" w14:paraId="031528FA" w14:textId="43962801">
      <w:pPr>
        <w:pStyle w:val="NormalHanging12a"/>
      </w:pPr>
      <w:r w:rsidRPr="000A57A6">
        <w:t>26</w:t>
      </w:r>
      <w:r w:rsidRPr="000A57A6">
        <w:t>.</w:t>
      </w:r>
      <w:r w:rsidRPr="000A57A6">
        <w:tab/>
        <w:t xml:space="preserve">Europaparlamentet betonar att klimat- och hållbarhetsrapporteringen måste baseras på verifierbara output och resultat (inbegripet utsläppsminskningar, </w:t>
      </w:r>
      <w:r w:rsidRPr="000A57A6">
        <w:t>resiliensvinster</w:t>
      </w:r>
      <w:r w:rsidRPr="000A57A6">
        <w:t xml:space="preserve"> och hävstångseffekter), med stöd av en enhetlig portföljmetod och oberoende utvärdering.</w:t>
      </w:r>
    </w:p>
    <w:p w:rsidR="00DB690F" w:rsidRPr="000A57A6" w:rsidP="00DB690F" w14:paraId="5DD1C361" w14:textId="3EA4F4A0">
      <w:pPr>
        <w:pStyle w:val="NormalHanging12a"/>
      </w:pPr>
      <w:r w:rsidRPr="000A57A6">
        <w:t>27</w:t>
      </w:r>
      <w:r w:rsidRPr="000A57A6">
        <w:t>.</w:t>
      </w:r>
      <w:r w:rsidRPr="000A57A6">
        <w:tab/>
        <w:t xml:space="preserve">Europaparlamentet noterar EIB-gruppens rekordhöga sammanhållningsfinansiering på </w:t>
      </w:r>
      <w:r w:rsidRPr="000A57A6">
        <w:t>38</w:t>
      </w:r>
      <w:r w:rsidRPr="000A57A6">
        <w:t>,</w:t>
      </w:r>
      <w:r w:rsidRPr="000A57A6">
        <w:t>3</w:t>
      </w:r>
      <w:r w:rsidRPr="000A57A6">
        <w:t xml:space="preserve"> miljarder EUR </w:t>
      </w:r>
      <w:r w:rsidRPr="000A57A6">
        <w:t>2024</w:t>
      </w:r>
      <w:r w:rsidRPr="000A57A6">
        <w:t xml:space="preserve">, vilket motsvarar </w:t>
      </w:r>
      <w:r w:rsidRPr="000A57A6">
        <w:t>48</w:t>
      </w:r>
      <w:r w:rsidRPr="000A57A6">
        <w:t xml:space="preserve"> % av den totala EU-finansieringen. Parlamentet uppmanar EIB att offentliggöra uppgifter om regionspecifika konsekvenser för att möjliggöra en effektiv granskning.</w:t>
      </w:r>
    </w:p>
    <w:p w:rsidR="00DB690F" w:rsidRPr="000A57A6" w:rsidP="00DB690F" w14:paraId="534141CC" w14:textId="3AC40644">
      <w:pPr>
        <w:pStyle w:val="NormalHanging12a"/>
      </w:pPr>
      <w:r w:rsidRPr="000A57A6">
        <w:t>28</w:t>
      </w:r>
      <w:r w:rsidRPr="000A57A6">
        <w:t>.</w:t>
      </w:r>
      <w:r w:rsidRPr="000A57A6">
        <w:tab/>
        <w:t xml:space="preserve">Europaparlamentet uppmanar EIB att öka transparensen när det gäller dess övergripande mål genom att tydligt skilja mellan mål som föreskrivs i EU-förordningar och mål som EIB själv har tagit initiativ till. Parlamentet begär en detaljerad uppdelning av hur olika mål konkurrerar om resurser. Parlamentet varnar för att den kontinuerliga ackumuleringen av överlappande integreringsmål riskerar att skapa en matematiskt omöjlig portföljsammansättning. Parlamentet uppmanar EIB att på ett transparent sätt rapportera om kompromisserna mellan konkurrerande politiska mål. Parlamentet upprepar att integreringsmålen bör utvärderas med avseende på deras verkliga inverkan. Parlamentet noterar att med tanke på den nuvarande geopolitiska situationen och de </w:t>
      </w:r>
      <w:r w:rsidRPr="000A57A6">
        <w:t>säkerhetsutmaningar som Europa står inför bör försvars- och säkerhetsinvesteringar, inbegripet stöd till infrastruktur för skydd av de yttre gränserna ökas.</w:t>
      </w:r>
    </w:p>
    <w:p w:rsidR="00DB690F" w:rsidRPr="000A57A6" w:rsidP="00DB690F" w14:paraId="09860CA0" w14:textId="7E484E01">
      <w:pPr>
        <w:pStyle w:val="NormalHanging12a"/>
      </w:pPr>
      <w:r w:rsidRPr="000A57A6">
        <w:t>29</w:t>
      </w:r>
      <w:r w:rsidRPr="000A57A6">
        <w:t>.</w:t>
      </w:r>
      <w:r w:rsidRPr="000A57A6">
        <w:tab/>
        <w:t>Europaparlamentet uppmanar EIB och EIF att stödja investeringar i cybersäkerhet, övervakning och digital teknik för att göra Europa mer motståndskraftigt och samtidigt stärka befintliga samarbetsmekanismer och skydda grundläggande tjänster.</w:t>
      </w:r>
    </w:p>
    <w:p w:rsidR="00DB690F" w:rsidRPr="000A57A6" w:rsidP="00DB690F" w14:paraId="769EFD9C" w14:textId="77777777">
      <w:pPr>
        <w:pStyle w:val="Normal12a"/>
      </w:pPr>
      <w:r w:rsidRPr="000A57A6">
        <w:rPr>
          <w:b/>
          <w:i/>
        </w:rPr>
        <w:t xml:space="preserve">EIB:s verksamhet utanför EU </w:t>
      </w:r>
    </w:p>
    <w:p w:rsidR="00DB690F" w:rsidRPr="000A57A6" w:rsidP="00DB690F" w14:paraId="4C743F4F" w14:textId="2A7F36E9">
      <w:pPr>
        <w:pStyle w:val="NormalHanging12a"/>
      </w:pPr>
      <w:r w:rsidRPr="000A57A6">
        <w:t>30</w:t>
      </w:r>
      <w:r w:rsidRPr="000A57A6">
        <w:t>.</w:t>
      </w:r>
      <w:r w:rsidRPr="000A57A6">
        <w:tab/>
        <w:t>Europaparlamentet insisterar på att utlåningsnivån utanför EU ska omfattas av robusta skyddsåtgärder för transparens, skydd mot bedrägerier, efterlevnad av sanktioner, mänskliga rättigheter och rättsstatsprincipen, och att den ska ta hänsyn till samarbete om återvändandeavtal och förbli förenlig med EU:s utrikespolitiska mål. Parlamentet efterlyser förstärkta förhands- och efterhandskontroller, inbegripet spårbarhet för slutliga stödmottagare, och kraftfulla åtgärder mot korruption, större eller likvärdig transparens, konsekvensbedömningar på förhand och fullständig offentlig ansvarsskyldighet i alla EIB:s transaktioner utanför EU.</w:t>
      </w:r>
    </w:p>
    <w:p w:rsidR="00DB690F" w:rsidRPr="000A57A6" w:rsidP="00DB690F" w14:paraId="22AD9A6F" w14:textId="5E8E8740">
      <w:pPr>
        <w:pStyle w:val="NormalHanging12a"/>
      </w:pPr>
      <w:r w:rsidRPr="000A57A6">
        <w:t>31</w:t>
      </w:r>
      <w:r w:rsidRPr="000A57A6">
        <w:t>.</w:t>
      </w:r>
      <w:r w:rsidRPr="000A57A6">
        <w:tab/>
        <w:t xml:space="preserve">Europaparlamentet välkomnar antagandet under </w:t>
      </w:r>
      <w:r w:rsidRPr="000A57A6">
        <w:t>2024</w:t>
      </w:r>
      <w:r w:rsidRPr="000A57A6">
        <w:t xml:space="preserve"> av Ukrainafaciliteten, som följer på EIB:s EU för Ukraina-initiativ och inrättar en stödmekanism baserad på EU:s budgetmedel. Parlamentet uppmuntrar medlemsstaterna att se till att ett stabilt stöd fortsätter att ges till landet i linje med dess behov. Parlamentet uppmanar EIB att säkerställa transparens och spårbarhet för sina projekt i Ukraina. Parlamentet framhåller vikten av att stärka den administrativa kapaciteten och revisionskapaciteten hos de ukrainska myndigheter som ansvarar för genomförandet, övervakningen och kontrollen av de finansierade åtgärderna.</w:t>
      </w:r>
    </w:p>
    <w:p w:rsidR="00DB690F" w:rsidRPr="000A57A6" w:rsidP="00DB690F" w14:paraId="790A5AE7" w14:textId="2AFD2BD5">
      <w:pPr>
        <w:pStyle w:val="NormalHanging12a"/>
      </w:pPr>
      <w:r w:rsidRPr="000A57A6">
        <w:t>32</w:t>
      </w:r>
      <w:r w:rsidRPr="000A57A6">
        <w:t>.</w:t>
      </w:r>
      <w:r w:rsidRPr="000A57A6">
        <w:tab/>
        <w:t xml:space="preserve">Europaparlamentet noterar att EIB har betalat ut </w:t>
      </w:r>
      <w:r w:rsidRPr="000A57A6">
        <w:t>2</w:t>
      </w:r>
      <w:r w:rsidRPr="000A57A6">
        <w:t>,</w:t>
      </w:r>
      <w:r w:rsidRPr="000A57A6">
        <w:t>3</w:t>
      </w:r>
      <w:r w:rsidRPr="000A57A6">
        <w:t> miljarder EUR i nödhjälp och projektstöd till Ukraina sedan Rysslands anfallskrig inleddes. Parlamentet noterar att EIB:s utbetalade exponering i Ukraina främst täcks av EU-garantier inom ramen för EU:s externa utlåningsmandat</w:t>
      </w:r>
      <w:r>
        <w:rPr>
          <w:rStyle w:val="FootnoteReference"/>
        </w:rPr>
        <w:footnoteReference w:id="5"/>
      </w:r>
      <w:r w:rsidRPr="000A57A6">
        <w:t xml:space="preserve">. Parlamentet framhåller att EIB:s stöd till den privata sektorn har gjort det möjligt för ukrainska banker att fortsätta att låna ut till realekonomin. Parlamentet noterar att EIB i slutet av </w:t>
      </w:r>
      <w:r w:rsidRPr="000A57A6">
        <w:t>2024</w:t>
      </w:r>
      <w:r w:rsidRPr="000A57A6">
        <w:t xml:space="preserve"> hade beviljat finansiella garantier för exponeringar på </w:t>
      </w:r>
      <w:r w:rsidRPr="000A57A6">
        <w:t>500</w:t>
      </w:r>
      <w:r w:rsidRPr="000A57A6">
        <w:t>,</w:t>
      </w:r>
      <w:r w:rsidRPr="000A57A6">
        <w:t>5</w:t>
      </w:r>
      <w:r w:rsidRPr="000A57A6">
        <w:t xml:space="preserve"> miljoner EUR, som också helt täcktes av EU-garantier, till motparter belägna i Ukraina. Parlamentet påpekar att EIB har en lokal närvaro i Ukraina och att Kievkontoret successivt har fått ny personal. Parlamentet upprepar sin uppmaning till EIB att regelbundet och i detalj informera budgetmyndigheten och relevanta revisionsorgan om utbetalning och förvaltning av medel som omfattas av EU-garantier.</w:t>
      </w:r>
    </w:p>
    <w:p w:rsidR="00DB690F" w:rsidRPr="000A57A6" w:rsidP="00DB690F" w14:paraId="1D4E542B" w14:textId="7E8AC804">
      <w:pPr>
        <w:pStyle w:val="NormalHanging12a"/>
      </w:pPr>
      <w:r w:rsidRPr="000A57A6">
        <w:t>33</w:t>
      </w:r>
      <w:r w:rsidRPr="000A57A6">
        <w:t>.</w:t>
      </w:r>
      <w:r w:rsidRPr="000A57A6">
        <w:tab/>
        <w:t xml:space="preserve">Europaparlamentet noterar att EIB-gruppen </w:t>
      </w:r>
      <w:r w:rsidRPr="000A57A6">
        <w:t>2024</w:t>
      </w:r>
      <w:r w:rsidRPr="000A57A6">
        <w:t xml:space="preserve"> valdes ut som en av de viktigaste genomförandepartnerna för investeringsramen för Ukraina, en del av Ukrainafaciliteten inom vilken </w:t>
      </w:r>
      <w:r w:rsidRPr="000A57A6">
        <w:t>50</w:t>
      </w:r>
      <w:r w:rsidRPr="000A57A6">
        <w:t xml:space="preserve"> miljarder EUR kommer att anslås av EU under perioden </w:t>
      </w:r>
      <w:r w:rsidRPr="000A57A6">
        <w:t>2024</w:t>
      </w:r>
      <w:r w:rsidRPr="000A57A6">
        <w:t>–</w:t>
      </w:r>
      <w:r w:rsidRPr="000A57A6">
        <w:t>2027</w:t>
      </w:r>
      <w:r w:rsidRPr="000A57A6">
        <w:t xml:space="preserve"> för att finansiera Ukrainas statsbudget, stimulera investeringar och tillhandahålla tekniskt </w:t>
      </w:r>
      <w:r w:rsidRPr="000A57A6">
        <w:t xml:space="preserve">stöd. Parlamentet noterar att ramen består av garantier och bidrag till europeiska och andra institutioner för utvecklingsfinansiering och att minst </w:t>
      </w:r>
      <w:r w:rsidRPr="000A57A6">
        <w:t>2</w:t>
      </w:r>
      <w:r w:rsidRPr="000A57A6">
        <w:t xml:space="preserve"> miljarder EUR av det tillgängliga stödet är avsett att stödja EIB:s utlåning till den offentliga sektorn.</w:t>
      </w:r>
    </w:p>
    <w:p w:rsidR="00DB690F" w:rsidRPr="000A57A6" w:rsidP="00DB690F" w14:paraId="60FFC006" w14:textId="3754A50D">
      <w:pPr>
        <w:pStyle w:val="NormalHanging12a"/>
      </w:pPr>
      <w:r w:rsidRPr="000A57A6">
        <w:t>34</w:t>
      </w:r>
      <w:r w:rsidRPr="000A57A6">
        <w:t>.</w:t>
      </w:r>
      <w:r w:rsidRPr="000A57A6">
        <w:tab/>
        <w:t xml:space="preserve">Europaparlamentet påminner om att EIB har åtagit sig att förebygga och ta itu med bedrägerier och korruption vid genomförandet av EIB-gruppens projekt i Ukraina. Parlamentet välkomnar EIB:s samarbetsarrangemang med ukrainska korruptionsbekämpande och utredande myndigheter och uppmanar EIB att i sin rapport till parlamentet inkludera information om integritetsskydd, bedrägeririskreducering och </w:t>
      </w:r>
      <w:r w:rsidRPr="000A57A6">
        <w:t>återkravsmekanismer</w:t>
      </w:r>
      <w:r w:rsidRPr="000A57A6">
        <w:t xml:space="preserve"> för transaktioner med koppling till Ukraina, samtidigt som operativ säkerhet och sekretess säkerställs. Parlamentet upprepar sin uppmaning att se till att användningen av ekonomiskt stöd åtföljs av effektiva tillsynsmekanismer och vidhåller att EIB när det gäller de projekt som får stöd och bistånd alltid och utan begränsningar tydligt bör kunna övervaka alla sina investeringar utanför EU.</w:t>
      </w:r>
    </w:p>
    <w:p w:rsidR="00DB690F" w:rsidRPr="000A57A6" w:rsidP="00DB690F" w14:paraId="4E768E2E" w14:textId="4D8760B2">
      <w:pPr>
        <w:pStyle w:val="NormalHanging12a"/>
      </w:pPr>
      <w:r w:rsidRPr="000A57A6">
        <w:t>35</w:t>
      </w:r>
      <w:r w:rsidRPr="000A57A6">
        <w:t>.</w:t>
      </w:r>
      <w:r w:rsidRPr="000A57A6">
        <w:tab/>
        <w:t xml:space="preserve">Europaparlamentet noterar att EIB:s styrelse antagit EIB:s globala strategiska färdplan. Parlamentet noterar dessutom EIB:s roll i Global </w:t>
      </w:r>
      <w:r w:rsidRPr="000A57A6">
        <w:t>Gateway</w:t>
      </w:r>
      <w:r w:rsidRPr="000A57A6">
        <w:t xml:space="preserve"> och EIB:s partnerskap med Team Europe- och FN-partner för att ge största möjliga effekt på fältet. Parlamentet uppmanar EIB och medlemsstaterna att stärka den roll som europeiska utvecklingsbanker och andra internationella finansinstitut spelar för att bidra till att utnyttja offentliga och privata investeringar ytterligare. Parlamentet uppmanar EIB att även fokusera på mycket viktiga offentliga tjänster i sina projekt utanför EU.</w:t>
      </w:r>
    </w:p>
    <w:p w:rsidR="00DB690F" w:rsidRPr="000A57A6" w:rsidP="00DB690F" w14:paraId="3539590C" w14:textId="32D2E30B">
      <w:pPr>
        <w:pStyle w:val="NormalHanging12a"/>
      </w:pPr>
      <w:r w:rsidRPr="000A57A6">
        <w:t>36</w:t>
      </w:r>
      <w:r w:rsidRPr="000A57A6">
        <w:t>.</w:t>
      </w:r>
      <w:r w:rsidRPr="000A57A6">
        <w:tab/>
        <w:t>Europaparlamentet erkänner att Ukraina försvarar sig mot Rysslands olagliga aggression och att insatserna mot korruption måste fortsätta i största möjliga utsträckning samtidigt som hänsyn tas till dessa extraordinära omständigheter. Parlamentet betonar att kraftfulla åtgärder för bedrägeribekämpning och korruptionsbekämpning är avgörande för att bibehålla skattebetalarnas förtroende och säkerställa ett fortsatt offentligt stöd till Ukraina. Parlamentet uppmanar EIB att säkerställa att medel från Ukrainafaciliteten omfattas av strikta revisionsstandarder. Parlamentet vidhåller att EIB bör ha obegränsad tillsyn över alla sina investeringar utanför EU.</w:t>
      </w:r>
    </w:p>
    <w:p w:rsidR="00DB690F" w:rsidRPr="000A57A6" w:rsidP="00DB690F" w14:paraId="7419EF22" w14:textId="4604DC7D">
      <w:pPr>
        <w:pStyle w:val="NormalHanging12a"/>
      </w:pPr>
      <w:r w:rsidRPr="000A57A6">
        <w:t>37</w:t>
      </w:r>
      <w:r w:rsidRPr="000A57A6">
        <w:t>.</w:t>
      </w:r>
      <w:r w:rsidRPr="000A57A6">
        <w:tab/>
        <w:t>Europaparlamentet uppmanar EIB att, särskilt för all sin verksamhet utanför EU, i alla avtal med mellanhänder, partnerinstitutioner och genomförandeorgan säkerställa faktisk åtkomsträtt för revisionsrätten, Europeiska byrån för bedrägeribekämpning (Olaf) och Europeiska åklagarmyndigheten (</w:t>
      </w:r>
      <w:r w:rsidRPr="000A57A6">
        <w:t>Eppo</w:t>
      </w:r>
      <w:r w:rsidRPr="000A57A6">
        <w:t>), och tillgång till verifieringskedjor ned till slutmottagarnivå där så är möjligt, i linje med EU:s regler om skydd av EU:s ekonomiska intressen.</w:t>
      </w:r>
    </w:p>
    <w:p w:rsidR="00DB690F" w:rsidRPr="000A57A6" w:rsidP="00DB690F" w14:paraId="21F7DA06" w14:textId="77777777">
      <w:pPr>
        <w:pStyle w:val="Normal12a"/>
      </w:pPr>
      <w:r w:rsidRPr="000A57A6">
        <w:rPr>
          <w:b/>
          <w:i/>
        </w:rPr>
        <w:t>EIB:s struktur för ansvarsskyldighet</w:t>
      </w:r>
    </w:p>
    <w:p w:rsidR="00DB690F" w:rsidRPr="000A57A6" w:rsidP="00DB690F" w14:paraId="3C73D698" w14:textId="22BADFDD">
      <w:pPr>
        <w:pStyle w:val="NormalHanging12a"/>
      </w:pPr>
      <w:r w:rsidRPr="000A57A6">
        <w:t>38</w:t>
      </w:r>
      <w:r w:rsidRPr="000A57A6">
        <w:t>.</w:t>
      </w:r>
      <w:r w:rsidRPr="000A57A6">
        <w:tab/>
        <w:t>Europaparlamentet noterar att EIB-gruppens nuvarande ansvarighetsnivå är resultatet av att EIB verkar enligt ett dubbelt system där EU-budgetstödda transaktioner indirekt granskas av kommissionen och revisionsrätten och av parlamentet i dess beslut om ansvarsfrihet för EU:s budget, medan transaktioner som finansieras med EIB:s egna medel från medlemsstaterna – mer än tre fjärdedelar av EIB:s transaktioner – till stor del faller utanför systematisk extern revision och nationell och europeisk parlamentarisk kontroll. Parlamentet noterar också att EIB inte är föremål för någon extern banktillsyn, till skillnad från Europeiska centralbanken, som övervakas av den gemensamma tillsynsmekanismen.</w:t>
      </w:r>
    </w:p>
    <w:p w:rsidR="00DB690F" w:rsidRPr="000A57A6" w:rsidP="00DB690F" w14:paraId="42FC6AD2" w14:textId="1305ACD7">
      <w:pPr>
        <w:pStyle w:val="NormalHanging12a"/>
      </w:pPr>
      <w:r w:rsidRPr="000A57A6">
        <w:t>39</w:t>
      </w:r>
      <w:r w:rsidRPr="000A57A6">
        <w:t>.</w:t>
      </w:r>
      <w:r w:rsidRPr="000A57A6">
        <w:tab/>
        <w:t>Europaparlamentet konstaterar att EIB har en tät intern ansvarsstruktur och att en extern revisor utövar tillsyn över EIB:s verksamhet och redovisningssystem. Parlamentet håller med om att denna struktur i stort sett överensstämmer med internationell praxis. Parlamentet betonar att i takt med att EIB:s traditionella roll utvidgas tillsammans med en ökande användning av komplexa finansieringsinstrument och blandade transaktioner ifrågasätts ofta EIB:s transparens och offentliggörande, att dess etiska ram inte är optimal, att rapporteringen till parlamentet är sporadisk, att samarbetet med Europeiska ombudsmannen har förändrats och att revisionsrättens roll begränsas av de nuvarande reglerna och genomförandearrangemangen. Parlamentet framhåller behovet av konkreta åtgärder från EIB:s sida för att ta itu med denna situation, i linje med tidigare uppmaningar i parlamentets resolutioner och den tillgång till dialog och samarbete som uttryckts av EU:s budgetmyndighet och ansvarsfrihetsbeviljande myndighet.</w:t>
      </w:r>
    </w:p>
    <w:p w:rsidR="00DB690F" w:rsidRPr="000A57A6" w:rsidP="00DB690F" w14:paraId="689ADFD1" w14:textId="0416BC2E">
      <w:pPr>
        <w:pStyle w:val="NormalHanging12a"/>
      </w:pPr>
      <w:r w:rsidRPr="000A57A6">
        <w:t>40</w:t>
      </w:r>
      <w:r w:rsidRPr="000A57A6">
        <w:t>.</w:t>
      </w:r>
      <w:r w:rsidRPr="000A57A6">
        <w:tab/>
        <w:t xml:space="preserve">Europaparlamentet påminner om slutsatserna i kontaktkommitténs uttalande CC </w:t>
      </w:r>
      <w:r w:rsidRPr="000A57A6">
        <w:t>1</w:t>
      </w:r>
      <w:r w:rsidRPr="000A57A6">
        <w:t>/</w:t>
      </w:r>
      <w:r w:rsidRPr="000A57A6">
        <w:t>2025</w:t>
      </w:r>
      <w:r w:rsidRPr="000A57A6">
        <w:t>, där man formellt identifierade kritiska brister i den externa offentliga revisionen av EIB. Parlamentet noterar paradoxen att EIB:s mandat och EU:s budgetgarantier utvidgas, men att revisionsbefogenheterna fortfarande är begränsade. Parlamentet uppmanar EIB att aktivt involvera nationella högre revisionsorgan i denna process för att säkerställa ansvarsskyldighet för transaktioner som för närvarande inte omfattas av revisionsrätten och att garantera robust ansvarsskyldighet och tillsyn, bland annat genom regelbundet informationsutbyte om riskområden och uppföljning av revisionsrekommendationer. Parlamentet upprepar att en fördragsändring är nödvändig för att ge revisionsrätten, när den utövar sitt mandat, fullständig och obegränsad tillgång till alla EIB:s transaktioner för att anpassa den demokratiska ansvarsskyldigheten till EIB:s föränderliga finansiella exponering.</w:t>
      </w:r>
    </w:p>
    <w:p w:rsidR="00DB690F" w:rsidRPr="000A57A6" w:rsidP="00DB690F" w14:paraId="1889337D" w14:textId="5D957018">
      <w:pPr>
        <w:pStyle w:val="NormalHanging12a"/>
      </w:pPr>
      <w:r w:rsidRPr="000A57A6">
        <w:t>41</w:t>
      </w:r>
      <w:r w:rsidRPr="000A57A6">
        <w:t>.</w:t>
      </w:r>
      <w:r w:rsidRPr="000A57A6">
        <w:tab/>
        <w:t xml:space="preserve">Europaparlamentet uttrycker oro över konkursen för Northvolt AB, den batteritillverkare som ansökte om konkurs i Sverige den </w:t>
      </w:r>
      <w:r w:rsidRPr="000A57A6">
        <w:t>12</w:t>
      </w:r>
      <w:r w:rsidRPr="000A57A6">
        <w:t xml:space="preserve"> mars </w:t>
      </w:r>
      <w:r w:rsidRPr="000A57A6">
        <w:t>2025</w:t>
      </w:r>
      <w:r w:rsidRPr="000A57A6">
        <w:t xml:space="preserve"> efter att ha dragit nytta av ett betydande EIB-lånepaket på drygt </w:t>
      </w:r>
      <w:r w:rsidRPr="000A57A6">
        <w:t>942</w:t>
      </w:r>
      <w:r w:rsidRPr="000A57A6">
        <w:t>,</w:t>
      </w:r>
      <w:r w:rsidRPr="000A57A6">
        <w:t>6</w:t>
      </w:r>
      <w:r w:rsidRPr="000A57A6">
        <w:t xml:space="preserve"> miljoner EUR, som undertecknades </w:t>
      </w:r>
      <w:r w:rsidRPr="000A57A6">
        <w:t>2020</w:t>
      </w:r>
      <w:r w:rsidRPr="000A57A6">
        <w:t xml:space="preserve"> som en del av den skuldfinansiering som anskaffades för att bygga ut en gigafabrik. Parlamentet noterar att liknande risker verkar finnas med liknande storskaliga projekt såsom Stegra (H</w:t>
      </w:r>
      <w:r w:rsidRPr="000A57A6">
        <w:t>2</w:t>
      </w:r>
      <w:r w:rsidRPr="000A57A6">
        <w:t xml:space="preserve"> Green Steel). Parlamentet efterlyser ett offentliggörande av EIB:s riskbedömningar och av bedömningarna efter transaktioner, inbegripet en utvärdering av den finansiella exponeringen och lämpligheten av indikatorer för tidig varning, så snart de pågående processerna tillåter det. Parlamentet kräver en översyn av lärdomarna från Northvolt-fallet. Parlamentet uppmanar kommissionen och EIB:s styrelse att inrätta mekanismer för tidig upptäckt av systemrisker i flaggskeppsinvesteringar för att förhindra att liknande situationer upprepas. Parlamentet uppmanar EIB att offentliggöra riskbedömningsprofilerna för dessa och andra liknande åtaganden, inbegripet för styrnings-, koncentrations- och teknikrisker, på ett lämpligt aggregerat och konfidentiellt sätt. Parlamentet upprepar sin uppmaning till EIB att lämna närmare uppgifter om den utvärderings- och beslutsprocess som ägde rum före investeringen i Northvolt AB och att förklara hur ett sådant avgörande projekt kunde misslyckas trots EIB:s påståenden om att banken genomför lämplig och kontinuerlig övervakning av mottagarna av sitt finansiella stöd.</w:t>
      </w:r>
    </w:p>
    <w:p w:rsidR="00DB690F" w:rsidRPr="000A57A6" w:rsidP="00DB690F" w14:paraId="6288FEBA" w14:textId="4E5D1523">
      <w:pPr>
        <w:pStyle w:val="NormalHanging12a"/>
      </w:pPr>
      <w:r w:rsidRPr="000A57A6">
        <w:t>42</w:t>
      </w:r>
      <w:r w:rsidRPr="000A57A6">
        <w:t>.</w:t>
      </w:r>
      <w:r w:rsidRPr="000A57A6">
        <w:tab/>
        <w:t>Europaparlamentet uppmanar EIB att införa förbättrade gränser för stresstester och riskkoncentrationer för stora strategiska projekt och att rapportera till parlamentet om den samlade exponeringen mot enskilda högrisklåntagare.</w:t>
      </w:r>
    </w:p>
    <w:p w:rsidR="00DB690F" w:rsidRPr="000A57A6" w:rsidP="00DB690F" w14:paraId="3CA107E0" w14:textId="6CA05ED3">
      <w:pPr>
        <w:pStyle w:val="NormalHanging12a"/>
      </w:pPr>
      <w:r w:rsidRPr="000A57A6">
        <w:t>43</w:t>
      </w:r>
      <w:r w:rsidRPr="000A57A6">
        <w:t>.</w:t>
      </w:r>
      <w:r w:rsidRPr="000A57A6">
        <w:tab/>
        <w:t>Europaparlamentet uppmanar EIB att systematiskt utvärdera och offentligt rapportera om förekomsten av sena betalningar och konkurser bland stödmottagare i hela sin låneportfölj. Parlamentet insisterar på att en sådan utvärdering bör omfatta en orsaksanalys för att fastställa om misslyckandena beror på otillräcklig tillbörlig aktsamhet, externa chocker eller systemproblem i projekturvalsmetoderna. Parlamentet betonar att transparent rapportering är avgörande för att bedöma valuta för pengarna och upprätthålla skattebetalarnas förtroende.</w:t>
      </w:r>
    </w:p>
    <w:p w:rsidR="00DB690F" w:rsidRPr="000A57A6" w:rsidP="00DB690F" w14:paraId="08B80235" w14:textId="48FA23FB">
      <w:pPr>
        <w:pStyle w:val="NormalHanging12a"/>
      </w:pPr>
      <w:r w:rsidRPr="000A57A6">
        <w:t>44</w:t>
      </w:r>
      <w:r w:rsidRPr="000A57A6">
        <w:t>.</w:t>
      </w:r>
      <w:r w:rsidRPr="000A57A6">
        <w:tab/>
        <w:t xml:space="preserve">Europaparlamentet insisterar bestämt på att förebyggandet av intressekonflikter måste stärkas mot bakgrund av den senaste tidens fall av svängdörrsproblematik och Europeiska ombudsmannens rekommendationer. Parlamentet efterlyser en översyn av uppförandekoden för att genomdriva striktare karensperioder för EIB:s vice ordförande, ge etik- och efterlevnadskommittén befogenhet att införa riskreducerande åtgärder och fastställa tydligare regler för EIB:s vice ordförandes deltagande i beslut som rör deras ursprungsländer. Parlamentet understryker den nyligen offentliggjorda informationen om fem fall sedan </w:t>
      </w:r>
      <w:r w:rsidRPr="000A57A6">
        <w:t>2019</w:t>
      </w:r>
      <w:r w:rsidRPr="000A57A6">
        <w:t xml:space="preserve"> då tidigare ledamöter i EIB:s beslutsfattande organ påståtts vara inblandade i svängdörrssituationer, inbegripet ett fall där en vice ordförande för EIB utsågs till styrelseledamot i en enhet för vilken han hade undertecknat ett EIB-lån. Parlamentet noterar att karensperioden har förlängts till </w:t>
      </w:r>
      <w:r w:rsidRPr="000A57A6">
        <w:t>24</w:t>
      </w:r>
      <w:r w:rsidRPr="000A57A6">
        <w:t xml:space="preserve"> månader. Parlamentet påminner om att ledamöterna i direktionen uppmanas att informera etik- och efterlevnadskommittén och söka godkännande för eventuella förhandlingar om framtida anställningar. Parlamentet delar Europeiska ombudsmannens åsikt att rollen för EIB:s etik- och efterlevnadskommitté bör stärkas. Parlamentet påminner om att riskreducerande åtgärder, såsom avgränsning och karensperioder, bör anses som obestridliga.</w:t>
      </w:r>
    </w:p>
    <w:p w:rsidR="00DB690F" w:rsidRPr="000A57A6" w:rsidP="00DB690F" w14:paraId="163958F7" w14:textId="1A16289D">
      <w:pPr>
        <w:pStyle w:val="NormalHanging12a"/>
      </w:pPr>
      <w:r w:rsidRPr="000A57A6">
        <w:t>45</w:t>
      </w:r>
      <w:r w:rsidRPr="000A57A6">
        <w:t>.</w:t>
      </w:r>
      <w:r w:rsidRPr="000A57A6">
        <w:tab/>
        <w:t xml:space="preserve">Europaparlamentet noterar med oro att det finns en läckt internrevision från EIB där bestämmelser om intressekonflikter markeras som ”behöver förbättras avsevärt”, särskilt eftersom de inte omfattar uppenbara och potentiella konflikter. Parlamentet betonar att intresseförklaringarna från EIB:s och </w:t>
      </w:r>
      <w:r w:rsidRPr="000A57A6">
        <w:t>EIF:s</w:t>
      </w:r>
      <w:r w:rsidRPr="000A57A6">
        <w:t xml:space="preserve"> styr- och revisionsorgan inte är anpassade till andra multilaterala utvecklingsbanker och Europeiska centralbanken och måste korrigeras utan dröjsmål. Parlamentet understryker bristen på auktoritet, oberoende och räckvidd för EIB:s och </w:t>
      </w:r>
      <w:r w:rsidRPr="000A57A6">
        <w:t>EIF:s</w:t>
      </w:r>
      <w:r w:rsidRPr="000A57A6">
        <w:t xml:space="preserve"> etiska efterlevnadsfunktioner och riskerna med komplexa rapporteringsvägar som avslöjar känsliga personuppgifter. Parlamentet uppmanar med kraft EIB att anpassa sig till etiknätverket för multilaterala organisationer och rapportera om de uppföljningsåtgärder som vidtagits.</w:t>
      </w:r>
    </w:p>
    <w:p w:rsidR="00DB690F" w:rsidRPr="000A57A6" w:rsidP="00DB690F" w14:paraId="3116A791" w14:textId="3F43372A">
      <w:pPr>
        <w:pStyle w:val="NormalHanging12a"/>
      </w:pPr>
      <w:r w:rsidRPr="000A57A6">
        <w:t>46</w:t>
      </w:r>
      <w:r w:rsidRPr="000A57A6">
        <w:t>.</w:t>
      </w:r>
      <w:r w:rsidRPr="000A57A6">
        <w:tab/>
        <w:t xml:space="preserve">Europaparlamentet är medvetet om att förordning (EG) nr </w:t>
      </w:r>
      <w:r w:rsidRPr="000A57A6">
        <w:t>1049</w:t>
      </w:r>
      <w:r w:rsidRPr="000A57A6">
        <w:t>/</w:t>
      </w:r>
      <w:r w:rsidRPr="000A57A6">
        <w:t>2001</w:t>
      </w:r>
      <w:r>
        <w:rPr>
          <w:rStyle w:val="FootnoteReference"/>
        </w:rPr>
        <w:footnoteReference w:id="6"/>
      </w:r>
      <w:r w:rsidRPr="000A57A6">
        <w:t xml:space="preserve"> inte formellt är tillämplig på EIB och att EIB:s öppenhetspolitik, som bygger på antagandet att all information ska offentliggöras, är avsedd att fungera separat från, men anpassad till, denna förordning. Parlamentet uppmanar EIB att i samband med sin översyn av öppenhetspolitiken </w:t>
      </w:r>
      <w:r w:rsidRPr="000A57A6">
        <w:t>2026</w:t>
      </w:r>
      <w:r w:rsidRPr="000A57A6">
        <w:t xml:space="preserve"> begränsa undantagen från ”antagandet att all information ska offentliggöras” till strikt nödvändiga och motiverade fall. Parlamentet uppmanar EIB att offentliggöra mer detaljerade protokoll från sina styrelsemöten, inbegripet omröstningsprotokoll och projektspecifika motiveringar, samtidigt som legitim konfidentialitet respekteras när så är nödvändigt.</w:t>
      </w:r>
    </w:p>
    <w:p w:rsidR="00DB690F" w:rsidRPr="000A57A6" w:rsidP="00DB690F" w14:paraId="4D27231E" w14:textId="5EE0C5B0">
      <w:pPr>
        <w:pStyle w:val="NormalHanging12a"/>
      </w:pPr>
      <w:r w:rsidRPr="000A57A6">
        <w:t>47</w:t>
      </w:r>
      <w:r w:rsidRPr="000A57A6">
        <w:t>.</w:t>
      </w:r>
      <w:r w:rsidRPr="000A57A6">
        <w:tab/>
        <w:t>Europaparlamentet noterar det ökande antalet ärenden som hanteras av EIB:s mekanism för klagomålshantering (</w:t>
      </w:r>
      <w:r w:rsidRPr="000A57A6">
        <w:t>113</w:t>
      </w:r>
      <w:r w:rsidRPr="000A57A6">
        <w:t xml:space="preserve"> ärenden under </w:t>
      </w:r>
      <w:r w:rsidRPr="000A57A6">
        <w:t>2024</w:t>
      </w:r>
      <w:r w:rsidRPr="000A57A6">
        <w:t xml:space="preserve">, </w:t>
      </w:r>
      <w:r w:rsidRPr="000A57A6">
        <w:t>104</w:t>
      </w:r>
      <w:r w:rsidRPr="000A57A6">
        <w:t xml:space="preserve"> under </w:t>
      </w:r>
      <w:r w:rsidRPr="000A57A6">
        <w:t>2023</w:t>
      </w:r>
      <w:r w:rsidRPr="000A57A6">
        <w:t xml:space="preserve"> och </w:t>
      </w:r>
      <w:r w:rsidRPr="000A57A6">
        <w:t>97</w:t>
      </w:r>
      <w:r w:rsidRPr="000A57A6">
        <w:t xml:space="preserve"> under </w:t>
      </w:r>
      <w:r w:rsidRPr="000A57A6">
        <w:t>2022</w:t>
      </w:r>
      <w:r w:rsidRPr="000A57A6">
        <w:t>). Parlamentet betonar att mekanismen för klagomålshantering fortfarande är en självrefererande tvistlösningsprocess som är helt integrerad i EIB:s struktur på bekostnad av dess oberoende, vars slutsatser är föremål för granskning och godkännande av samma ledningsstrukturer som den är tänkt att granska. Parlamentet noterar att utnämningar görs internt utan extern tillsyn. Parlamentet beklagar att mekanismen inte rapporterar enskilda fall till styrelsen utan endast sammanfattar dem i halvårsvisa rapporter. Parlamentet uppmanar EIB att reformera mekanismen för klagomålshantering för att säkerställa verkligt oberoende och extern ansvarsskyldighet.</w:t>
      </w:r>
    </w:p>
    <w:p w:rsidR="00DB690F" w:rsidRPr="000A57A6" w:rsidP="00DB690F" w14:paraId="717B0DA3" w14:textId="003213AB">
      <w:pPr>
        <w:pStyle w:val="NormalHanging12a"/>
      </w:pPr>
      <w:r w:rsidRPr="000A57A6">
        <w:t>48</w:t>
      </w:r>
      <w:r w:rsidRPr="000A57A6">
        <w:t>.</w:t>
      </w:r>
      <w:r w:rsidRPr="000A57A6">
        <w:tab/>
        <w:t xml:space="preserve">Europaparlamentet noterar den ökade arbetsbördan för utredningsavdelningen under </w:t>
      </w:r>
      <w:r w:rsidRPr="000A57A6">
        <w:t>2024</w:t>
      </w:r>
      <w:r w:rsidRPr="000A57A6">
        <w:t xml:space="preserve"> (</w:t>
      </w:r>
      <w:r w:rsidRPr="000A57A6">
        <w:t>244</w:t>
      </w:r>
      <w:r w:rsidRPr="000A57A6">
        <w:t xml:space="preserve"> nya anklagelser, av vilka </w:t>
      </w:r>
      <w:r w:rsidRPr="000A57A6">
        <w:t>49</w:t>
      </w:r>
      <w:r w:rsidRPr="000A57A6">
        <w:t xml:space="preserve"> hänsköts till Olaf och </w:t>
      </w:r>
      <w:r w:rsidRPr="000A57A6">
        <w:t>Eppo</w:t>
      </w:r>
      <w:r w:rsidRPr="000A57A6">
        <w:t>). Parlamentet beklagar att utredningsavdelningens årsrapport fortfarande saknar tillräcklig information om den finansiella storleken, berörda medel och mandat, projekttyper, riskreducerande åtgärder och berörda medlemsstater. Parlamentet uppmanar återigen EIB:s generalinspektör och chefen för utredningsavdelningen att förbättra uppgifternas kvalitet och samarbeta med parlamentet för att bättre bidra till skyddet av de berörda ekonomiska intressena och eftersträva en lämplig balans mellan transparens och konfidentialitet. Parlamentet betonar att en sådan rapportering bör omfatta en orsaksanalys för att fastställa om misslyckanden beror på otillräcklig tillbörlig aktsamhet, externa faktorer eller systemproblem i projekturvalet.</w:t>
      </w:r>
    </w:p>
    <w:p w:rsidR="00DB690F" w:rsidRPr="000A57A6" w:rsidP="00DB690F" w14:paraId="18C71AF5" w14:textId="058C8E76">
      <w:pPr>
        <w:pStyle w:val="NormalHanging12a"/>
      </w:pPr>
      <w:r w:rsidRPr="000A57A6">
        <w:t>49</w:t>
      </w:r>
      <w:r w:rsidRPr="000A57A6">
        <w:t>.</w:t>
      </w:r>
      <w:r w:rsidRPr="000A57A6">
        <w:tab/>
        <w:t xml:space="preserve">Europaparlamentet välkomnar EIB-gruppens samarbete med Olaf, </w:t>
      </w:r>
      <w:r w:rsidRPr="000A57A6">
        <w:t>Eppo</w:t>
      </w:r>
      <w:r w:rsidRPr="000A57A6">
        <w:t xml:space="preserve"> och Europol och noterar dess rapporterade </w:t>
      </w:r>
      <w:r w:rsidRPr="000A57A6">
        <w:t>29</w:t>
      </w:r>
      <w:r w:rsidRPr="000A57A6">
        <w:t xml:space="preserve"> hänskjutna ärenden till Olaf och </w:t>
      </w:r>
      <w:r w:rsidRPr="000A57A6">
        <w:t>20</w:t>
      </w:r>
      <w:r w:rsidRPr="000A57A6">
        <w:t xml:space="preserve"> hänskjutna ärenden till </w:t>
      </w:r>
      <w:r w:rsidRPr="000A57A6">
        <w:t>Eppo</w:t>
      </w:r>
      <w:r w:rsidRPr="000A57A6">
        <w:t xml:space="preserve"> under </w:t>
      </w:r>
      <w:r w:rsidRPr="000A57A6">
        <w:t>2024</w:t>
      </w:r>
      <w:r w:rsidRPr="000A57A6">
        <w:t xml:space="preserve">. Parlamentet välkomnar EIB:s intresse för att få tillgång till kommissionens riskbedömningsverktyg </w:t>
      </w:r>
      <w:r w:rsidRPr="000A57A6">
        <w:t>Arachne</w:t>
      </w:r>
      <w:r w:rsidRPr="000A57A6">
        <w:t>. Parlamentet uppmanar kommissionen att utan dröjsmål underlätta sådan tillgång, i syfte att stärka upptäckten och förebyggandet av bedrägerier i alla EIB:s transaktioner.</w:t>
      </w:r>
    </w:p>
    <w:p w:rsidR="00DB690F" w:rsidRPr="000A57A6" w:rsidP="00DB690F" w14:paraId="2961DC7B" w14:textId="3316E96C">
      <w:pPr>
        <w:pStyle w:val="NormalHanging12a"/>
      </w:pPr>
      <w:r w:rsidRPr="000A57A6">
        <w:t>50</w:t>
      </w:r>
      <w:r w:rsidRPr="000A57A6">
        <w:t>.</w:t>
      </w:r>
      <w:r w:rsidRPr="000A57A6">
        <w:tab/>
        <w:t>Europaparlamentet noterar med oro att EIB:s autonoma uteslutningssystem och kommissionens system för tidig upptäckt och uteslutning (</w:t>
      </w:r>
      <w:r w:rsidRPr="000A57A6">
        <w:t>Edes</w:t>
      </w:r>
      <w:r w:rsidRPr="000A57A6">
        <w:t xml:space="preserve">) inte är helt likvärdiga och inte fungerar med automatisk ömsesidighet. Parlamentet uppmanar EIB att fullt ut anpassa sin uteslutningspolicy till kommissionens </w:t>
      </w:r>
      <w:r w:rsidRPr="000A57A6">
        <w:t>Edes</w:t>
      </w:r>
      <w:r w:rsidRPr="000A57A6">
        <w:t xml:space="preserve"> när det gäller standarder för beslutsfattande, resultat och rättsmedel, inbegripet systematiskt ömsesidigt erkännande av beslut om uteslutning där detta är rättsligt möjligt. Parlamentet upprepar sin uppmaning till EIB-gruppen och kommissionen att samarbeta för att identifiera potentiella luckor och föreslå korrigerande åtgärder, inbegripet ett påskyndat förfarande för att verkställa EIB:s beslut om uteslutning via </w:t>
      </w:r>
      <w:r w:rsidRPr="000A57A6">
        <w:t>Edes</w:t>
      </w:r>
      <w:r w:rsidRPr="000A57A6">
        <w:t>.</w:t>
      </w:r>
    </w:p>
    <w:p w:rsidR="00DB690F" w:rsidRPr="000A57A6" w:rsidP="00DB690F" w14:paraId="2A542C5B" w14:textId="18BDFB30">
      <w:pPr>
        <w:pStyle w:val="NormalHanging12a"/>
      </w:pPr>
      <w:r w:rsidRPr="000A57A6">
        <w:t>51</w:t>
      </w:r>
      <w:r w:rsidRPr="000A57A6">
        <w:t>.</w:t>
      </w:r>
      <w:r w:rsidRPr="000A57A6">
        <w:tab/>
        <w:t xml:space="preserve">Europaparlamentet välkomnar EIB:s program för efterlevnad av sanktioner och efterlyser regelbunden rapportering om sanktionskontroller och skyddsåtgärder mot kringgående i EIB-finansierad verksamhet. Parlamentet uppmanar EIB-gruppen att förbättra granskningsförfarandena för kapitalinvesteringar som görs via finansiella </w:t>
      </w:r>
      <w:r w:rsidRPr="000A57A6">
        <w:t>intermediärer</w:t>
      </w:r>
      <w:r w:rsidRPr="000A57A6">
        <w:t>, inbegripet riskkapitalfonder.</w:t>
      </w:r>
    </w:p>
    <w:p w:rsidR="00DB690F" w:rsidRPr="000A57A6" w:rsidP="00DB690F" w14:paraId="7A367872" w14:textId="10A81E14">
      <w:pPr>
        <w:pStyle w:val="NormalHanging12a"/>
      </w:pPr>
      <w:r w:rsidRPr="000A57A6">
        <w:t>52</w:t>
      </w:r>
      <w:r w:rsidRPr="000A57A6">
        <w:t>.</w:t>
      </w:r>
      <w:r w:rsidRPr="000A57A6">
        <w:tab/>
        <w:t xml:space="preserve">Europaparlamentet noterar att EIB den </w:t>
      </w:r>
      <w:r w:rsidRPr="000A57A6">
        <w:t>10</w:t>
      </w:r>
      <w:r w:rsidRPr="000A57A6">
        <w:t xml:space="preserve"> juni </w:t>
      </w:r>
      <w:r w:rsidRPr="000A57A6">
        <w:t>2024</w:t>
      </w:r>
      <w:r w:rsidRPr="000A57A6">
        <w:t xml:space="preserve"> offentliggjorde bilaga XII till tjänsteföreskrifterna med en ram för erkännande av fackföreningar vid Europeiska investeringsbanken. Parlamentet noterar EIB:s pågående insatser för personalens välbefinnande, inbegripet psykisk hälsa, och lika möjligheter. Parlamentet uppmanar EIB att stärka politiken för mångfald och inkludering, inbegripet åtgärder för </w:t>
      </w:r>
      <w:r w:rsidRPr="000A57A6">
        <w:t>inkludering av personer med funktionsnedsättning och lika möjligheter. Parlamentet påminner om vikten av rättvis geografisk representation och jämn könsfördelning vid rekrytering och i ledande befattningar, och bekräftar samtidigt att meritbaserat urval bör vara det främsta kriteriet, och uppmanar EIB att rapportera om geografisk representation och könsrepresentation på alla nivåer.</w:t>
      </w:r>
    </w:p>
    <w:p w:rsidR="00DB690F" w:rsidRPr="000A57A6" w:rsidP="00DB690F" w14:paraId="16B7A201" w14:textId="76B752D4">
      <w:pPr>
        <w:pStyle w:val="NormalHanging12a"/>
      </w:pPr>
      <w:r w:rsidRPr="000A57A6">
        <w:t>53</w:t>
      </w:r>
      <w:r w:rsidRPr="000A57A6">
        <w:t>.</w:t>
      </w:r>
      <w:r w:rsidRPr="000A57A6">
        <w:tab/>
        <w:t>Europaparlamentet påminner om vikten av skydd för visselblåsare och starka ramar för korruptionsbekämpning.</w:t>
      </w:r>
    </w:p>
    <w:p w:rsidR="00DB690F" w:rsidRPr="000A57A6" w:rsidP="00DB690F" w14:paraId="1DCECC1E" w14:textId="77777777">
      <w:pPr>
        <w:pStyle w:val="Normal12a"/>
      </w:pPr>
      <w:r w:rsidRPr="000A57A6">
        <w:rPr>
          <w:b/>
          <w:i/>
        </w:rPr>
        <w:t>Transparens, granskning och tillsyn</w:t>
      </w:r>
    </w:p>
    <w:p w:rsidR="00DB690F" w:rsidRPr="000A57A6" w:rsidP="00DB690F" w14:paraId="217966E1" w14:textId="1307D3A4">
      <w:pPr>
        <w:pStyle w:val="NormalHanging12a"/>
      </w:pPr>
      <w:r w:rsidRPr="000A57A6">
        <w:t>54</w:t>
      </w:r>
      <w:r w:rsidRPr="000A57A6">
        <w:t>.</w:t>
      </w:r>
      <w:r w:rsidRPr="000A57A6">
        <w:tab/>
        <w:t>Europaparlamentet konstaterar att de huvudsakliga relevanta revisionsuppgifterna anförtros EIB:s revisionskommitté. Parlamentet anser att kvalificerade externa företrädares deltagande i särskilda uppgifter i revisionskommittén skulle kunna öka objektiviteten i revisionskommitténs analyser.</w:t>
      </w:r>
    </w:p>
    <w:p w:rsidR="00DB690F" w:rsidRPr="000A57A6" w:rsidP="00DB690F" w14:paraId="496C8042" w14:textId="1D34484E">
      <w:pPr>
        <w:pStyle w:val="NormalHanging12a"/>
      </w:pPr>
      <w:r w:rsidRPr="000A57A6">
        <w:t>55</w:t>
      </w:r>
      <w:r w:rsidRPr="000A57A6">
        <w:t>.</w:t>
      </w:r>
      <w:r w:rsidRPr="000A57A6">
        <w:tab/>
        <w:t xml:space="preserve">Europaparlamentet noterar att transparensen och tillgången till information har förbättrats under de senaste åren, såsom insatser för att förbättra dokumentationen av beslutsfattandet, inbegripet angivande av nödvändiga majoriteter i förekommande fall. Parlamentet konstaterar att tillhandahållandet av upplysningar på projektnivå och spårbarheten fortfarande varierar, särskilt i fråga om transaktioner som involverar finansiella </w:t>
      </w:r>
      <w:r w:rsidRPr="000A57A6">
        <w:t>intermediärer</w:t>
      </w:r>
      <w:r w:rsidRPr="000A57A6">
        <w:t xml:space="preserve"> och komplexa garantistrukturer. Parlamentet uppmanar EIB att bättre anpassa sina interna indikatorer till EU-omfattande hållbarhetsstandarder (till exempel genom att korrigera diskrepansen mellan måtten för EIB:s andel klimatåtgärder och EU:s andel gröna tillgångar). Parlamentet påminner om att lämplig rapportering är en nödvändig förutsättning för transparens och beklagar att rapporteringen till parlamentet bygger på att EIB:s ordförande deltar frivilligt och vid enstaka tillfällen, antingen i kammaren eller vid ett möte med det utskott som har sektorsspecifika befogenheter.</w:t>
      </w:r>
    </w:p>
    <w:p w:rsidR="00DB690F" w:rsidRPr="000A57A6" w:rsidP="00DB690F" w14:paraId="6281387E" w14:textId="790B21EE">
      <w:pPr>
        <w:pStyle w:val="NormalHanging12a"/>
      </w:pPr>
      <w:r w:rsidRPr="000A57A6">
        <w:t>56</w:t>
      </w:r>
      <w:r w:rsidRPr="000A57A6">
        <w:t>.</w:t>
      </w:r>
      <w:r w:rsidRPr="000A57A6">
        <w:tab/>
        <w:t xml:space="preserve">Europaparlamentet noterar resultaten från </w:t>
      </w:r>
      <w:r w:rsidRPr="000A57A6">
        <w:t>2025</w:t>
      </w:r>
      <w:r w:rsidRPr="000A57A6">
        <w:t xml:space="preserve"> års transparensindex för institutioner för utvecklingsfinansiering, som visar att EIB får lägre poäng än andra multilaterala utvecklingsbanker såsom Världsbanken, Asiatiska utvecklingsbanken och Afrikanska utvecklingsbanken när det gäller övergripande transparensmått. Parlamentet erkänner dock EIB:s betydande styrkor som identifierades i rapporten </w:t>
      </w:r>
      <w:r w:rsidRPr="000A57A6">
        <w:rPr>
          <w:i/>
        </w:rPr>
        <w:t>Behind</w:t>
      </w:r>
      <w:r w:rsidRPr="000A57A6">
        <w:rPr>
          <w:i/>
        </w:rPr>
        <w:t xml:space="preserve"> the Billions</w:t>
      </w:r>
      <w:r>
        <w:rPr>
          <w:rStyle w:val="FootnoteReference"/>
        </w:rPr>
        <w:footnoteReference w:id="7"/>
      </w:r>
      <w:r w:rsidRPr="000A57A6">
        <w:t xml:space="preserve"> från november </w:t>
      </w:r>
      <w:r w:rsidRPr="000A57A6">
        <w:t>2025</w:t>
      </w:r>
      <w:r w:rsidRPr="000A57A6">
        <w:t>, som betecknar EIB:s offentliggörande som ”god praxis” för att tillhandahålla nästan fullständig spårbarhet för dess klimatfinansiering. Parlamentet betonar att EIB nu bör utnyttja sitt påvisade ledarskap när det gäller datatäckning för att tillhandahålla de detaljerade effektdata och standardiserade metoder som krävs för att kontrollera att dess investeringar är effektiva och ger valuta för pengarna.</w:t>
      </w:r>
    </w:p>
    <w:p w:rsidR="00DB690F" w:rsidRPr="000A57A6" w:rsidP="00DB690F" w14:paraId="126135C8" w14:textId="414B46CC">
      <w:pPr>
        <w:pStyle w:val="NormalHanging12a"/>
      </w:pPr>
      <w:r w:rsidRPr="000A57A6">
        <w:t>57</w:t>
      </w:r>
      <w:r w:rsidRPr="000A57A6">
        <w:t>.</w:t>
      </w:r>
      <w:r w:rsidRPr="000A57A6">
        <w:tab/>
        <w:t xml:space="preserve">Europaparlamentet är medvetet om att EIB-lån inte omfattas av samma krav på synlighet som bidrag. Parlamentet uppmanar dock EIB att se till att de tillämpliga avtalsmässiga och rättsliga ramarna ger transparens när det gäller alla projekt som finansieras med stöd från EIB och en tydlig indikation på att de finansieras med stöd av medlemsstaternas medborgare, för att öka allmänhetens medvetenhet om de konkreta </w:t>
      </w:r>
      <w:r w:rsidRPr="000A57A6">
        <w:t>fördelarna med EU-investeringar och stärka skattebetalarnas förtroende för användningen av offentliga medel.</w:t>
      </w:r>
    </w:p>
    <w:p w:rsidR="00DB690F" w:rsidRPr="000A57A6" w:rsidP="00DB690F" w14:paraId="365904BC" w14:textId="00C6F7EC">
      <w:pPr>
        <w:pStyle w:val="NormalHanging12a"/>
      </w:pPr>
      <w:r w:rsidRPr="000A57A6">
        <w:t>58</w:t>
      </w:r>
      <w:r w:rsidRPr="000A57A6">
        <w:t>.</w:t>
      </w:r>
      <w:r w:rsidRPr="000A57A6">
        <w:tab/>
        <w:t xml:space="preserve">Europaparlamentet upprepar sina iakttagelser om vikten av att fullt ut genomföra en politik för bekämpning av skattebedrägeri, skatteundandragande och skatteflykt. Parlamentet välkomnar testningen av ett nytt riskvärderingsverktyg för skatteintegritet under </w:t>
      </w:r>
      <w:r w:rsidRPr="000A57A6">
        <w:t>2024</w:t>
      </w:r>
      <w:r w:rsidRPr="000A57A6">
        <w:t xml:space="preserve"> för att bedöma skatterisker i projekt och ser fram emot att bedöma genomförandet i hela gruppen under </w:t>
      </w:r>
      <w:r w:rsidRPr="000A57A6">
        <w:t>2025</w:t>
      </w:r>
      <w:r w:rsidRPr="000A57A6">
        <w:t xml:space="preserve">. Parlamentet upprepar sin uppmaning till EIB att avstå från att finansiera stödmottagare eller finansiella </w:t>
      </w:r>
      <w:r w:rsidRPr="000A57A6">
        <w:t>intermediärer</w:t>
      </w:r>
      <w:r w:rsidRPr="000A57A6">
        <w:t xml:space="preserve"> som har konstaterats vara, eller löper hög risk att vara, inblandade i skattemissbruk, och understryker att dubbelbeskattning av gränsöverskridande investeringar, liksom komplexa </w:t>
      </w:r>
      <w:r w:rsidRPr="000A57A6">
        <w:t>skattemiljöer</w:t>
      </w:r>
      <w:r w:rsidRPr="000A57A6">
        <w:t>, begränsar investeringar.</w:t>
      </w:r>
    </w:p>
    <w:p w:rsidR="00DB690F" w:rsidRPr="000A57A6" w:rsidP="00DB690F" w14:paraId="10177A4A" w14:textId="1C969440">
      <w:pPr>
        <w:pStyle w:val="NormalHanging12a"/>
      </w:pPr>
      <w:r w:rsidRPr="000A57A6">
        <w:t>59</w:t>
      </w:r>
      <w:r w:rsidRPr="000A57A6">
        <w:t>.</w:t>
      </w:r>
      <w:r w:rsidRPr="000A57A6">
        <w:tab/>
        <w:t xml:space="preserve">Europaparlamentet beklagar EIB:s dröjsmål med att följa upp parlamentets årsrapport om kontrollen av dess finansiella verksamhet för </w:t>
      </w:r>
      <w:r w:rsidRPr="000A57A6">
        <w:t>2023</w:t>
      </w:r>
      <w:r>
        <w:rPr>
          <w:rStyle w:val="FootnoteReference"/>
        </w:rPr>
        <w:footnoteReference w:id="8"/>
      </w:r>
      <w:r w:rsidRPr="000A57A6">
        <w:t xml:space="preserve">, som traditionellt tillhandahålls i linje med praxis från många tidigare år. Parlamentet betonar att ett mer strukturerat och förutsägbart samarbete skulle gynna båda parter. Parlamentet vidhåller att ett samförståndsavtal eller ett interinstitutionellt avtal är avgörande för att upprätta ett sådant samarbete om informationsutbyte, utfrågningar och uppföljning, som formellt skulle införa den praxis som i stor utsträckning redan etablerats med EIB. Parlamentet välkomnar EIB:s uttalade villighet att inleda en dialog för att säkerställa att samarbetet bygger på förutsägbara institutionella åtaganden snarare än på informella arrangemang. Parlamentet upprepar sitt krav på att detta arrangemang ska slutföras snabbt. Parlamentet efterlyser ytterligare sätt att förbättra samordningen mellan parlamentet, de nationella parlamenten och de högsta revisionsorganen och ett ökat utbyte med det civila samhället och den akademiska världen, vilket skulle främja större transparens. </w:t>
      </w:r>
    </w:p>
    <w:p w:rsidR="00DB690F" w:rsidRPr="000A57A6" w:rsidP="00DB690F" w14:paraId="6FBB2220" w14:textId="77777777">
      <w:pPr>
        <w:pStyle w:val="Normal12a"/>
      </w:pPr>
      <w:r w:rsidRPr="000A57A6">
        <w:rPr>
          <w:b/>
          <w:i/>
        </w:rPr>
        <w:t>Uppföljning av parlamentets rekommendationer</w:t>
      </w:r>
    </w:p>
    <w:p w:rsidR="00D058C7" w:rsidRPr="000A57A6" w:rsidP="002E03D4" w14:paraId="47DD46B3" w14:textId="57C20A74">
      <w:pPr>
        <w:pStyle w:val="NormalHanging12a"/>
        <w:ind w:left="567" w:hanging="567"/>
      </w:pPr>
      <w:r w:rsidRPr="000A57A6">
        <w:t>60</w:t>
      </w:r>
      <w:r w:rsidRPr="000A57A6" w:rsidR="00DB690F">
        <w:t>.</w:t>
      </w:r>
      <w:r w:rsidRPr="000A57A6" w:rsidR="00DB690F">
        <w:tab/>
        <w:t>Europaparlamentet uppmanar med kraft EIB att i god tid följa upp parlamentets rekommendationer och rapportera om de resultat som uppnåtts och om effekterna av de åtgärder som vidtagits för att genomföra dess prioriteringar och EU:s politik, med särskild hänsyn till</w:t>
      </w:r>
    </w:p>
    <w:p w:rsidR="00D058C7" w:rsidRPr="000A57A6" w:rsidP="004E6CC6" w14:paraId="7266BD21" w14:textId="47C8F9AD">
      <w:pPr>
        <w:pStyle w:val="NormalHanging12a"/>
        <w:ind w:left="1134" w:hanging="567"/>
      </w:pPr>
      <w:r w:rsidRPr="000A57A6">
        <w:t>a)</w:t>
      </w:r>
      <w:r w:rsidRPr="000A57A6">
        <w:tab/>
      </w:r>
      <w:r w:rsidRPr="000A57A6" w:rsidR="00DB690F">
        <w:t>effekten (ekonomisk, miljömässig och social) av investeringsstrategin och de resultat som har uppnåtts för att bidra till en balanserad och stadig utveckling av den inre marknaden i EU:s intresse,</w:t>
      </w:r>
      <w:r w:rsidRPr="000A57A6">
        <w:t xml:space="preserve"> </w:t>
      </w:r>
    </w:p>
    <w:p w:rsidR="00D058C7" w:rsidRPr="000A57A6" w:rsidP="004E6CC6" w14:paraId="37726375" w14:textId="3C7B4989">
      <w:pPr>
        <w:pStyle w:val="NormalHanging12a"/>
        <w:ind w:left="1134" w:hanging="567"/>
      </w:pPr>
      <w:r w:rsidRPr="000A57A6">
        <w:t>b)</w:t>
      </w:r>
      <w:r w:rsidRPr="000A57A6" w:rsidR="002E03D4">
        <w:tab/>
      </w:r>
      <w:r w:rsidRPr="000A57A6">
        <w:t>åtgärder som antagits för att förbättra förebyggandet och motverkandet av intressekonflikter, bedrägerier, korruption och andra potentiella former av misskötsamhet,</w:t>
      </w:r>
    </w:p>
    <w:p w:rsidR="00D058C7" w:rsidRPr="000A57A6" w:rsidP="004E6CC6" w14:paraId="3F699FCF" w14:textId="5FE9480C">
      <w:pPr>
        <w:pStyle w:val="NormalHanging12a"/>
        <w:ind w:left="1134" w:hanging="567"/>
      </w:pPr>
      <w:r w:rsidRPr="000A57A6">
        <w:t>c)</w:t>
      </w:r>
      <w:r w:rsidRPr="000A57A6" w:rsidR="002E03D4">
        <w:tab/>
      </w:r>
      <w:r w:rsidRPr="000A57A6">
        <w:t>nya åtgärder för att stärka transparensen,</w:t>
      </w:r>
    </w:p>
    <w:p w:rsidR="00DB690F" w:rsidRPr="000A57A6" w:rsidP="004E6CC6" w14:paraId="79191D22" w14:textId="137DCCED">
      <w:pPr>
        <w:pStyle w:val="NormalHanging12a"/>
        <w:ind w:left="1134" w:hanging="567"/>
      </w:pPr>
      <w:r w:rsidRPr="000A57A6">
        <w:t>d)</w:t>
      </w:r>
      <w:r w:rsidRPr="000A57A6" w:rsidR="002E03D4">
        <w:tab/>
      </w:r>
      <w:r w:rsidRPr="000A57A6">
        <w:t>åtgärder för att stärka stödet till små och medelstora företag och stödberättigade ekonomiska aktörer under genomförandet av EU:s politik.</w:t>
      </w:r>
    </w:p>
    <w:p w:rsidR="00DB690F" w:rsidRPr="000A57A6" w:rsidP="00DB690F" w14:paraId="537F96C3" w14:textId="77777777">
      <w:pPr>
        <w:pStyle w:val="NormalCenter12a"/>
      </w:pPr>
      <w:r w:rsidRPr="000A57A6">
        <w:t>°</w:t>
      </w:r>
    </w:p>
    <w:p w:rsidR="00DB690F" w:rsidRPr="000A57A6" w:rsidP="00DB690F" w14:paraId="60C7A8F4" w14:textId="77777777">
      <w:pPr>
        <w:pStyle w:val="NormalCenter12a"/>
      </w:pPr>
      <w:r w:rsidRPr="000A57A6">
        <w:t>°</w:t>
      </w:r>
      <w:r w:rsidRPr="000A57A6">
        <w:tab/>
        <w:t>°</w:t>
      </w:r>
    </w:p>
    <w:p w:rsidR="00402ACB" w:rsidRPr="00402ACB" w:rsidP="00402ACB" w14:paraId="66A98AFB" w14:textId="6225195F">
      <w:pPr>
        <w:pStyle w:val="NormalHanging12a"/>
      </w:pPr>
      <w:r w:rsidRPr="000A57A6">
        <w:t>61</w:t>
      </w:r>
      <w:r w:rsidRPr="000A57A6" w:rsidR="00DB690F">
        <w:t>.</w:t>
      </w:r>
      <w:r w:rsidRPr="000A57A6" w:rsidR="00DB690F">
        <w:tab/>
        <w:t>Europaparlamentet uppdrar åt talmannen att översända denna resolution till rådet och kommissionen och uppmanar rådet och EIB:s styrelse att hålla en debatt om parlamentets framlagda ståndpunkter i denna resolution.</w:t>
      </w:r>
    </w:p>
    <w:p w:rsidR="00E365E1" w:rsidRPr="00402ACB" w:rsidP="007C5537" w14:paraId="39168CCB" w14:textId="6B499419"/>
    <w:sectPr w:rsidSect="00402ACB">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02ACB" w14:paraId="3149C30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02ACB" w14:paraId="3EAA193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02ACB" w14:paraId="4E49193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C5537" w:rsidRPr="00402ACB" w14:paraId="039FAC4C" w14:textId="77777777">
      <w:r w:rsidRPr="00402ACB">
        <w:separator/>
      </w:r>
    </w:p>
  </w:footnote>
  <w:footnote w:type="continuationSeparator" w:id="1">
    <w:p w:rsidR="007C5537" w:rsidRPr="00402ACB" w14:paraId="1360F281" w14:textId="77777777">
      <w:r w:rsidRPr="00402ACB">
        <w:continuationSeparator/>
      </w:r>
    </w:p>
  </w:footnote>
  <w:footnote w:id="2">
    <w:p w:rsidR="00FA2BCF" w:rsidRPr="004E6CC6" w:rsidP="00402ACB" w14:paraId="2E658259" w14:textId="29DBC4F0">
      <w:pPr>
        <w:pStyle w:val="FootnoteText"/>
        <w:ind w:left="567" w:hanging="567"/>
        <w:rPr>
          <w:sz w:val="24"/>
          <w:lang w:val="fi-FI"/>
        </w:rPr>
      </w:pPr>
      <w:r w:rsidRPr="000A57A6">
        <w:rPr>
          <w:rStyle w:val="FootnoteReference"/>
        </w:rPr>
        <w:footnoteRef/>
      </w:r>
      <w:r w:rsidRPr="004E6CC6">
        <w:rPr>
          <w:sz w:val="24"/>
          <w:vertAlign w:val="superscript"/>
          <w:lang w:val="fi-FI"/>
        </w:rPr>
        <w:t xml:space="preserve"> </w:t>
      </w:r>
      <w:r w:rsidRPr="004E6CC6">
        <w:rPr>
          <w:sz w:val="24"/>
          <w:vertAlign w:val="superscript"/>
          <w:lang w:val="fi-FI"/>
        </w:rPr>
        <w:tab/>
      </w:r>
      <w:r w:rsidRPr="004E6CC6">
        <w:rPr>
          <w:sz w:val="24"/>
          <w:lang w:val="fi-FI"/>
        </w:rPr>
        <w:t xml:space="preserve">EUT L, 2025/504, 14.3.2025, ELI: </w:t>
      </w:r>
      <w:hyperlink r:id="rId1" w:tgtFrame="http://data.europa.eu/eli/dec/2025/504/oj" w:history="1">
        <w:r w:rsidRPr="004E6CC6">
          <w:rPr>
            <w:rStyle w:val="Hyperlink"/>
            <w:sz w:val="24"/>
            <w:lang w:val="fi-FI"/>
          </w:rPr>
          <w:t>http://data.europa.eu/eli/dec/2025/504/oj</w:t>
        </w:r>
      </w:hyperlink>
      <w:r w:rsidRPr="004E6CC6">
        <w:rPr>
          <w:sz w:val="24"/>
          <w:lang w:val="fi-FI"/>
        </w:rPr>
        <w:t>.</w:t>
      </w:r>
    </w:p>
  </w:footnote>
  <w:footnote w:id="3">
    <w:p w:rsidR="00FA2BCF" w:rsidRPr="004E6CC6" w:rsidP="00402ACB" w14:paraId="769348F0" w14:textId="4E5A1E30">
      <w:pPr>
        <w:pStyle w:val="FootnoteText"/>
        <w:ind w:left="567" w:hanging="567"/>
        <w:rPr>
          <w:sz w:val="24"/>
          <w:lang w:val="fi-FI"/>
        </w:rPr>
      </w:pPr>
      <w:r w:rsidRPr="000A57A6">
        <w:rPr>
          <w:rStyle w:val="FootnoteReference"/>
        </w:rPr>
        <w:footnoteRef/>
      </w:r>
      <w:r w:rsidRPr="004E6CC6">
        <w:rPr>
          <w:sz w:val="24"/>
          <w:vertAlign w:val="superscript"/>
          <w:lang w:val="fi-FI"/>
        </w:rPr>
        <w:t xml:space="preserve"> </w:t>
      </w:r>
      <w:r w:rsidRPr="004E6CC6">
        <w:rPr>
          <w:sz w:val="24"/>
          <w:vertAlign w:val="superscript"/>
          <w:lang w:val="fi-FI"/>
        </w:rPr>
        <w:tab/>
      </w:r>
      <w:r w:rsidRPr="004E6CC6">
        <w:rPr>
          <w:sz w:val="24"/>
          <w:lang w:val="fi-FI"/>
        </w:rPr>
        <w:t>Europeiska</w:t>
      </w:r>
      <w:r w:rsidRPr="004E6CC6">
        <w:rPr>
          <w:sz w:val="24"/>
          <w:lang w:val="fi-FI"/>
        </w:rPr>
        <w:t xml:space="preserve"> </w:t>
      </w:r>
      <w:r w:rsidRPr="004E6CC6">
        <w:rPr>
          <w:sz w:val="24"/>
          <w:lang w:val="fi-FI"/>
        </w:rPr>
        <w:t>kommissionen</w:t>
      </w:r>
      <w:r w:rsidRPr="004E6CC6">
        <w:rPr>
          <w:sz w:val="24"/>
          <w:lang w:val="fi-FI"/>
        </w:rPr>
        <w:t xml:space="preserve">: </w:t>
      </w:r>
      <w:r w:rsidRPr="004E6CC6">
        <w:rPr>
          <w:sz w:val="24"/>
          <w:lang w:val="fi-FI"/>
        </w:rPr>
        <w:t>generaldirektoratet</w:t>
      </w:r>
      <w:r w:rsidRPr="004E6CC6">
        <w:rPr>
          <w:sz w:val="24"/>
          <w:lang w:val="fi-FI"/>
        </w:rPr>
        <w:t xml:space="preserve"> för </w:t>
      </w:r>
      <w:r w:rsidRPr="004E6CC6">
        <w:rPr>
          <w:sz w:val="24"/>
          <w:lang w:val="fi-FI"/>
        </w:rPr>
        <w:t>försvarsindustri</w:t>
      </w:r>
      <w:r w:rsidRPr="004E6CC6">
        <w:rPr>
          <w:sz w:val="24"/>
          <w:lang w:val="fi-FI"/>
        </w:rPr>
        <w:t xml:space="preserve"> </w:t>
      </w:r>
      <w:r w:rsidRPr="004E6CC6">
        <w:rPr>
          <w:sz w:val="24"/>
          <w:lang w:val="fi-FI"/>
        </w:rPr>
        <w:t>och</w:t>
      </w:r>
      <w:r w:rsidRPr="004E6CC6">
        <w:rPr>
          <w:sz w:val="24"/>
          <w:lang w:val="fi-FI"/>
        </w:rPr>
        <w:t xml:space="preserve"> </w:t>
      </w:r>
      <w:r w:rsidRPr="004E6CC6">
        <w:rPr>
          <w:sz w:val="24"/>
          <w:lang w:val="fi-FI"/>
        </w:rPr>
        <w:t>rymdfrågor</w:t>
      </w:r>
      <w:r w:rsidRPr="004E6CC6">
        <w:rPr>
          <w:sz w:val="24"/>
          <w:lang w:val="fi-FI"/>
        </w:rPr>
        <w:t xml:space="preserve">, </w:t>
      </w:r>
      <w:r w:rsidRPr="004E6CC6">
        <w:rPr>
          <w:i/>
          <w:sz w:val="24"/>
          <w:lang w:val="fi-FI"/>
        </w:rPr>
        <w:t xml:space="preserve">Access to </w:t>
      </w:r>
      <w:r w:rsidRPr="004E6CC6">
        <w:rPr>
          <w:i/>
          <w:sz w:val="24"/>
          <w:lang w:val="fi-FI"/>
        </w:rPr>
        <w:t>equity</w:t>
      </w:r>
      <w:r w:rsidRPr="004E6CC6">
        <w:rPr>
          <w:i/>
          <w:sz w:val="24"/>
          <w:lang w:val="fi-FI"/>
        </w:rPr>
        <w:t xml:space="preserve"> </w:t>
      </w:r>
      <w:r w:rsidRPr="004E6CC6">
        <w:rPr>
          <w:i/>
          <w:sz w:val="24"/>
          <w:lang w:val="fi-FI"/>
        </w:rPr>
        <w:t>financing</w:t>
      </w:r>
      <w:r w:rsidRPr="004E6CC6">
        <w:rPr>
          <w:i/>
          <w:sz w:val="24"/>
          <w:lang w:val="fi-FI"/>
        </w:rPr>
        <w:t xml:space="preserve"> for European </w:t>
      </w:r>
      <w:r w:rsidRPr="004E6CC6">
        <w:rPr>
          <w:i/>
          <w:sz w:val="24"/>
          <w:lang w:val="fi-FI"/>
        </w:rPr>
        <w:t>defence</w:t>
      </w:r>
      <w:r w:rsidRPr="004E6CC6">
        <w:rPr>
          <w:i/>
          <w:sz w:val="24"/>
          <w:lang w:val="fi-FI"/>
        </w:rPr>
        <w:t xml:space="preserve"> </w:t>
      </w:r>
      <w:r w:rsidRPr="004E6CC6">
        <w:rPr>
          <w:i/>
          <w:sz w:val="24"/>
          <w:lang w:val="fi-FI"/>
        </w:rPr>
        <w:t>SMEs</w:t>
      </w:r>
      <w:r w:rsidRPr="004E6CC6">
        <w:rPr>
          <w:sz w:val="24"/>
          <w:lang w:val="fi-FI"/>
        </w:rPr>
        <w:t xml:space="preserve">, </w:t>
      </w:r>
      <w:r w:rsidRPr="004E6CC6">
        <w:rPr>
          <w:sz w:val="24"/>
          <w:lang w:val="fi-FI"/>
        </w:rPr>
        <w:t>Europeiska</w:t>
      </w:r>
      <w:r w:rsidRPr="004E6CC6">
        <w:rPr>
          <w:sz w:val="24"/>
          <w:lang w:val="fi-FI"/>
        </w:rPr>
        <w:t xml:space="preserve"> </w:t>
      </w:r>
      <w:r w:rsidRPr="004E6CC6">
        <w:rPr>
          <w:sz w:val="24"/>
          <w:lang w:val="fi-FI"/>
        </w:rPr>
        <w:t>unionens</w:t>
      </w:r>
      <w:r w:rsidRPr="004E6CC6">
        <w:rPr>
          <w:sz w:val="24"/>
          <w:lang w:val="fi-FI"/>
        </w:rPr>
        <w:t xml:space="preserve"> </w:t>
      </w:r>
      <w:r w:rsidRPr="004E6CC6">
        <w:rPr>
          <w:sz w:val="24"/>
          <w:lang w:val="fi-FI"/>
        </w:rPr>
        <w:t>publikationsbyrå</w:t>
      </w:r>
      <w:r w:rsidRPr="004E6CC6">
        <w:rPr>
          <w:sz w:val="24"/>
          <w:lang w:val="fi-FI"/>
        </w:rPr>
        <w:t xml:space="preserve">, 2024, </w:t>
      </w:r>
      <w:hyperlink r:id="rId2" w:tgtFrame="https://data.europa.eu/doi/10.2889/698738" w:history="1">
        <w:r w:rsidRPr="004E6CC6">
          <w:rPr>
            <w:rStyle w:val="Hyperlink"/>
            <w:sz w:val="24"/>
            <w:lang w:val="fi-FI"/>
          </w:rPr>
          <w:t>https://data.europa.eu/doi/10.2889/698738</w:t>
        </w:r>
      </w:hyperlink>
      <w:r w:rsidRPr="004E6CC6">
        <w:rPr>
          <w:sz w:val="24"/>
          <w:lang w:val="fi-FI"/>
        </w:rPr>
        <w:t>.</w:t>
      </w:r>
    </w:p>
  </w:footnote>
  <w:footnote w:id="4">
    <w:p w:rsidR="00FA2BCF" w:rsidRPr="000A57A6" w:rsidP="00402ACB" w14:paraId="65986ED0" w14:textId="599EB37B">
      <w:pPr>
        <w:pStyle w:val="FootnoteText"/>
        <w:ind w:left="567" w:hanging="567"/>
        <w:rPr>
          <w:sz w:val="24"/>
          <w:lang w:val="fi-FI"/>
        </w:rPr>
      </w:pPr>
      <w:r w:rsidRPr="000A57A6">
        <w:rPr>
          <w:rStyle w:val="FootnoteReference"/>
        </w:rPr>
        <w:footnoteRef/>
      </w:r>
      <w:r w:rsidRPr="004E6CC6">
        <w:rPr>
          <w:sz w:val="24"/>
          <w:vertAlign w:val="superscript"/>
          <w:lang w:val="fi-FI"/>
        </w:rPr>
        <w:t xml:space="preserve"> </w:t>
      </w:r>
      <w:r w:rsidRPr="004E6CC6">
        <w:rPr>
          <w:sz w:val="24"/>
          <w:vertAlign w:val="superscript"/>
          <w:lang w:val="fi-FI"/>
        </w:rPr>
        <w:tab/>
      </w:r>
      <w:r w:rsidRPr="004E6CC6">
        <w:rPr>
          <w:sz w:val="24"/>
          <w:lang w:val="fi-FI"/>
        </w:rPr>
        <w:t xml:space="preserve">EUT C, C/2025/3151, 20.6.2025. </w:t>
      </w:r>
      <w:r w:rsidRPr="000A57A6">
        <w:rPr>
          <w:sz w:val="24"/>
          <w:lang w:val="fi-FI"/>
        </w:rPr>
        <w:t xml:space="preserve">ELI: </w:t>
      </w:r>
      <w:hyperlink r:id="rId3" w:tgtFrame="http://data.europa.eu/eli/C/2025/3151/oj" w:history="1">
        <w:r w:rsidRPr="000A57A6">
          <w:rPr>
            <w:rStyle w:val="Hyperlink"/>
            <w:sz w:val="24"/>
            <w:lang w:val="fi-FI"/>
          </w:rPr>
          <w:t>http://data.europa.eu/eli/C/2025/3151/oj</w:t>
        </w:r>
      </w:hyperlink>
      <w:r w:rsidRPr="000A57A6">
        <w:rPr>
          <w:sz w:val="24"/>
          <w:lang w:val="fi-FI"/>
        </w:rPr>
        <w:t>.</w:t>
      </w:r>
    </w:p>
  </w:footnote>
  <w:footnote w:id="5">
    <w:p w:rsidR="00FA2BCF" w:rsidRPr="000A57A6" w:rsidP="00402ACB" w14:paraId="2A380F23" w14:textId="6DD60936">
      <w:pPr>
        <w:pStyle w:val="FootnoteText"/>
        <w:ind w:left="567" w:hanging="567"/>
        <w:rPr>
          <w:sz w:val="24"/>
          <w:lang w:val="sv-SE"/>
        </w:rPr>
      </w:pPr>
      <w:r w:rsidRPr="000A57A6">
        <w:rPr>
          <w:rStyle w:val="FootnoteReference"/>
        </w:rPr>
        <w:footnoteRef/>
      </w:r>
      <w:r w:rsidRPr="000A57A6">
        <w:rPr>
          <w:sz w:val="24"/>
          <w:vertAlign w:val="superscript"/>
          <w:lang w:val="sv-SE"/>
        </w:rPr>
        <w:t xml:space="preserve"> </w:t>
      </w:r>
      <w:r w:rsidRPr="000A57A6">
        <w:rPr>
          <w:sz w:val="24"/>
          <w:vertAlign w:val="superscript"/>
          <w:lang w:val="sv-SE"/>
        </w:rPr>
        <w:tab/>
      </w:r>
      <w:r w:rsidRPr="000A57A6">
        <w:rPr>
          <w:sz w:val="24"/>
          <w:lang w:val="sv-SE"/>
        </w:rPr>
        <w:t>I slutet av 2024 uppgick den totala utbetalade exponeringen till 3 227,1 miljoner EUR (jämfört med 3 144,3 miljoner EUR i slutet av 2023), och av detta belopp täcks 3 068,1 miljoner EUR (95 %) av EU:s samlade garantier, 146,6 miljoner EUR (5 %) av EU:s politiska riskgarantier och 12,4 miljoner EUR av riskdelningsmandat (jämfört med 2 962,7 miljoner EUR eller 94 %, 166,8 miljoner EUR eller 5 % respektive 14,8 miljoner EUR eller 1 % i slutet av 2023).</w:t>
      </w:r>
    </w:p>
  </w:footnote>
  <w:footnote w:id="6">
    <w:p w:rsidR="00FA2BCF" w:rsidRPr="000A57A6" w:rsidP="00402ACB" w14:paraId="5EB088D6" w14:textId="355EFE22">
      <w:pPr>
        <w:pStyle w:val="FootnoteText"/>
        <w:ind w:left="567" w:hanging="567"/>
        <w:rPr>
          <w:sz w:val="24"/>
          <w:lang w:val="sv-SE"/>
        </w:rPr>
      </w:pPr>
      <w:r w:rsidRPr="000A57A6">
        <w:rPr>
          <w:rStyle w:val="FootnoteReference"/>
        </w:rPr>
        <w:footnoteRef/>
      </w:r>
      <w:r w:rsidRPr="000A57A6">
        <w:rPr>
          <w:sz w:val="24"/>
          <w:vertAlign w:val="superscript"/>
          <w:lang w:val="sv-SE"/>
        </w:rPr>
        <w:t xml:space="preserve"> </w:t>
      </w:r>
      <w:r w:rsidRPr="000A57A6">
        <w:rPr>
          <w:sz w:val="24"/>
          <w:vertAlign w:val="superscript"/>
          <w:lang w:val="sv-SE"/>
        </w:rPr>
        <w:tab/>
      </w:r>
      <w:r w:rsidRPr="000A57A6">
        <w:rPr>
          <w:sz w:val="24"/>
          <w:lang w:val="sv-SE"/>
        </w:rPr>
        <w:t xml:space="preserve">Europaparlamentets och rådets förordning (EG) nr 1049/2001 av den 30 maj 2001 om allmänhetens tillgång till Europaparlamentets, rådets och kommissionens handlingar (EGT L 145, 31.5.2001, s. 43, ELI: </w:t>
      </w:r>
      <w:hyperlink r:id="rId4" w:tgtFrame="http://data.europa.eu/eli/reg/2001/1049/oj" w:history="1">
        <w:r w:rsidRPr="000A57A6">
          <w:rPr>
            <w:rStyle w:val="Hyperlink"/>
            <w:sz w:val="24"/>
            <w:lang w:val="sv-SE"/>
          </w:rPr>
          <w:t>http://data.europa.eu/eli/reg/2001/1049/oj</w:t>
        </w:r>
      </w:hyperlink>
      <w:r w:rsidRPr="000A57A6">
        <w:rPr>
          <w:sz w:val="24"/>
          <w:lang w:val="sv-SE"/>
        </w:rPr>
        <w:t>).</w:t>
      </w:r>
    </w:p>
  </w:footnote>
  <w:footnote w:id="7">
    <w:p w:rsidR="00FA2BCF" w:rsidRPr="004E6CC6" w:rsidP="00402ACB" w14:paraId="7BB20F8A" w14:textId="168E6679">
      <w:pPr>
        <w:pStyle w:val="FootnoteText"/>
        <w:ind w:left="567" w:hanging="567"/>
        <w:rPr>
          <w:sz w:val="24"/>
          <w:lang w:val="en-GB"/>
        </w:rPr>
      </w:pPr>
      <w:r w:rsidRPr="000A57A6">
        <w:rPr>
          <w:rStyle w:val="FootnoteReference"/>
        </w:rPr>
        <w:footnoteRef/>
      </w:r>
      <w:r w:rsidRPr="004E6CC6">
        <w:rPr>
          <w:sz w:val="24"/>
          <w:vertAlign w:val="superscript"/>
          <w:lang w:val="en-GB"/>
        </w:rPr>
        <w:t xml:space="preserve"> </w:t>
      </w:r>
      <w:r w:rsidRPr="004E6CC6">
        <w:rPr>
          <w:sz w:val="24"/>
          <w:vertAlign w:val="superscript"/>
          <w:lang w:val="en-GB"/>
        </w:rPr>
        <w:tab/>
      </w:r>
      <w:r w:rsidRPr="004E6CC6">
        <w:rPr>
          <w:sz w:val="24"/>
          <w:lang w:val="en-GB"/>
        </w:rPr>
        <w:t xml:space="preserve">Publish What You Fund, </w:t>
      </w:r>
      <w:r w:rsidRPr="004E6CC6">
        <w:rPr>
          <w:i/>
          <w:sz w:val="24"/>
          <w:lang w:val="en-GB"/>
        </w:rPr>
        <w:t>Behind the Billions:</w:t>
      </w:r>
      <w:r w:rsidRPr="004E6CC6">
        <w:rPr>
          <w:sz w:val="24"/>
          <w:lang w:val="en-GB"/>
        </w:rPr>
        <w:t xml:space="preserve"> </w:t>
      </w:r>
      <w:r w:rsidRPr="004E6CC6">
        <w:rPr>
          <w:i/>
          <w:sz w:val="24"/>
          <w:lang w:val="en-GB"/>
        </w:rPr>
        <w:t>Tracking the missing pieces of MDB climate finance data</w:t>
      </w:r>
      <w:r w:rsidRPr="004E6CC6">
        <w:rPr>
          <w:sz w:val="24"/>
          <w:lang w:val="en-GB"/>
        </w:rPr>
        <w:t xml:space="preserve">, </w:t>
      </w:r>
      <w:r w:rsidRPr="004E6CC6">
        <w:rPr>
          <w:sz w:val="24"/>
          <w:lang w:val="en-GB"/>
        </w:rPr>
        <w:t>november</w:t>
      </w:r>
      <w:r w:rsidRPr="004E6CC6">
        <w:rPr>
          <w:sz w:val="24"/>
          <w:lang w:val="en-GB"/>
        </w:rPr>
        <w:t xml:space="preserve"> 2025.</w:t>
      </w:r>
    </w:p>
  </w:footnote>
  <w:footnote w:id="8">
    <w:p w:rsidR="00FA2BCF" w:rsidRPr="00402ACB" w:rsidP="00402ACB" w14:paraId="0A5D251B" w14:textId="05C2C9C5">
      <w:pPr>
        <w:pStyle w:val="FootnoteText"/>
        <w:ind w:left="567" w:hanging="567"/>
        <w:rPr>
          <w:sz w:val="24"/>
          <w:lang w:val="sv-SE"/>
        </w:rPr>
      </w:pPr>
      <w:r w:rsidRPr="000A57A6">
        <w:rPr>
          <w:rStyle w:val="FootnoteReference"/>
        </w:rPr>
        <w:footnoteRef/>
      </w:r>
      <w:r w:rsidRPr="000A57A6">
        <w:rPr>
          <w:sz w:val="24"/>
          <w:vertAlign w:val="superscript"/>
          <w:lang w:val="sv-SE"/>
        </w:rPr>
        <w:t xml:space="preserve"> </w:t>
      </w:r>
      <w:r w:rsidRPr="000A57A6">
        <w:rPr>
          <w:sz w:val="24"/>
          <w:vertAlign w:val="superscript"/>
          <w:lang w:val="sv-SE"/>
        </w:rPr>
        <w:tab/>
      </w:r>
      <w:r w:rsidRPr="000A57A6">
        <w:rPr>
          <w:sz w:val="24"/>
          <w:lang w:val="sv-SE"/>
        </w:rPr>
        <w:t xml:space="preserve">Europaparlamentets resolution av den 6 maj 2025 om kontrollen av Europeiska investeringsbankens finansiella verksamhet – årsrapport 2023 (EUT C, C/2026/574, 24.2.2026, ELI: </w:t>
      </w:r>
      <w:hyperlink r:id="rId5" w:tgtFrame="http://data.europa.eu/eli/C/2026/574/oj" w:history="1">
        <w:r w:rsidRPr="000A57A6">
          <w:rPr>
            <w:rStyle w:val="Hyperlink"/>
            <w:sz w:val="24"/>
            <w:lang w:val="sv-SE"/>
          </w:rPr>
          <w:t>http://data.europa.eu/eli/C/2026/574/oj</w:t>
        </w:r>
      </w:hyperlink>
      <w:r w:rsidRPr="000A57A6">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02ACB" w14:paraId="0007C17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02ACB" w14:paraId="1AEBBF8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02ACB" w14:paraId="631C6CB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56521594">
    <w:abstractNumId w:val="9"/>
  </w:num>
  <w:num w:numId="2" w16cid:durableId="234055717">
    <w:abstractNumId w:val="9"/>
  </w:num>
  <w:num w:numId="3" w16cid:durableId="1499343152">
    <w:abstractNumId w:val="7"/>
  </w:num>
  <w:num w:numId="4" w16cid:durableId="1325427254">
    <w:abstractNumId w:val="7"/>
  </w:num>
  <w:num w:numId="5" w16cid:durableId="1171986483">
    <w:abstractNumId w:val="6"/>
  </w:num>
  <w:num w:numId="6" w16cid:durableId="1646659818">
    <w:abstractNumId w:val="6"/>
  </w:num>
  <w:num w:numId="7" w16cid:durableId="891187720">
    <w:abstractNumId w:val="5"/>
  </w:num>
  <w:num w:numId="8" w16cid:durableId="494030708">
    <w:abstractNumId w:val="5"/>
  </w:num>
  <w:num w:numId="9" w16cid:durableId="1332022618">
    <w:abstractNumId w:val="4"/>
  </w:num>
  <w:num w:numId="10" w16cid:durableId="1874921464">
    <w:abstractNumId w:val="4"/>
  </w:num>
  <w:num w:numId="11" w16cid:durableId="586613656">
    <w:abstractNumId w:val="8"/>
  </w:num>
  <w:num w:numId="12" w16cid:durableId="1895971904">
    <w:abstractNumId w:val="8"/>
  </w:num>
  <w:num w:numId="13" w16cid:durableId="1354459480">
    <w:abstractNumId w:val="3"/>
  </w:num>
  <w:num w:numId="14" w16cid:durableId="1917395321">
    <w:abstractNumId w:val="3"/>
  </w:num>
  <w:num w:numId="15" w16cid:durableId="855584804">
    <w:abstractNumId w:val="2"/>
  </w:num>
  <w:num w:numId="16" w16cid:durableId="1452016256">
    <w:abstractNumId w:val="2"/>
  </w:num>
  <w:num w:numId="17" w16cid:durableId="1534922201">
    <w:abstractNumId w:val="1"/>
  </w:num>
  <w:num w:numId="18" w16cid:durableId="1567447988">
    <w:abstractNumId w:val="1"/>
  </w:num>
  <w:num w:numId="19" w16cid:durableId="1633827498">
    <w:abstractNumId w:val="0"/>
  </w:num>
  <w:num w:numId="20" w16cid:durableId="1346782330">
    <w:abstractNumId w:val="0"/>
  </w:num>
  <w:num w:numId="21" w16cid:durableId="1680811623">
    <w:abstractNumId w:val="9"/>
  </w:num>
  <w:num w:numId="22" w16cid:durableId="1171872034">
    <w:abstractNumId w:val="7"/>
  </w:num>
  <w:num w:numId="23" w16cid:durableId="115684729">
    <w:abstractNumId w:val="6"/>
  </w:num>
  <w:num w:numId="24" w16cid:durableId="1915040470">
    <w:abstractNumId w:val="5"/>
  </w:num>
  <w:num w:numId="25" w16cid:durableId="683094827">
    <w:abstractNumId w:val="4"/>
  </w:num>
  <w:num w:numId="26" w16cid:durableId="975986531">
    <w:abstractNumId w:val="8"/>
  </w:num>
  <w:num w:numId="27" w16cid:durableId="957831470">
    <w:abstractNumId w:val="3"/>
  </w:num>
  <w:num w:numId="28" w16cid:durableId="1335692931">
    <w:abstractNumId w:val="2"/>
  </w:num>
  <w:num w:numId="29" w16cid:durableId="699671858">
    <w:abstractNumId w:val="1"/>
  </w:num>
  <w:num w:numId="30" w16cid:durableId="1275675444">
    <w:abstractNumId w:val="0"/>
  </w:num>
  <w:num w:numId="31" w16cid:durableId="717971054">
    <w:abstractNumId w:val="9"/>
  </w:num>
  <w:num w:numId="32" w16cid:durableId="635112522">
    <w:abstractNumId w:val="7"/>
  </w:num>
  <w:num w:numId="33" w16cid:durableId="1535925978">
    <w:abstractNumId w:val="6"/>
  </w:num>
  <w:num w:numId="34" w16cid:durableId="2040886955">
    <w:abstractNumId w:val="5"/>
  </w:num>
  <w:num w:numId="35" w16cid:durableId="1967005850">
    <w:abstractNumId w:val="4"/>
  </w:num>
  <w:num w:numId="36" w16cid:durableId="1535998198">
    <w:abstractNumId w:val="8"/>
  </w:num>
  <w:num w:numId="37" w16cid:durableId="2123767293">
    <w:abstractNumId w:val="3"/>
  </w:num>
  <w:num w:numId="38" w16cid:durableId="394666509">
    <w:abstractNumId w:val="2"/>
  </w:num>
  <w:num w:numId="39" w16cid:durableId="1873031400">
    <w:abstractNumId w:val="1"/>
  </w:num>
  <w:num w:numId="40" w16cid:durableId="2089300022">
    <w:abstractNumId w:val="0"/>
  </w:num>
  <w:num w:numId="41" w16cid:durableId="733310264">
    <w:abstractNumId w:val="10"/>
  </w:num>
  <w:num w:numId="42" w16cid:durableId="604580979">
    <w:abstractNumId w:val="10"/>
  </w:num>
  <w:num w:numId="43" w16cid:durableId="1306396153">
    <w:abstractNumId w:val="10"/>
  </w:num>
  <w:num w:numId="44" w16cid:durableId="1670610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537"/>
    <w:rsid w:val="00002272"/>
    <w:rsid w:val="00064002"/>
    <w:rsid w:val="000677B9"/>
    <w:rsid w:val="000831BA"/>
    <w:rsid w:val="000A42CC"/>
    <w:rsid w:val="000A57A6"/>
    <w:rsid w:val="000E7DD9"/>
    <w:rsid w:val="0010095E"/>
    <w:rsid w:val="001114EF"/>
    <w:rsid w:val="00125B37"/>
    <w:rsid w:val="00187494"/>
    <w:rsid w:val="001F32AE"/>
    <w:rsid w:val="00233DC9"/>
    <w:rsid w:val="00266853"/>
    <w:rsid w:val="002767FF"/>
    <w:rsid w:val="002B18FE"/>
    <w:rsid w:val="002B5493"/>
    <w:rsid w:val="002E03D4"/>
    <w:rsid w:val="00343214"/>
    <w:rsid w:val="00361C00"/>
    <w:rsid w:val="00395FA1"/>
    <w:rsid w:val="003E15D4"/>
    <w:rsid w:val="004002C0"/>
    <w:rsid w:val="00402ACB"/>
    <w:rsid w:val="00411CCE"/>
    <w:rsid w:val="0041666E"/>
    <w:rsid w:val="00421060"/>
    <w:rsid w:val="00432A74"/>
    <w:rsid w:val="00433CAA"/>
    <w:rsid w:val="00471C19"/>
    <w:rsid w:val="004867E3"/>
    <w:rsid w:val="00494A28"/>
    <w:rsid w:val="004C0004"/>
    <w:rsid w:val="004C5D52"/>
    <w:rsid w:val="004E6CC6"/>
    <w:rsid w:val="0050519A"/>
    <w:rsid w:val="005072A1"/>
    <w:rsid w:val="00514517"/>
    <w:rsid w:val="00545827"/>
    <w:rsid w:val="00560270"/>
    <w:rsid w:val="005C2568"/>
    <w:rsid w:val="005F1B17"/>
    <w:rsid w:val="006037C0"/>
    <w:rsid w:val="006631B6"/>
    <w:rsid w:val="00680577"/>
    <w:rsid w:val="006F74FA"/>
    <w:rsid w:val="00705E28"/>
    <w:rsid w:val="00731ADD"/>
    <w:rsid w:val="00734777"/>
    <w:rsid w:val="00747932"/>
    <w:rsid w:val="00751A4A"/>
    <w:rsid w:val="00756632"/>
    <w:rsid w:val="00762C74"/>
    <w:rsid w:val="00786EC0"/>
    <w:rsid w:val="007C5537"/>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058C7"/>
    <w:rsid w:val="00D56C11"/>
    <w:rsid w:val="00D834A0"/>
    <w:rsid w:val="00D872DF"/>
    <w:rsid w:val="00D91E21"/>
    <w:rsid w:val="00DA7FCD"/>
    <w:rsid w:val="00DB690F"/>
    <w:rsid w:val="00E32966"/>
    <w:rsid w:val="00E365E1"/>
    <w:rsid w:val="00E820A4"/>
    <w:rsid w:val="00EB006A"/>
    <w:rsid w:val="00EB4772"/>
    <w:rsid w:val="00ED169E"/>
    <w:rsid w:val="00ED4235"/>
    <w:rsid w:val="00F04346"/>
    <w:rsid w:val="00F075DC"/>
    <w:rsid w:val="00F149E9"/>
    <w:rsid w:val="00F5134D"/>
    <w:rsid w:val="00F74202"/>
    <w:rsid w:val="00F87713"/>
    <w:rsid w:val="00FA2BCF"/>
    <w:rsid w:val="00FB4360"/>
    <w:rsid w:val="00FD0C70"/>
  </w:rsids>
  <w:docVars>
    <w:docVar w:name="dvdocse" w:val="A10-0086/2026"/>
    <w:docVar w:name="dvlangue" w:val="SV"/>
    <w:docVar w:name="dvnumam" w:val="0"/>
    <w:docVar w:name="dvpe" w:val="784.237"/>
    <w:docVar w:name="dvrapporteur" w:val="Föredragande: "/>
    <w:docVar w:name="dvtitre" w:val="Europaparlamentets resolution av den xx xx 2026 om kontrollen av Europeiska investeringsbanksgruppens finansiella verksamhet – årsrapport 2024(2025/2237(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4AE1151"/>
  <w15:chartTrackingRefBased/>
  <w15:docId w15:val="{B854C6CA-A03D-4CF0-876C-B52D3640D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B690F"/>
    <w:pPr>
      <w:widowControl/>
      <w:spacing w:after="240"/>
    </w:pPr>
    <w:rPr>
      <w:szCs w:val="24"/>
      <w:lang w:eastAsia="en-US"/>
    </w:rPr>
  </w:style>
  <w:style w:type="paragraph" w:customStyle="1" w:styleId="NormalHanging12a">
    <w:name w:val="NormalHanging12a"/>
    <w:basedOn w:val="Normal"/>
    <w:rsid w:val="00DB690F"/>
    <w:pPr>
      <w:widowControl/>
      <w:spacing w:after="240"/>
      <w:ind w:left="566" w:hanging="566"/>
    </w:pPr>
    <w:rPr>
      <w:szCs w:val="24"/>
      <w:lang w:eastAsia="en-US"/>
    </w:rPr>
  </w:style>
  <w:style w:type="paragraph" w:customStyle="1" w:styleId="Normal12">
    <w:name w:val="Normal12"/>
    <w:basedOn w:val="Normal"/>
    <w:rsid w:val="00DB690F"/>
    <w:pPr>
      <w:widowControl/>
      <w:spacing w:after="240"/>
    </w:pPr>
    <w:rPr>
      <w:szCs w:val="24"/>
      <w:lang w:eastAsia="en-US"/>
    </w:rPr>
  </w:style>
  <w:style w:type="paragraph" w:customStyle="1" w:styleId="NormalHanging">
    <w:name w:val="NormalHanging"/>
    <w:basedOn w:val="Normal"/>
    <w:rsid w:val="00DB690F"/>
    <w:pPr>
      <w:widowControl/>
      <w:spacing w:after="240"/>
      <w:ind w:left="566" w:hanging="566"/>
    </w:pPr>
    <w:rPr>
      <w:szCs w:val="24"/>
      <w:lang w:eastAsia="en-US"/>
    </w:rPr>
  </w:style>
  <w:style w:type="paragraph" w:customStyle="1" w:styleId="NormalCenter12a">
    <w:name w:val="NormalCenter12a"/>
    <w:basedOn w:val="Normal"/>
    <w:rsid w:val="00DB690F"/>
    <w:pPr>
      <w:widowControl/>
      <w:spacing w:after="240"/>
      <w:jc w:val="center"/>
    </w:pPr>
    <w:rPr>
      <w:szCs w:val="24"/>
      <w:lang w:eastAsia="en-US"/>
    </w:rPr>
  </w:style>
  <w:style w:type="character" w:styleId="Hyperlink">
    <w:name w:val="Hyperlink"/>
    <w:basedOn w:val="DefaultParagraphFont"/>
    <w:rsid w:val="00DB690F"/>
    <w:rPr>
      <w:color w:val="0000FF"/>
      <w:u w:val="single"/>
    </w:rPr>
  </w:style>
  <w:style w:type="paragraph" w:styleId="Revision">
    <w:name w:val="Revision"/>
    <w:hidden/>
    <w:uiPriority w:val="99"/>
    <w:semiHidden/>
    <w:rsid w:val="00705E28"/>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2025/504/oj" TargetMode="External" /><Relationship Id="rId2" Type="http://schemas.openxmlformats.org/officeDocument/2006/relationships/hyperlink" Target="https://data.europa.eu/doi/10.2889/698738" TargetMode="External" /><Relationship Id="rId3" Type="http://schemas.openxmlformats.org/officeDocument/2006/relationships/hyperlink" Target="http://data.europa.eu/eli/C/2025/3151/oj" TargetMode="External" /><Relationship Id="rId4" Type="http://schemas.openxmlformats.org/officeDocument/2006/relationships/hyperlink" Target="http://data.europa.eu/eli/reg/2001/1049/oj" TargetMode="External" /><Relationship Id="rId5" Type="http://schemas.openxmlformats.org/officeDocument/2006/relationships/hyperlink" Target="http://data.europa.eu/eli/C/2026/574/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6521</Words>
  <Characters>44370</Characters>
  <Application>Microsoft Office Word</Application>
  <DocSecurity>0</DocSecurity>
  <Lines>369</Lines>
  <Paragraphs>101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2026-05-29T09:15:00Z</dcterms:created>
  <dcterms:modified xsi:type="dcterms:W3CDTF">2026-05-29T09:15:00Z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A10-0086/2026</vt:lpwstr>
  </property>
  <property fmtid="{D5CDD505-2E9C-101B-9397-08002B2CF9AE}" pid="4" name="&lt;Type&gt;">
    <vt:lpwstr>RR</vt:lpwstr>
  </property>
</Properties>
</file>