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93E7A0C" w14:textId="77777777" w:rsidTr="0010095E">
        <w:tblPrEx>
          <w:tblW w:w="9072" w:type="dxa"/>
          <w:tblLook w:val="01E0"/>
        </w:tblPrEx>
        <w:trPr>
          <w:trHeight w:hRule="exact" w:val="1418"/>
        </w:trPr>
        <w:tc>
          <w:tcPr>
            <w:tcW w:w="6804" w:type="dxa"/>
            <w:shd w:val="clear" w:color="auto" w:fill="auto"/>
            <w:vAlign w:val="center"/>
          </w:tcPr>
          <w:p w:rsidR="00751A4A" w:rsidRPr="007E0B08" w:rsidP="0010095E" w14:paraId="2A9CEAB7" w14:textId="77777777">
            <w:pPr>
              <w:pStyle w:val="EPName"/>
            </w:pPr>
            <w:r w:rsidRPr="007E0B08">
              <w:t>Eiropas Parlaments</w:t>
            </w:r>
          </w:p>
          <w:p w:rsidR="00751A4A" w:rsidRPr="007E0B08" w:rsidP="005F1B17" w14:paraId="60E53F8D" w14:textId="77777777">
            <w:pPr>
              <w:pStyle w:val="EPTerm"/>
              <w:rPr>
                <w:rStyle w:val="HideTWBExt"/>
                <w:noProof w:val="0"/>
                <w:vanish w:val="0"/>
                <w:color w:val="auto"/>
              </w:rPr>
            </w:pPr>
            <w:r w:rsidRPr="007E0B08">
              <w:t>2024</w:t>
            </w:r>
            <w:r w:rsidRPr="007E0B08" w:rsidR="00817416">
              <w:t>-202</w:t>
            </w:r>
            <w:r w:rsidRPr="007E0B08">
              <w:t>9</w:t>
            </w:r>
          </w:p>
        </w:tc>
        <w:tc>
          <w:tcPr>
            <w:tcW w:w="2268" w:type="dxa"/>
            <w:shd w:val="clear" w:color="auto" w:fill="auto"/>
          </w:tcPr>
          <w:p w:rsidR="00751A4A" w:rsidRPr="007E0B08" w:rsidP="0010095E" w14:paraId="55C3F297" w14:textId="77777777">
            <w:pPr>
              <w:pStyle w:val="EPLogo"/>
            </w:pPr>
            <w:r w:rsidRPr="007E0B08">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7E0B08" w:rsidP="004C5D52" w14:paraId="4CDD0D7A" w14:textId="77777777">
      <w:pPr>
        <w:pStyle w:val="LineTop"/>
      </w:pPr>
    </w:p>
    <w:p w:rsidR="00680577" w:rsidRPr="007E0B08" w:rsidP="00680577" w14:paraId="575AE978" w14:textId="77777777">
      <w:pPr>
        <w:pStyle w:val="EPBodyTA1"/>
      </w:pPr>
      <w:r w:rsidRPr="007E0B08">
        <w:t>PIEŅEMTIE TEKSTI</w:t>
      </w:r>
    </w:p>
    <w:p w:rsidR="00D058B8" w:rsidRPr="007E0B08" w:rsidP="00D058B8" w14:paraId="55BB8CDD" w14:textId="77777777">
      <w:pPr>
        <w:pStyle w:val="LineBottom"/>
      </w:pPr>
    </w:p>
    <w:p w:rsidR="00673E0E" w:rsidRPr="007E0B08" w:rsidP="00673E0E" w14:paraId="1717E62F" w14:textId="4E85D849">
      <w:pPr>
        <w:pStyle w:val="ATHeading1"/>
      </w:pPr>
      <w:bookmarkStart w:id="0" w:name="TANumber"/>
      <w:r w:rsidRPr="007E0B08">
        <w:t>P10_TA(2026)0</w:t>
      </w:r>
      <w:r w:rsidRPr="007E0B08" w:rsidR="00362F8C">
        <w:t>12</w:t>
      </w:r>
      <w:r w:rsidRPr="007E0B08">
        <w:t>0</w:t>
      </w:r>
      <w:bookmarkEnd w:id="0"/>
    </w:p>
    <w:p w:rsidR="00673E0E" w:rsidRPr="007E0B08" w:rsidP="00673E0E" w14:paraId="0AE66222" w14:textId="77777777">
      <w:pPr>
        <w:pStyle w:val="ATHeading2"/>
      </w:pPr>
      <w:bookmarkStart w:id="1" w:name="title"/>
      <w:r w:rsidRPr="007E0B08">
        <w:t xml:space="preserve">Eiropas Savienībā nozīmīgi tiesību akti, kas vērsti pret </w:t>
      </w:r>
      <w:r w:rsidRPr="007E0B08">
        <w:t>izvarošanu</w:t>
      </w:r>
      <w:r w:rsidRPr="007E0B08">
        <w:t xml:space="preserve"> un pamatojas uz piekrišanas principu</w:t>
      </w:r>
      <w:bookmarkEnd w:id="1"/>
    </w:p>
    <w:p w:rsidR="00673E0E" w:rsidRPr="007E0B08" w:rsidP="00673E0E" w14:paraId="434F69A6" w14:textId="77777777">
      <w:pPr>
        <w:rPr>
          <w:i/>
          <w:vanish/>
        </w:rPr>
      </w:pPr>
      <w:r>
        <w:rPr>
          <w:i/>
        </w:rPr>
        <w:fldChar w:fldCharType="begin"/>
      </w:r>
      <w:r w:rsidRPr="007E0B08">
        <w:rPr>
          <w:i/>
        </w:rPr>
        <w:instrText xml:space="preserve"> TC"(</w:instrText>
      </w:r>
      <w:bookmarkStart w:id="2" w:name="DocNumber"/>
      <w:r w:rsidRPr="007E0B08">
        <w:rPr>
          <w:i/>
        </w:rPr>
        <w:instrText>A10-0047/2026</w:instrText>
      </w:r>
      <w:bookmarkEnd w:id="2"/>
      <w:r w:rsidRPr="007E0B08">
        <w:rPr>
          <w:i/>
        </w:rPr>
        <w:instrText xml:space="preserve"> - Referenti: Evin Incir, Joanna Scheuring-Wielgus)"\l3 \n&gt; \* MERGEFORMAT </w:instrText>
      </w:r>
      <w:r>
        <w:rPr>
          <w:i/>
        </w:rPr>
        <w:fldChar w:fldCharType="end"/>
      </w:r>
    </w:p>
    <w:p w:rsidR="00673E0E" w:rsidRPr="007E0B08" w:rsidP="00673E0E" w14:paraId="5894E117" w14:textId="77777777">
      <w:pPr>
        <w:rPr>
          <w:vanish/>
        </w:rPr>
      </w:pPr>
      <w:bookmarkStart w:id="3" w:name="Commission"/>
      <w:r w:rsidRPr="007E0B08">
        <w:rPr>
          <w:vanish/>
        </w:rPr>
        <w:t>Pilsoņu brīvību, tieslietu un iekšlietu komiteja, Sieviešu tiesību un dzimumu līdztiesības komiteja</w:t>
      </w:r>
      <w:bookmarkEnd w:id="3"/>
    </w:p>
    <w:p w:rsidR="00673E0E" w:rsidRPr="007E0B08" w:rsidP="00673E0E" w14:paraId="628C1CC0" w14:textId="77777777">
      <w:pPr>
        <w:rPr>
          <w:vanish/>
        </w:rPr>
      </w:pPr>
      <w:bookmarkStart w:id="4" w:name="PE"/>
      <w:r w:rsidRPr="007E0B08">
        <w:rPr>
          <w:vanish/>
        </w:rPr>
        <w:t>PE774.376</w:t>
      </w:r>
      <w:bookmarkEnd w:id="4"/>
    </w:p>
    <w:p w:rsidR="00673E0E" w:rsidRPr="007E0B08" w:rsidP="00673E0E" w14:paraId="3437D315" w14:textId="30A060F1">
      <w:pPr>
        <w:pStyle w:val="ATHeading3"/>
      </w:pPr>
      <w:bookmarkStart w:id="5" w:name="Sujet"/>
      <w:r w:rsidRPr="007E0B08">
        <w:t xml:space="preserve">Eiropas Parlamenta 2026. gada </w:t>
      </w:r>
      <w:r w:rsidRPr="007E0B08" w:rsidR="00362F8C">
        <w:t>28</w:t>
      </w:r>
      <w:r w:rsidRPr="007E0B08">
        <w:t xml:space="preserve">. </w:t>
      </w:r>
      <w:r w:rsidRPr="007E0B08" w:rsidR="00DC190A">
        <w:t>aprīļa</w:t>
      </w:r>
      <w:r w:rsidRPr="007E0B08">
        <w:t xml:space="preserve"> rezolūcija par ES nozīmīgiem tiesību aktiem, kas vērsti pret </w:t>
      </w:r>
      <w:r w:rsidRPr="007E0B08">
        <w:t>izvarošanu</w:t>
      </w:r>
      <w:r w:rsidRPr="007E0B08">
        <w:t xml:space="preserve"> un pamatojas uz piekrišanas principu</w:t>
      </w:r>
      <w:bookmarkEnd w:id="5"/>
      <w:r w:rsidRPr="007E0B08">
        <w:t xml:space="preserve"> </w:t>
      </w:r>
      <w:bookmarkStart w:id="6" w:name="References"/>
      <w:r w:rsidRPr="007E0B08">
        <w:t>(2025/2040(INI))</w:t>
      </w:r>
      <w:bookmarkEnd w:id="6"/>
    </w:p>
    <w:p w:rsidR="00601F3D" w:rsidRPr="007E0B08" w:rsidP="00601F3D" w14:paraId="62043EA4" w14:textId="77777777">
      <w:pPr>
        <w:pStyle w:val="NormalBold12a"/>
      </w:pPr>
    </w:p>
    <w:p w:rsidR="00601F3D" w:rsidRPr="007E0B08" w:rsidP="00601F3D" w14:paraId="57E404A6" w14:textId="77777777">
      <w:pPr>
        <w:pStyle w:val="Normal12"/>
      </w:pPr>
      <w:r w:rsidRPr="007E0B08">
        <w:rPr>
          <w:i/>
          <w:iCs/>
        </w:rPr>
        <w:t>Eiropas Parlaments</w:t>
      </w:r>
      <w:r w:rsidRPr="007E0B08">
        <w:t>,</w:t>
      </w:r>
    </w:p>
    <w:p w:rsidR="00601F3D" w:rsidRPr="007E0B08" w:rsidP="00601F3D" w14:paraId="619343CC" w14:textId="77777777">
      <w:pPr>
        <w:pStyle w:val="NormalHanging"/>
      </w:pPr>
      <w:r w:rsidRPr="007E0B08">
        <w:t>–</w:t>
      </w:r>
      <w:r w:rsidRPr="007E0B08">
        <w:tab/>
        <w:t>ņemot vērā Līguma par Eiropas Savienību 2. pantu un 3. panta 2. un 3. punktu, Līguma par Eiropas Savienības darbību (LESD) 8., 10. un 19. pantu un LESD 83. panta 1. punktu un 82. panta 2. punktu, kas attiecas uz spriedumu savstarpēju atzīšanu un policijas un tiesu iestāžu sadarbību,</w:t>
      </w:r>
    </w:p>
    <w:p w:rsidR="00601F3D" w:rsidRPr="007E0B08" w:rsidP="00601F3D" w14:paraId="699CCDBC" w14:textId="77777777">
      <w:pPr>
        <w:pStyle w:val="NormalHanging"/>
      </w:pPr>
      <w:r w:rsidRPr="007E0B08">
        <w:t>–</w:t>
      </w:r>
      <w:r w:rsidRPr="007E0B08">
        <w:tab/>
        <w:t xml:space="preserve">ņemot vērā LESD 83. panta 1. punktu, saskaņā ar kuru Parlaments un Padome var paredzēt noziedzīgu nodarījumu un sankciju definēšanas noteikumu minimumu attiecībā uz īpaši smagiem noziegumiem ar pārrobežu dimensiju, ietverot arī noziegumus, kas saistīti ar </w:t>
      </w:r>
      <w:r w:rsidRPr="007E0B08">
        <w:t>dzimumbalstītu</w:t>
      </w:r>
      <w:r w:rsidRPr="007E0B08">
        <w:t xml:space="preserve"> vardarbību,</w:t>
      </w:r>
    </w:p>
    <w:p w:rsidR="00601F3D" w:rsidRPr="007E0B08" w:rsidP="00601F3D" w14:paraId="3F8DA354" w14:textId="77777777">
      <w:pPr>
        <w:pStyle w:val="NormalHanging"/>
      </w:pPr>
      <w:r w:rsidRPr="007E0B08">
        <w:t>–</w:t>
      </w:r>
      <w:r w:rsidRPr="007E0B08">
        <w:tab/>
        <w:t xml:space="preserve">ņemot vērā Eiropas Savienības </w:t>
      </w:r>
      <w:r w:rsidRPr="007E0B08">
        <w:t>Pamattiesību</w:t>
      </w:r>
      <w:r w:rsidRPr="007E0B08">
        <w:t xml:space="preserve"> hartu, jo īpaši tās 21. pantu, kurā aizliegta diskriminācija, tās 45. pantu, kurā noteiktas tiesības uz brīvu pārvietošanos, un 47. pantu, kurā noteiktas tiesības uz taisnīgu tiesu,</w:t>
      </w:r>
    </w:p>
    <w:p w:rsidR="00601F3D" w:rsidRPr="007E0B08" w:rsidP="00601F3D" w14:paraId="37BF94EC" w14:textId="77777777">
      <w:pPr>
        <w:pStyle w:val="NormalHanging"/>
      </w:pPr>
      <w:r w:rsidRPr="007E0B08">
        <w:t>–</w:t>
      </w:r>
      <w:r w:rsidRPr="007E0B08">
        <w:tab/>
        <w:t>ņemot vērā Eiropas Padomes Konvenciju par vardarbības pret sievietēm un vardarbības ģimenē novēršanu un apkarošanu (Stambulas konvencija), ko ES ratificēja 2023. gadā, jo īpaši tās 36. pantu, kurā prasīts noteikt kriminālatbildību par seksuālām darbībām bez piekrišanas, un valstu uzraudzības ziņojumus, ko sagatavojusi Ekspertu grupa vardarbības pret sievietēm un vardarbības ģimenē novēršanai,</w:t>
      </w:r>
    </w:p>
    <w:p w:rsidR="00601F3D" w:rsidRPr="007E0B08" w:rsidP="00601F3D" w14:paraId="4BC0FF8B" w14:textId="77777777">
      <w:pPr>
        <w:pStyle w:val="NormalHanging"/>
      </w:pPr>
      <w:r w:rsidRPr="007E0B08">
        <w:t>–</w:t>
      </w:r>
      <w:r w:rsidRPr="007E0B08">
        <w:tab/>
        <w:t xml:space="preserve">ņemot vērā Eiropas Savienības </w:t>
      </w:r>
      <w:r w:rsidRPr="007E0B08">
        <w:t>Pamattiesību</w:t>
      </w:r>
      <w:r w:rsidRPr="007E0B08">
        <w:t xml:space="preserve"> hartas 21. un 3. pantu un Līguma par Eiropas Savienību 2. pantu, kurā dzimumu līdztiesība ir noteikta par Savienības pamatvērtību, kas ir jāintegrē visās politikas jomās un programmās,</w:t>
      </w:r>
    </w:p>
    <w:p w:rsidR="00601F3D" w:rsidRPr="007E0B08" w:rsidP="00601F3D" w14:paraId="46186138" w14:textId="77777777">
      <w:pPr>
        <w:pStyle w:val="NormalHanging"/>
      </w:pPr>
      <w:r w:rsidRPr="007E0B08">
        <w:t>–</w:t>
      </w:r>
      <w:r w:rsidRPr="007E0B08">
        <w:tab/>
        <w:t>ņemot vērā otro pārskata ziņojumu par to, kādus pasākumus veikusi Ekspertu grupa vardarbības pret sievietēm un vardarbības ģimenē novēršanai, kurš tika publicēts 2021. gada aprīlī,</w:t>
      </w:r>
    </w:p>
    <w:p w:rsidR="00601F3D" w:rsidRPr="007E0B08" w:rsidP="00601F3D" w14:paraId="30568680" w14:textId="6FAA8A70">
      <w:pPr>
        <w:pStyle w:val="NormalHanging"/>
      </w:pPr>
      <w:r w:rsidRPr="007E0B08">
        <w:t>–</w:t>
      </w:r>
      <w:r w:rsidRPr="007E0B08">
        <w:tab/>
        <w:t>ņemot vērā Eiropas Padomes Ministru komitejas 2002. gada 30. aprīļa Ieteikumu R</w:t>
      </w:r>
      <w:r w:rsidR="00C607A9">
        <w:t>EC</w:t>
      </w:r>
      <w:r w:rsidRPr="007E0B08">
        <w:t xml:space="preserve">(2002)5 par sieviešu aizsardzību pret vardarbību, kurā Eiropas Padomes </w:t>
      </w:r>
      <w:r w:rsidRPr="007E0B08">
        <w:t>dalībvalstis tiek mudinātas sodīt par jebkādām seksuālajām darbībām, kas veiktas pret personām bez viņu piekrišanas, pat ja tās neizrāda pretošanās pazīmes,</w:t>
      </w:r>
    </w:p>
    <w:p w:rsidR="00601F3D" w:rsidRPr="007E0B08" w:rsidP="00601F3D" w14:paraId="02729839" w14:textId="52FC123A">
      <w:pPr>
        <w:pStyle w:val="NormalHanging"/>
      </w:pPr>
      <w:r w:rsidRPr="007E0B08">
        <w:t>–</w:t>
      </w:r>
      <w:r w:rsidRPr="007E0B08">
        <w:tab/>
        <w:t>ņemot vērā Eiropas Parlamenta un Padomes 2024. gada 14. maija Direktīvu (ES) 2024/1385 par vardarbības pret sievietēm un vardarbības ģimenē apkarošanu</w:t>
      </w:r>
      <w:r>
        <w:rPr>
          <w:rStyle w:val="FootnoteReference"/>
        </w:rPr>
        <w:footnoteReference w:id="2"/>
      </w:r>
      <w:r w:rsidRPr="007E0B08">
        <w:t>,</w:t>
      </w:r>
    </w:p>
    <w:p w:rsidR="00601F3D" w:rsidRPr="007E0B08" w:rsidP="00601F3D" w14:paraId="01466D45" w14:textId="425D9331">
      <w:pPr>
        <w:pStyle w:val="NormalHanging"/>
      </w:pPr>
      <w:r w:rsidRPr="007E0B08">
        <w:t>–</w:t>
      </w:r>
      <w:r w:rsidRPr="007E0B08">
        <w:tab/>
        <w:t>ņemot vērā 8. un 9. Pantu Eiropas Parlamenta un Padomes 2012. gada 25. oktobra Direktīvā 2012/29/ES, ar ko nosaka noziegumos cietušo tiesību, atbalsta un aizsardzības minimālos standartus un aizstāj Padomes Pamatlēmumu 2001/220/TI</w:t>
      </w:r>
      <w:r>
        <w:rPr>
          <w:rStyle w:val="FootnoteReference"/>
        </w:rPr>
        <w:footnoteReference w:id="3"/>
      </w:r>
      <w:r w:rsidRPr="007E0B08">
        <w:t xml:space="preserve"> (“Cietušo tiesību direktīva”), ar kuru nodrošina uz cietušajiem orientēta tiesiskuma satvaru, kas attiecas arī uz seksuālās vardarbības gadījumiem,</w:t>
      </w:r>
    </w:p>
    <w:p w:rsidR="00601F3D" w:rsidRPr="007E0B08" w:rsidP="00601F3D" w14:paraId="05DAAA24" w14:textId="50763F1F">
      <w:pPr>
        <w:pStyle w:val="NormalHanging"/>
      </w:pPr>
      <w:r w:rsidRPr="007E0B08">
        <w:t>–</w:t>
      </w:r>
      <w:r w:rsidRPr="007E0B08">
        <w:tab/>
        <w:t>ņemot vērā Komisijas 2024. gada 6. februāra priekšlikumu Eiropas Parlamenta un Padomes direktīvai par seksuālas vardarbības pret bērniem, bērnu seksuālas izmantošanas un seksuālu vardarbību pret bērniem atspoguļojošu materiālu apkarošanu, un ar kuru aizstāj Padomes Pamatlēmumu 2004/68/TI (COM(2024)0060), kas ietver akta bez piekrišanas definīciju, un Parlamenta 2025. gada 17. jūnija nostāju par šo priekšlikumu</w:t>
      </w:r>
      <w:r>
        <w:rPr>
          <w:rStyle w:val="FootnoteReference"/>
        </w:rPr>
        <w:footnoteReference w:id="4"/>
      </w:r>
      <w:r w:rsidRPr="007E0B08">
        <w:t>,</w:t>
      </w:r>
    </w:p>
    <w:p w:rsidR="00601F3D" w:rsidRPr="007E0B08" w:rsidP="00601F3D" w14:paraId="30BDE8C9" w14:textId="3101AF61">
      <w:pPr>
        <w:pStyle w:val="NormalHanging"/>
      </w:pPr>
      <w:r w:rsidRPr="007E0B08">
        <w:t>–</w:t>
      </w:r>
      <w:r w:rsidRPr="007E0B08">
        <w:tab/>
        <w:t xml:space="preserve">ņemot vērā </w:t>
      </w:r>
      <w:r w:rsidRPr="007E0B08" w:rsidR="00DC190A">
        <w:t xml:space="preserve">Eiropas </w:t>
      </w:r>
      <w:r w:rsidRPr="007E0B08">
        <w:t xml:space="preserve">Parlamenta 2021. gada 16. septembra rezolūciju ar ieteikumiem Komisijai par to, lai </w:t>
      </w:r>
      <w:r w:rsidRPr="007E0B08">
        <w:t>dzimumbalstīta</w:t>
      </w:r>
      <w:r w:rsidRPr="007E0B08">
        <w:t xml:space="preserve"> vardarbība tiktu iekļauta kā jauna noziegumu joma LESD 83. panta 1. punktā uzskaitītajā noziegumu jomu sarakstā</w:t>
      </w:r>
      <w:r>
        <w:rPr>
          <w:rStyle w:val="FootnoteReference"/>
        </w:rPr>
        <w:footnoteReference w:id="5"/>
      </w:r>
      <w:r w:rsidRPr="007E0B08">
        <w:t>,</w:t>
      </w:r>
    </w:p>
    <w:p w:rsidR="00601F3D" w:rsidRPr="007E0B08" w:rsidP="00601F3D" w14:paraId="00983934" w14:textId="77777777">
      <w:pPr>
        <w:pStyle w:val="NormalHanging"/>
      </w:pPr>
      <w:r w:rsidRPr="007E0B08">
        <w:t>–</w:t>
      </w:r>
      <w:r w:rsidRPr="007E0B08">
        <w:tab/>
        <w:t xml:space="preserve">ņemot vērā ES dzimumu līdztiesības stratēģiju 2020.–2025. gadam, kurā ir aicināts uzlabot aizsardzību pret </w:t>
      </w:r>
      <w:r w:rsidRPr="007E0B08">
        <w:t>dzimumbalstītu</w:t>
      </w:r>
      <w:r w:rsidRPr="007E0B08">
        <w:t xml:space="preserve"> vardarbību, un visaptverošu seksuālo izglītību, veicinot izpratni par piekrišanu,</w:t>
      </w:r>
    </w:p>
    <w:p w:rsidR="00601F3D" w:rsidRPr="007E0B08" w:rsidP="00601F3D" w14:paraId="6AD71ED5" w14:textId="31672962">
      <w:pPr>
        <w:pStyle w:val="NormalHanging"/>
      </w:pPr>
      <w:r w:rsidRPr="007E0B08">
        <w:t>–</w:t>
      </w:r>
      <w:r w:rsidRPr="007E0B08">
        <w:tab/>
        <w:t>ņemot vērā 2023. gada 15. februāra rezolūciju par priekšlikumu Padomes lēmumam par to, lai Eiropas Savienība noslēgtu Eiropas Padomes Konvenciju par vardarbības pret sievietēm un vardarbības ģimenē novēršanu un apkarošanu</w:t>
      </w:r>
      <w:r>
        <w:rPr>
          <w:rStyle w:val="FootnoteReference"/>
        </w:rPr>
        <w:footnoteReference w:id="6"/>
      </w:r>
      <w:r w:rsidRPr="007E0B08">
        <w:t>,</w:t>
      </w:r>
    </w:p>
    <w:p w:rsidR="00601F3D" w:rsidRPr="007E0B08" w:rsidP="00601F3D" w14:paraId="59C6D241" w14:textId="77777777">
      <w:pPr>
        <w:pStyle w:val="NormalHanging"/>
      </w:pPr>
      <w:r w:rsidRPr="007E0B08">
        <w:t>–</w:t>
      </w:r>
      <w:r w:rsidRPr="007E0B08">
        <w:tab/>
        <w:t xml:space="preserve">ņemot vērā Eiropas Cilvēktiesību tiesas (ECT) 2003. gada 4. decembra spriedumu lietā </w:t>
      </w:r>
      <w:r w:rsidRPr="007E0B08">
        <w:rPr>
          <w:i/>
          <w:iCs/>
        </w:rPr>
        <w:t>MC / Bulgārija</w:t>
      </w:r>
      <w:r w:rsidRPr="007E0B08">
        <w:t xml:space="preserve"> (pieteikums Nr. 39272/98), kurā ECT noteica valstu pozitīvo pienākumu ieviest krimināltiesību normas, lai efektīvi izmeklētu </w:t>
      </w:r>
      <w:r w:rsidRPr="007E0B08">
        <w:t>izvarošanu</w:t>
      </w:r>
      <w:r w:rsidRPr="007E0B08">
        <w:t xml:space="preserve"> un sodītu par to, precizēja, ka prasība pierādīt fizisko pretestību rada risku, ka daži </w:t>
      </w:r>
      <w:r w:rsidRPr="007E0B08">
        <w:t>izvarošanas</w:t>
      </w:r>
      <w:r w:rsidRPr="007E0B08">
        <w:t xml:space="preserve"> veidi paliek nesodīti, un nosprieda, ka Eiropas Cilvēktiesību konvencijas (ECTK) 3. un 8. pants paredz sodīt un patiešām saukt pie atbildības par jebkuru seksuālu darbību bez piekrišanas, tostarp gadījumos, kad nav fiziskas pretestības,</w:t>
      </w:r>
    </w:p>
    <w:p w:rsidR="00601F3D" w:rsidRPr="007E0B08" w:rsidP="00601F3D" w14:paraId="3B7CFD2D" w14:textId="77777777">
      <w:pPr>
        <w:pStyle w:val="NormalHanging"/>
      </w:pPr>
      <w:r w:rsidRPr="007E0B08">
        <w:t>–</w:t>
      </w:r>
      <w:r w:rsidRPr="007E0B08">
        <w:tab/>
        <w:t xml:space="preserve">ņemot vērā ECT 2021. gada 27. maija spriedumu lietā </w:t>
      </w:r>
      <w:r w:rsidRPr="007E0B08">
        <w:rPr>
          <w:i/>
          <w:iCs/>
        </w:rPr>
        <w:t>JL / Itālija</w:t>
      </w:r>
      <w:r w:rsidRPr="007E0B08">
        <w:t xml:space="preserve"> (pieteikums Nr. 5671/16), kurā konstatēts, ka paļaušanās uz stereotipiem un cietušo </w:t>
      </w:r>
      <w:r w:rsidRPr="007E0B08">
        <w:t>līdzvainošana</w:t>
      </w:r>
      <w:r w:rsidRPr="007E0B08">
        <w:t xml:space="preserve"> </w:t>
      </w:r>
      <w:r w:rsidRPr="007E0B08">
        <w:t>izvarošanas</w:t>
      </w:r>
      <w:r w:rsidRPr="007E0B08">
        <w:t xml:space="preserve"> tiesas procesos ir ECTK 8. pantā noteikto tiesību uz privātās dzīves neaizskaramību pārkāpums,</w:t>
      </w:r>
    </w:p>
    <w:p w:rsidR="00601F3D" w:rsidRPr="007E0B08" w:rsidP="00601F3D" w14:paraId="450980F6" w14:textId="77777777">
      <w:pPr>
        <w:pStyle w:val="NormalHanging"/>
      </w:pPr>
      <w:r w:rsidRPr="007E0B08">
        <w:t>–</w:t>
      </w:r>
      <w:r w:rsidRPr="007E0B08">
        <w:tab/>
        <w:t xml:space="preserve">ņemot vērā 2006. gada novembrī pieņemtos </w:t>
      </w:r>
      <w:r w:rsidRPr="007E0B08">
        <w:t>Jogjakartas</w:t>
      </w:r>
      <w:r w:rsidRPr="007E0B08">
        <w:t xml:space="preserve"> principus un 2017. gada novembrī pieņemtos </w:t>
      </w:r>
      <w:r w:rsidRPr="007E0B08">
        <w:t>Jogjakartas</w:t>
      </w:r>
      <w:r w:rsidRPr="007E0B08">
        <w:t xml:space="preserve"> 10 papildu principus,</w:t>
      </w:r>
    </w:p>
    <w:p w:rsidR="00601F3D" w:rsidRPr="007E0B08" w:rsidP="00601F3D" w14:paraId="18A54080" w14:textId="4BE77AFA">
      <w:pPr>
        <w:pStyle w:val="NormalHanging"/>
      </w:pPr>
      <w:r w:rsidRPr="007E0B08">
        <w:t>–</w:t>
      </w:r>
      <w:r w:rsidRPr="007E0B08">
        <w:tab/>
        <w:t xml:space="preserve">ņemot vērā ES </w:t>
      </w:r>
      <w:r w:rsidRPr="007E0B08">
        <w:t>Pamattiesību</w:t>
      </w:r>
      <w:r w:rsidRPr="007E0B08">
        <w:t xml:space="preserve"> aģentūras (</w:t>
      </w:r>
      <w:r w:rsidRPr="007E0B08">
        <w:rPr>
          <w:i/>
          <w:iCs/>
        </w:rPr>
        <w:t>FRA</w:t>
      </w:r>
      <w:r w:rsidRPr="007E0B08">
        <w:t>) un Eiropas Dzimumu līdztiesības institūta (</w:t>
      </w:r>
      <w:r w:rsidRPr="007E0B08">
        <w:rPr>
          <w:i/>
          <w:iCs/>
        </w:rPr>
        <w:t>EIGE</w:t>
      </w:r>
      <w:r w:rsidRPr="007E0B08">
        <w:t xml:space="preserve">) sagatavotos </w:t>
      </w:r>
      <w:r w:rsidRPr="007E0B08">
        <w:t>apsekojumus</w:t>
      </w:r>
      <w:r w:rsidRPr="007E0B08">
        <w:t xml:space="preserve"> un ziņojumus, piemēram, 2014. gada </w:t>
      </w:r>
      <w:r w:rsidRPr="007E0B08">
        <w:t>apsekojumu</w:t>
      </w:r>
      <w:r w:rsidRPr="007E0B08">
        <w:t xml:space="preserve"> par vardarbību pret sievietēm un jo īpaši 2024. gada </w:t>
      </w:r>
      <w:r w:rsidRPr="007E0B08">
        <w:t>apsekojumu</w:t>
      </w:r>
      <w:r w:rsidRPr="007E0B08">
        <w:t xml:space="preserve"> par </w:t>
      </w:r>
      <w:r w:rsidRPr="007E0B08">
        <w:t>dzimumbalstītu</w:t>
      </w:r>
      <w:r w:rsidRPr="007E0B08">
        <w:t xml:space="preserve"> vardarbību ES, saskaņā ar kuru 17,2 % sieviešu ES dalībvalstīs ir </w:t>
      </w:r>
      <w:r w:rsidRPr="007E0B08">
        <w:t>saskārušās</w:t>
      </w:r>
      <w:r w:rsidRPr="007E0B08">
        <w:t xml:space="preserve"> ar seksuālu vardarbību</w:t>
      </w:r>
      <w:r>
        <w:rPr>
          <w:rStyle w:val="FootnoteReference"/>
        </w:rPr>
        <w:footnoteReference w:id="7"/>
      </w:r>
      <w:r w:rsidRPr="007E0B08">
        <w:t>, un 2024. gada ziņojumu par LGBTIK+ personām Eiropā,</w:t>
      </w:r>
    </w:p>
    <w:p w:rsidR="00601F3D" w:rsidRPr="007E0B08" w:rsidP="00601F3D" w14:paraId="16A82DE4" w14:textId="066B829A">
      <w:pPr>
        <w:pStyle w:val="NormalHanging"/>
      </w:pPr>
      <w:r w:rsidRPr="007E0B08">
        <w:t>–</w:t>
      </w:r>
      <w:r w:rsidRPr="007E0B08">
        <w:tab/>
        <w:t xml:space="preserve">ņemot vērā </w:t>
      </w:r>
      <w:r w:rsidRPr="007E0B08">
        <w:rPr>
          <w:i/>
          <w:iCs/>
        </w:rPr>
        <w:t>FRA</w:t>
      </w:r>
      <w:r w:rsidRPr="007E0B08">
        <w:t xml:space="preserve"> 2025. gada 10. jūnija ziņojumu “2025. gada ziņojums par </w:t>
      </w:r>
      <w:r w:rsidRPr="007E0B08">
        <w:t>pamattiesībām</w:t>
      </w:r>
      <w:r w:rsidRPr="007E0B08">
        <w:t xml:space="preserve">”, jo īpaši </w:t>
      </w:r>
      <w:r w:rsidRPr="007E0B08">
        <w:rPr>
          <w:i/>
          <w:iCs/>
        </w:rPr>
        <w:t>FRA</w:t>
      </w:r>
      <w:r w:rsidRPr="007E0B08">
        <w:t xml:space="preserve"> 2. atzinumu par no vardarbības cietušo sieviešu efektīvu aizsardzību </w:t>
      </w:r>
      <w:r>
        <w:rPr>
          <w:rStyle w:val="FootnoteReference"/>
        </w:rPr>
        <w:footnoteReference w:id="8"/>
      </w:r>
      <w:r w:rsidRPr="007E0B08">
        <w:t>,</w:t>
      </w:r>
    </w:p>
    <w:p w:rsidR="00601F3D" w:rsidRPr="007E0B08" w:rsidP="00601F3D" w14:paraId="4CF550EE" w14:textId="77777777">
      <w:pPr>
        <w:pStyle w:val="NormalHanging"/>
      </w:pPr>
      <w:r w:rsidRPr="007E0B08">
        <w:t>–</w:t>
      </w:r>
      <w:r w:rsidRPr="007E0B08">
        <w:tab/>
        <w:t xml:space="preserve">ņemot vērā Vispārējo cilvēktiesību deklarāciju un Starptautisko </w:t>
      </w:r>
      <w:r w:rsidRPr="007E0B08">
        <w:t>paktu</w:t>
      </w:r>
      <w:r w:rsidRPr="007E0B08">
        <w:t xml:space="preserve"> par pilsoniskajām un politiskajām tiesībām,</w:t>
      </w:r>
    </w:p>
    <w:p w:rsidR="00601F3D" w:rsidRPr="007E0B08" w:rsidP="00601F3D" w14:paraId="7A2E90C6" w14:textId="77777777">
      <w:pPr>
        <w:pStyle w:val="NormalHanging"/>
      </w:pPr>
      <w:r w:rsidRPr="007E0B08">
        <w:t>–</w:t>
      </w:r>
      <w:r w:rsidRPr="007E0B08">
        <w:tab/>
        <w:t>ņemot vērā ANO 1995. gada 15. septembra deklarāciju „Pekinas deklarācija un rīcības platforma” un tās pārskatīšanas konferenču rezultātus,</w:t>
      </w:r>
    </w:p>
    <w:p w:rsidR="00601F3D" w:rsidRPr="007E0B08" w:rsidP="00601F3D" w14:paraId="677505B9" w14:textId="77777777">
      <w:pPr>
        <w:pStyle w:val="NormalHanging"/>
      </w:pPr>
      <w:r w:rsidRPr="007E0B08">
        <w:t>–</w:t>
      </w:r>
      <w:r w:rsidRPr="007E0B08">
        <w:tab/>
        <w:t xml:space="preserve">ņemot vērā ANO 1979. gada Konvenciju par jebkuras sieviešu diskriminācijas izskaušanu un ANO Sieviešu diskriminācijas izskaušanas komitejas 2017. gada 26. jūlija Vispārējo ieteikumu Nr. 35 (2017) par </w:t>
      </w:r>
      <w:r w:rsidRPr="007E0B08">
        <w:t>dzimumbalstītu</w:t>
      </w:r>
      <w:r w:rsidRPr="007E0B08">
        <w:t xml:space="preserve"> vardarbību pret sievietēm,</w:t>
      </w:r>
    </w:p>
    <w:p w:rsidR="00601F3D" w:rsidRPr="007E0B08" w:rsidP="00601F3D" w14:paraId="0F69658C" w14:textId="77777777">
      <w:pPr>
        <w:pStyle w:val="NormalHanging"/>
      </w:pPr>
      <w:r w:rsidRPr="007E0B08">
        <w:t>–</w:t>
      </w:r>
      <w:r w:rsidRPr="007E0B08">
        <w:tab/>
        <w:t>ņemot vērā ANO Ilgtspējīgas attīstības programmu 2030. gadam un tajā nostiprināto principu “nevienu neatstāt novārtā”, jo īpaši 3., 4., 54., 10 un  ilgtspējīgas attīstības mērķi (IAM),</w:t>
      </w:r>
    </w:p>
    <w:p w:rsidR="00601F3D" w:rsidRPr="007E0B08" w:rsidP="00601F3D" w14:paraId="59696F72" w14:textId="77777777">
      <w:pPr>
        <w:pStyle w:val="NormalHanging"/>
      </w:pPr>
      <w:r w:rsidRPr="007E0B08">
        <w:t>–</w:t>
      </w:r>
      <w:r w:rsidRPr="007E0B08">
        <w:tab/>
        <w:t xml:space="preserve">ņemot vērā ANO Sieviešu diskriminācijas izskaušanas komitejas 2014. gada 21. februāra paziņojumu Nr. 34/2011, kurā valstis tiek mudinātas pārskatīt tiesību aktus par </w:t>
      </w:r>
      <w:r w:rsidRPr="007E0B08">
        <w:t>izvarošanu</w:t>
      </w:r>
      <w:r w:rsidRPr="007E0B08">
        <w:t>, atceļot tajos prasības par spēka pielietošanu vai pierādījumiem, kas apstiprinātu ielaušanos, un nosakot, ka nodarījuma pamatā ir piekrišanas trūkums,</w:t>
      </w:r>
    </w:p>
    <w:p w:rsidR="00601F3D" w:rsidRPr="007E0B08" w:rsidP="00601F3D" w14:paraId="3CE53C1C" w14:textId="77777777">
      <w:pPr>
        <w:pStyle w:val="NormalHanging"/>
      </w:pPr>
      <w:r w:rsidRPr="007E0B08">
        <w:t>–</w:t>
      </w:r>
      <w:r w:rsidRPr="007E0B08">
        <w:tab/>
        <w:t xml:space="preserve">ņemot vērā Starptautiskās Krimināltiesas Romas statūtus un jo īpaši to 7. panta 1. punkta g) apakšpunktu, kurā </w:t>
      </w:r>
      <w:r w:rsidRPr="007E0B08">
        <w:t>izvarošana</w:t>
      </w:r>
      <w:r w:rsidRPr="007E0B08">
        <w:t xml:space="preserve"> un citi seksuālās vardarbības veidi ir atzīti par noziegumiem pret cilvēci, ja tie izdarīti kā daļa no plaša vai sistemātiska uzbrukuma, kas vērsts pret jebkuru civiliedzīvotāju,</w:t>
      </w:r>
    </w:p>
    <w:p w:rsidR="00601F3D" w:rsidRPr="007E0B08" w:rsidP="00601F3D" w14:paraId="413FD3E4" w14:textId="77777777">
      <w:pPr>
        <w:pStyle w:val="NormalHanging"/>
      </w:pPr>
      <w:r w:rsidRPr="007E0B08">
        <w:t>–</w:t>
      </w:r>
      <w:r w:rsidRPr="007E0B08">
        <w:tab/>
        <w:t>ņemot vērā ANO Cilvēktiesību padomes 47. sesijai iesniegto īpašā referenta jautājumos par vardarbību pret sievietēm, tās cēloņiem un sekām 2021. gada 19. aprīļa ziņojumu “</w:t>
      </w:r>
      <w:r w:rsidRPr="007E0B08">
        <w:t>Rape</w:t>
      </w:r>
      <w:r w:rsidRPr="007E0B08">
        <w:t xml:space="preserve"> </w:t>
      </w:r>
      <w:r w:rsidRPr="007E0B08">
        <w:t>as</w:t>
      </w:r>
      <w:r w:rsidRPr="007E0B08">
        <w:t xml:space="preserve"> a </w:t>
      </w:r>
      <w:r w:rsidRPr="007E0B08">
        <w:t>grave</w:t>
      </w:r>
      <w:r w:rsidRPr="007E0B08">
        <w:t xml:space="preserve">, </w:t>
      </w:r>
      <w:r w:rsidRPr="007E0B08">
        <w:t>systematic</w:t>
      </w:r>
      <w:r w:rsidRPr="007E0B08">
        <w:t xml:space="preserve"> </w:t>
      </w:r>
      <w:r w:rsidRPr="007E0B08">
        <w:t>and</w:t>
      </w:r>
      <w:r w:rsidRPr="007E0B08">
        <w:t xml:space="preserve"> </w:t>
      </w:r>
      <w:r w:rsidRPr="007E0B08">
        <w:t>widespread</w:t>
      </w:r>
      <w:r w:rsidRPr="007E0B08">
        <w:t xml:space="preserve"> </w:t>
      </w:r>
      <w:r w:rsidRPr="007E0B08">
        <w:t>human</w:t>
      </w:r>
      <w:r w:rsidRPr="007E0B08">
        <w:t xml:space="preserve"> </w:t>
      </w:r>
      <w:r w:rsidRPr="007E0B08">
        <w:t>rights</w:t>
      </w:r>
      <w:r w:rsidRPr="007E0B08">
        <w:t xml:space="preserve"> </w:t>
      </w:r>
      <w:r w:rsidRPr="007E0B08">
        <w:t>infringement</w:t>
      </w:r>
      <w:r w:rsidRPr="007E0B08">
        <w:t xml:space="preserve">, a </w:t>
      </w:r>
      <w:r w:rsidRPr="007E0B08">
        <w:t>crime</w:t>
      </w:r>
      <w:r w:rsidRPr="007E0B08">
        <w:t xml:space="preserve"> </w:t>
      </w:r>
      <w:r w:rsidRPr="007E0B08">
        <w:t>and</w:t>
      </w:r>
      <w:r w:rsidRPr="007E0B08">
        <w:t xml:space="preserve"> </w:t>
      </w:r>
      <w:r w:rsidRPr="007E0B08">
        <w:t>manifestation</w:t>
      </w:r>
      <w:r w:rsidRPr="007E0B08">
        <w:t xml:space="preserve"> </w:t>
      </w:r>
      <w:r w:rsidRPr="007E0B08">
        <w:t>of</w:t>
      </w:r>
      <w:r w:rsidRPr="007E0B08">
        <w:t xml:space="preserve"> </w:t>
      </w:r>
      <w:r w:rsidRPr="007E0B08">
        <w:t>gender-based</w:t>
      </w:r>
      <w:r w:rsidRPr="007E0B08">
        <w:t xml:space="preserve"> </w:t>
      </w:r>
      <w:r w:rsidRPr="007E0B08">
        <w:t>violence</w:t>
      </w:r>
      <w:r w:rsidRPr="007E0B08">
        <w:t xml:space="preserve"> </w:t>
      </w:r>
      <w:r w:rsidRPr="007E0B08">
        <w:t>against</w:t>
      </w:r>
      <w:r w:rsidRPr="007E0B08">
        <w:t xml:space="preserve"> </w:t>
      </w:r>
      <w:r w:rsidRPr="007E0B08">
        <w:t>women</w:t>
      </w:r>
      <w:r w:rsidRPr="007E0B08">
        <w:t xml:space="preserve"> </w:t>
      </w:r>
      <w:r w:rsidRPr="007E0B08">
        <w:t>and</w:t>
      </w:r>
      <w:r w:rsidRPr="007E0B08">
        <w:t xml:space="preserve"> </w:t>
      </w:r>
      <w:r w:rsidRPr="007E0B08">
        <w:t>girls</w:t>
      </w:r>
      <w:r w:rsidRPr="007E0B08">
        <w:t xml:space="preserve"> </w:t>
      </w:r>
      <w:r w:rsidRPr="007E0B08">
        <w:t>and</w:t>
      </w:r>
      <w:r w:rsidRPr="007E0B08">
        <w:t xml:space="preserve"> </w:t>
      </w:r>
      <w:r w:rsidRPr="007E0B08">
        <w:t>its</w:t>
      </w:r>
      <w:r w:rsidRPr="007E0B08">
        <w:t xml:space="preserve"> </w:t>
      </w:r>
      <w:r w:rsidRPr="007E0B08">
        <w:t>prevention</w:t>
      </w:r>
      <w:r w:rsidRPr="007E0B08">
        <w:t>” (“</w:t>
      </w:r>
      <w:r w:rsidRPr="007E0B08">
        <w:t>Izvarošana</w:t>
      </w:r>
      <w:r w:rsidRPr="007E0B08">
        <w:t xml:space="preserve"> kā smags, sistemātisks un plaši izplatīts cilvēktiesību pārkāpums, noziegums un </w:t>
      </w:r>
      <w:r w:rsidRPr="007E0B08">
        <w:t>dzimumbalstītas</w:t>
      </w:r>
      <w:r w:rsidRPr="007E0B08">
        <w:t xml:space="preserve"> vardarbības pret sievietēm un meitenēm izpausme un tās novēršana”), kā arī tam pievienoto regulējumu tiesību aktiem par </w:t>
      </w:r>
      <w:r w:rsidRPr="007E0B08">
        <w:t>izvarošanu</w:t>
      </w:r>
      <w:r w:rsidRPr="007E0B08">
        <w:t>,</w:t>
      </w:r>
    </w:p>
    <w:p w:rsidR="00601F3D" w:rsidRPr="007E0B08" w:rsidP="00601F3D" w14:paraId="48B0A3E0" w14:textId="77777777">
      <w:pPr>
        <w:pStyle w:val="NormalHanging"/>
      </w:pPr>
      <w:r w:rsidRPr="007E0B08">
        <w:t>–</w:t>
      </w:r>
      <w:r w:rsidRPr="007E0B08">
        <w:tab/>
        <w:t>ņemot vērā Reglamenta 55. pantu,</w:t>
      </w:r>
    </w:p>
    <w:p w:rsidR="00601F3D" w:rsidRPr="007E0B08" w:rsidP="00601F3D" w14:paraId="3B8B9E3E" w14:textId="77777777">
      <w:pPr>
        <w:pStyle w:val="NormalHanging"/>
      </w:pPr>
      <w:r w:rsidRPr="007E0B08">
        <w:t>–</w:t>
      </w:r>
      <w:r w:rsidRPr="007E0B08">
        <w:tab/>
        <w:t xml:space="preserve">ņemot vērā Pilsoņu brīvību, tieslietu un </w:t>
      </w:r>
      <w:r w:rsidRPr="007E0B08">
        <w:t>iekšlietu</w:t>
      </w:r>
      <w:r w:rsidRPr="007E0B08">
        <w:t xml:space="preserve"> komitejas un Sieviešu tiesību un dzimumu līdztiesības komitejas kopīgās apspriedes, kas ir rīkotas saskaņā ar Reglamenta 59. pantu,</w:t>
      </w:r>
    </w:p>
    <w:p w:rsidR="00601F3D" w:rsidRPr="007E0B08" w:rsidP="00601F3D" w14:paraId="76429081" w14:textId="77777777">
      <w:pPr>
        <w:pStyle w:val="NormalHanging"/>
      </w:pPr>
      <w:r w:rsidRPr="007E0B08">
        <w:t>–</w:t>
      </w:r>
      <w:r w:rsidRPr="007E0B08">
        <w:tab/>
        <w:t xml:space="preserve">ņemot vērā Pilsoņu brīvību, tieslietu un </w:t>
      </w:r>
      <w:r w:rsidRPr="007E0B08">
        <w:t>iekšlietu</w:t>
      </w:r>
      <w:r w:rsidRPr="007E0B08">
        <w:t xml:space="preserve"> komitejas un Sieviešu tiesību un dzimumu līdztiesības komitejas ziņojumu (A10-0047/2026),</w:t>
      </w:r>
    </w:p>
    <w:p w:rsidR="00601F3D" w:rsidRPr="007E0B08" w:rsidP="00601F3D" w14:paraId="72AE98D9" w14:textId="77777777">
      <w:pPr>
        <w:pStyle w:val="NormalHanging"/>
      </w:pPr>
      <w:r w:rsidRPr="007E0B08">
        <w:t>A.</w:t>
      </w:r>
      <w:r w:rsidRPr="007E0B08">
        <w:tab/>
        <w:t xml:space="preserve">tā kā seksuālās vardarbības akti saskaņā ar starptautiskajām cilvēktiesībām ir krimināli sodāmi gan kara, gan miera laikā; tā kā gan starptautisko humanitāro tiesību, gan starptautisko krimināltiesību kontekstā </w:t>
      </w:r>
      <w:r w:rsidRPr="007E0B08">
        <w:t>izvarošana</w:t>
      </w:r>
      <w:r w:rsidRPr="007E0B08">
        <w:t xml:space="preserve"> ir identificēta kā iespējams kara noziegums, noziegums pret cilvēci vai darbība, kas veicina genocīdu, ar nosacījumu, ka pastāv citi nepieciešamie šā nozieguma sastāva elementi; tā kā šī klasifikācija ir noteikta Starptautiskās Krimināltiesas Romas statūtos (8. pants), 1949. gada Ženēvas konvencijās un papildprotokolos; tā kā Starptautiskās Krimināltiesas ieskatā </w:t>
      </w:r>
      <w:r w:rsidRPr="007E0B08">
        <w:t>izvarošanas</w:t>
      </w:r>
      <w:r w:rsidRPr="007E0B08">
        <w:t xml:space="preserve"> kā kara nozieguma juridiskā interpretācija kā būtisku elementu ietver piekrišanas neesamību;</w:t>
      </w:r>
    </w:p>
    <w:p w:rsidR="00601F3D" w:rsidRPr="007E0B08" w:rsidP="00601F3D" w14:paraId="2F2AC3EE" w14:textId="77777777">
      <w:pPr>
        <w:pStyle w:val="NormalHanging"/>
      </w:pPr>
      <w:r w:rsidRPr="007E0B08">
        <w:t>B.</w:t>
      </w:r>
      <w:r w:rsidRPr="007E0B08">
        <w:tab/>
        <w:t>tā kā saskaņā ar ECT sniegto informāciju definīcijas, kuru pamatā ir spēka kā nozieguma galvenā elementa izmantošana, sniedz nepietiekamu aizsardzību seksuālās vardarbības upuriem un apdraud personu seksuālās autonomijas efektīvu aizsardzību;</w:t>
      </w:r>
    </w:p>
    <w:p w:rsidR="00601F3D" w:rsidRPr="007E0B08" w:rsidP="00601F3D" w14:paraId="16AB481F" w14:textId="77777777">
      <w:pPr>
        <w:pStyle w:val="NormalHanging"/>
      </w:pPr>
      <w:r w:rsidRPr="007E0B08">
        <w:t>C.</w:t>
      </w:r>
      <w:r w:rsidRPr="007E0B08">
        <w:tab/>
        <w:t xml:space="preserve">tā kā </w:t>
      </w:r>
      <w:r w:rsidRPr="007E0B08">
        <w:t>izvarošana</w:t>
      </w:r>
      <w:r w:rsidRPr="007E0B08">
        <w:t xml:space="preserve"> ir vairāku cilvēktiesību pārkāpums, tostarp tiesību uz ķermeņa neaizskaramību, tiesību uz autonomiju un seksuālo autonomiju, tiesību uz privātumu, tiesību uz augstāko sasniedzamo fiziskās un garīgās veselības standartu, sieviešu tiesību uz līdztiesību likuma priekšā un tiesību netikt pakļautām vardarbībai, diskriminācijai, spīdzināšanai un citai nežēlīgai vai necilvēcīgai rīcībai pārkāpums; tā kā </w:t>
      </w:r>
      <w:r w:rsidRPr="007E0B08">
        <w:t>izvarošana</w:t>
      </w:r>
      <w:r w:rsidRPr="007E0B08">
        <w:t xml:space="preserve"> arī liedz cietušajam pilnībā izmantot virkni citu cilvēktiesību, piemēram, tiesības uz dzīvību, cieņu, fizisko un garīgo neaizskaramību, tiesības uz brīvību un personīgo drošību, tiesības uz līdztiesību ģimenē un likuma priekšā neatkarīgi no dzimuma un </w:t>
      </w:r>
      <w:r w:rsidRPr="007E0B08">
        <w:t>dzimumidentitātes</w:t>
      </w:r>
      <w:r w:rsidRPr="007E0B08">
        <w:t>, kā arī tiesības cita starpā netikt pakļautam diskriminācijai, spīdzināšanai un citādai sliktai attieksmei;</w:t>
      </w:r>
    </w:p>
    <w:p w:rsidR="00601F3D" w:rsidRPr="007E0B08" w:rsidP="00601F3D" w14:paraId="43FA8BC1" w14:textId="77777777">
      <w:pPr>
        <w:pStyle w:val="NormalHanging"/>
      </w:pPr>
      <w:r w:rsidRPr="007E0B08">
        <w:t>D.</w:t>
      </w:r>
      <w:r w:rsidRPr="007E0B08">
        <w:tab/>
        <w:t xml:space="preserve">tā kā </w:t>
      </w:r>
      <w:r w:rsidRPr="007E0B08">
        <w:t>dzimumbalstīta</w:t>
      </w:r>
      <w:r w:rsidRPr="007E0B08">
        <w:t xml:space="preserve"> vardarbība joprojām ir viens no izplatītākajiem cilvēktiesību pārkāpumiem Eiropā, par kuriem netiek pietiekami saņemti iesniegumi, un uz to ir jāreaģē Eiropas līmenī; tā kā pašreizējā starptautiskajā cilvēktiesību tiesiskajā regulējumā </w:t>
      </w:r>
      <w:r w:rsidRPr="007E0B08">
        <w:t>izvarošana</w:t>
      </w:r>
      <w:r w:rsidRPr="007E0B08">
        <w:t xml:space="preserve"> ir atzīta gan par cilvēktiesību pārkāpumu, gan par </w:t>
      </w:r>
      <w:r w:rsidRPr="007E0B08">
        <w:t>dzimumbalstītas</w:t>
      </w:r>
      <w:r w:rsidRPr="007E0B08">
        <w:t xml:space="preserve"> vardarbības veidu, kas galvenokārt skar sievietes un meitenes; tā kā </w:t>
      </w:r>
      <w:r w:rsidRPr="007E0B08">
        <w:t>izvarošana</w:t>
      </w:r>
      <w:r w:rsidRPr="007E0B08">
        <w:t xml:space="preserve"> ir viens no izplatītākajiem un brutālākajiem </w:t>
      </w:r>
      <w:r w:rsidRPr="007E0B08">
        <w:t>dzimumbalstītas</w:t>
      </w:r>
      <w:r w:rsidRPr="007E0B08">
        <w:t xml:space="preserve"> vardarbības veidiem, kas pārkāpj personu fizisko, psiholoģisko un seksuālo integritāti un ķermeņa autonomiju un rada smagas un ilgstošas sekas to pārdzīvojušiem;</w:t>
      </w:r>
    </w:p>
    <w:p w:rsidR="00601F3D" w:rsidRPr="007E0B08" w:rsidP="00601F3D" w14:paraId="7DD03151" w14:textId="77777777">
      <w:pPr>
        <w:pStyle w:val="NormalHanging"/>
      </w:pPr>
      <w:r w:rsidRPr="007E0B08">
        <w:t>E.</w:t>
      </w:r>
      <w:r w:rsidRPr="007E0B08">
        <w:tab/>
        <w:t xml:space="preserve">tā kā ar dzimumu saistīta vardarbība būtiski ierobežo sieviešu un meiteņu līdzdalību sabiedriskajā dzīvē un viņu piekļuvi tiesu iestādēm, izglītībai un ekonomiskajai neatkarībai un tādējādi ir strukturāls šķērslis patiesas dzimumu līdztiesības panākšanai; tā kā </w:t>
      </w:r>
      <w:r w:rsidRPr="007E0B08">
        <w:t>izvarošanas</w:t>
      </w:r>
      <w:r w:rsidRPr="007E0B08">
        <w:t xml:space="preserve"> upuri saskaras ar smagām un ilgstošām sekām, tostarp sociālām un ekonomiskām sekām, piemēram, darba zaudēšanu, finansiālu atkarību, mājokļa nestabilitāti un mazāku līdzdalību izglītībā vai darbavietā, kas pastiprina vardarbības sekas un nostiprina dzimumu līdztiesības trūkumu;</w:t>
      </w:r>
    </w:p>
    <w:p w:rsidR="00601F3D" w:rsidRPr="007E0B08" w:rsidP="00601F3D" w14:paraId="3700F832" w14:textId="79289674">
      <w:pPr>
        <w:pStyle w:val="NormalHanging"/>
      </w:pPr>
      <w:r w:rsidRPr="007E0B08">
        <w:t>F.</w:t>
      </w:r>
      <w:r w:rsidRPr="007E0B08">
        <w:tab/>
        <w:t xml:space="preserve">tā kā saskaņā ar </w:t>
      </w:r>
      <w:r w:rsidRPr="007E0B08">
        <w:rPr>
          <w:i/>
          <w:iCs/>
        </w:rPr>
        <w:t>FRA</w:t>
      </w:r>
      <w:r w:rsidRPr="007E0B08">
        <w:t xml:space="preserve"> un </w:t>
      </w:r>
      <w:r w:rsidRPr="007E0B08">
        <w:rPr>
          <w:i/>
          <w:iCs/>
        </w:rPr>
        <w:t>EIGE</w:t>
      </w:r>
      <w:r w:rsidRPr="007E0B08">
        <w:t xml:space="preserve"> datiem 17,2 % sieviešu ES ir </w:t>
      </w:r>
      <w:r w:rsidRPr="007E0B08">
        <w:t>saskārušās</w:t>
      </w:r>
      <w:r w:rsidRPr="007E0B08">
        <w:t xml:space="preserve"> ar seksuālu vardarbību, tostarp </w:t>
      </w:r>
      <w:r w:rsidRPr="007E0B08">
        <w:t>izvarošanu</w:t>
      </w:r>
      <w:r w:rsidRPr="007E0B08">
        <w:t xml:space="preserve"> un citām nevēlamām seksuālām darbībām, un viena no 20 sievietēm kopš 15 gadu vecuma ir </w:t>
      </w:r>
      <w:r w:rsidRPr="007E0B08">
        <w:t>izvarota</w:t>
      </w:r>
      <w:r w:rsidRPr="007E0B08">
        <w:t>, pielietojot spēku</w:t>
      </w:r>
      <w:r>
        <w:rPr>
          <w:rStyle w:val="FootnoteReference"/>
        </w:rPr>
        <w:footnoteReference w:id="9"/>
      </w:r>
      <w:r w:rsidRPr="007E0B08">
        <w:t xml:space="preserve">; tā kā saskaņā ar </w:t>
      </w:r>
      <w:r w:rsidRPr="007E0B08">
        <w:rPr>
          <w:i/>
          <w:iCs/>
        </w:rPr>
        <w:t>FRA</w:t>
      </w:r>
      <w:r w:rsidRPr="007E0B08">
        <w:t xml:space="preserve"> datiem iepriekšējos gados ir palielinājusies vardarbība pret LGBTIK+ personām un </w:t>
      </w:r>
      <w:r w:rsidRPr="007E0B08">
        <w:t>transsievietes</w:t>
      </w:r>
      <w:r w:rsidRPr="007E0B08">
        <w:t xml:space="preserve"> ir nesamērīgi pakļautas fiziskai un seksuālai vardarbībai; tā kā no seksuālas vardarbības cieš arī LGBTIK+ viņu dzimuma, </w:t>
      </w:r>
      <w:r w:rsidRPr="007E0B08">
        <w:t>dzimumidentitātes</w:t>
      </w:r>
      <w:r w:rsidRPr="007E0B08">
        <w:t xml:space="preserve">, dzimuma pašizpausmes un </w:t>
      </w:r>
      <w:r w:rsidRPr="007E0B08">
        <w:t>dzimumpazīmju</w:t>
      </w:r>
      <w:r w:rsidRPr="007E0B08">
        <w:t xml:space="preserve"> dēļ; tā kā ar dzimumu saistītas vardarbības aplēstās gada izmaksas ES ir 366 miljardi EUR;</w:t>
      </w:r>
    </w:p>
    <w:p w:rsidR="00601F3D" w:rsidRPr="007E0B08" w:rsidP="00601F3D" w14:paraId="3B3E7519" w14:textId="77777777">
      <w:pPr>
        <w:pStyle w:val="NormalHanging"/>
      </w:pPr>
      <w:r w:rsidRPr="007E0B08">
        <w:t>G.</w:t>
      </w:r>
      <w:r w:rsidRPr="007E0B08">
        <w:tab/>
        <w:t xml:space="preserve">tā kā </w:t>
      </w:r>
      <w:r w:rsidRPr="007E0B08">
        <w:t>izvarošanas</w:t>
      </w:r>
      <w:r w:rsidRPr="007E0B08">
        <w:t xml:space="preserve"> nodarījuma pārrobežu dimensija rada īpašu nepieciešamību kopīgi apkarot to Eiropas Savienībā, lai nodrošinātu konsekventāku aizsardzību un </w:t>
      </w:r>
      <w:r w:rsidRPr="007E0B08">
        <w:t>lidztiesīgu</w:t>
      </w:r>
      <w:r w:rsidRPr="007E0B08">
        <w:t xml:space="preserve"> tiesu iestāžu pieejamību cietušajiem visās dalībvalstīs, ietverot vairākus galvenos elementus: nepieciešamību nodrošināt minimālo aizsardzības līmeni visām sievietēm visās dalībvalstīs, nepieciešamību nodrošināt minimālo aizsardzības līmeni laikā, kad sievietes izmanto pārvietošanās brīvību visā Savienībā, jo saskaņotas definīcijas trūkums apdraud juridisko noteiktību cietušajām un piekļuvi tiesu iestādēm, tādējādi radot šķēršļus pārvietošanās brīvībai, un nepieciešamību un pienākumu saskaņot ES tiesību aktus ar starptautiskajiem standartiem, piemēram, Stambulas konvenciju, kurā ir paredzēta kriminālatbildības noteikšana par </w:t>
      </w:r>
      <w:r w:rsidRPr="007E0B08">
        <w:t>izvarošanu</w:t>
      </w:r>
      <w:r w:rsidRPr="007E0B08">
        <w:t>, pamatojoties uz piekrišanas trūkumu;</w:t>
      </w:r>
    </w:p>
    <w:p w:rsidR="00601F3D" w:rsidRPr="007E0B08" w:rsidP="00601F3D" w14:paraId="661F1F3D" w14:textId="77777777">
      <w:pPr>
        <w:pStyle w:val="NormalHanging"/>
      </w:pPr>
      <w:r w:rsidRPr="007E0B08">
        <w:t>H.</w:t>
      </w:r>
      <w:r w:rsidRPr="007E0B08">
        <w:tab/>
        <w:t xml:space="preserve">tā kā pašreizējā tiesiskā vide ES joprojām ir sadrumstalota, ar atšķirīgām juridiskām interpretācijām un atšķirīgām </w:t>
      </w:r>
      <w:r w:rsidRPr="007E0B08">
        <w:t>izvarošanas</w:t>
      </w:r>
      <w:r w:rsidRPr="007E0B08">
        <w:t xml:space="preserve"> definīcijām, kas ne vienmēr atspoguļo starptautiskos cilvēktiesību standartus vai Stambulas konvencijas prasības attiecībā uz piekrišanu; tā kā saskaņotu juridisko definīciju trūkums dalībvalstīs apdraud cietušo tiesības, kavē pārrobežu sadarbību un veicina vainīgo nesodāmību, kā arī izpratnes trūkumu par to, kas ir seksuāla vardarbība; tā kā vairākas dalībvalstis joprojām definē </w:t>
      </w:r>
      <w:r w:rsidRPr="007E0B08">
        <w:t>izvarošanu</w:t>
      </w:r>
      <w:r w:rsidRPr="007E0B08">
        <w:t xml:space="preserve">, pamatojoties uz spēka vai draudu izmantošanu, tādējādi izslēdzot daudzus cietušos no tiesiskās aizsardzības; tā kā šis apstāklis uzsver steidzamo nepieciešamību ES mērogā izstrādāt definīciju, kurā </w:t>
      </w:r>
      <w:r w:rsidRPr="007E0B08">
        <w:t>izvarošana</w:t>
      </w:r>
      <w:r w:rsidRPr="007E0B08">
        <w:t xml:space="preserve"> definēta kā darbības bez cietušās personas piekrišanas; tā kā tādas vienotas juridiskas definīcijas ieviešana attiecībā uz </w:t>
      </w:r>
      <w:r w:rsidRPr="007E0B08">
        <w:t>izvarošanu</w:t>
      </w:r>
      <w:r w:rsidRPr="007E0B08">
        <w:t xml:space="preserve">, kuras pamatā ir piekrišanas trūkums, palīdzētu uzlabot policijas un tiesu iestāžu sadarbību un uzlabotu datu par </w:t>
      </w:r>
      <w:r w:rsidRPr="007E0B08">
        <w:t>izvarošanu</w:t>
      </w:r>
      <w:r w:rsidRPr="007E0B08">
        <w:t xml:space="preserve"> vākšanu un salīdzināmību ES;</w:t>
      </w:r>
    </w:p>
    <w:p w:rsidR="00601F3D" w:rsidRPr="007E0B08" w:rsidP="00601F3D" w14:paraId="52FE5B39" w14:textId="29A89347">
      <w:pPr>
        <w:pStyle w:val="NormalHanging"/>
      </w:pPr>
      <w:r w:rsidRPr="007E0B08">
        <w:t>I.</w:t>
      </w:r>
      <w:r w:rsidRPr="007E0B08">
        <w:tab/>
        <w:t>tā kā visas dalībvalstis ir parakstījušas Stambulas konvenciju, bet piecām dalībvalstīm tā vēl ir jāratificē</w:t>
      </w:r>
      <w:r>
        <w:rPr>
          <w:rStyle w:val="FootnoteReference"/>
        </w:rPr>
        <w:footnoteReference w:id="10"/>
      </w:r>
      <w:r w:rsidRPr="007E0B08">
        <w:t xml:space="preserve">; tā kā no tiem tikai divas nesen ir reformējuši savus tiesību aktus, lai piekrišanas trūkumu atzītu par galveno elementu </w:t>
      </w:r>
      <w:r w:rsidRPr="007E0B08">
        <w:t>izvarošanas</w:t>
      </w:r>
      <w:r w:rsidRPr="007E0B08">
        <w:t xml:space="preserve"> nozieguma definēšanā</w:t>
      </w:r>
      <w:r>
        <w:rPr>
          <w:rStyle w:val="FootnoteReference"/>
        </w:rPr>
        <w:footnoteReference w:id="11"/>
      </w:r>
      <w:r w:rsidRPr="007E0B08">
        <w:t xml:space="preserve">; tā kā kopš Stambulas konvencijas stāšanās spēkā 16 dalībvalstis ir grozījušas savus tiesību aktus, lai iekļautu vai precizētu piekrišanas jēdzienu, iekļaujot tās trūkumu kā </w:t>
      </w:r>
      <w:r w:rsidRPr="007E0B08">
        <w:t>izvarošanas</w:t>
      </w:r>
      <w:r w:rsidRPr="007E0B08">
        <w:t xml:space="preserve"> nozieguma būtisku elementu; tā kā 2023. gadā ES pievienojās šai konvencijai jomās, kas ir tās ekskluzīvā kompetencē; tā kā Stambulas konvencijas noteikums par </w:t>
      </w:r>
      <w:r w:rsidRPr="007E0B08">
        <w:t>izvarošanas</w:t>
      </w:r>
      <w:r w:rsidRPr="007E0B08">
        <w:t xml:space="preserve"> definīciju, kas balstīta uz piekrišanas elementu, ir bijis pagrieziena punkts tiesību aktu reformā, iezīmējot pāreju no tradicionālās pieejas, saskaņā ar kuru </w:t>
      </w:r>
      <w:r w:rsidRPr="007E0B08">
        <w:t>izvarošanas</w:t>
      </w:r>
      <w:r w:rsidRPr="007E0B08">
        <w:t xml:space="preserve"> definīcija nozīmē pieņēmumu par vardarbību; tā kā </w:t>
      </w:r>
      <w:r w:rsidRPr="007E0B08">
        <w:rPr>
          <w:i/>
          <w:iCs/>
        </w:rPr>
        <w:t>FRA</w:t>
      </w:r>
      <w:r w:rsidRPr="007E0B08">
        <w:t xml:space="preserve"> 2025. gada ziņojumā par </w:t>
      </w:r>
      <w:r w:rsidRPr="007E0B08">
        <w:t>pamattiesībām</w:t>
      </w:r>
      <w:r w:rsidRPr="007E0B08">
        <w:t xml:space="preserve"> ir norādīts, ka dalībvalstīm, kuras ir ratificējušas Stambulas konvenciju, būtu jānosaka kriminālatbildība par seksuālu </w:t>
      </w:r>
      <w:r w:rsidRPr="007E0B08">
        <w:t xml:space="preserve">vardarbību, izmantojot uz </w:t>
      </w:r>
      <w:r w:rsidRPr="007E0B08">
        <w:t>izvarošanas</w:t>
      </w:r>
      <w:r w:rsidRPr="007E0B08">
        <w:t xml:space="preserve"> un citu seksuālās vardarbības veidu definīcijas, kuru pamatā ir piekrišanas trūkums;</w:t>
      </w:r>
    </w:p>
    <w:p w:rsidR="00601F3D" w:rsidRPr="007E0B08" w:rsidP="00601F3D" w14:paraId="02FE8169" w14:textId="32ABF53A">
      <w:pPr>
        <w:pStyle w:val="NormalHanging"/>
      </w:pPr>
      <w:r w:rsidRPr="007E0B08">
        <w:t>J.</w:t>
      </w:r>
      <w:r w:rsidRPr="007E0B08">
        <w:tab/>
        <w:t xml:space="preserve">tā kā ECT ir bijusi izšķiroša nozīme, veidojot mūsdienu izpratni par </w:t>
      </w:r>
      <w:r w:rsidRPr="007E0B08">
        <w:t>izvarošanu</w:t>
      </w:r>
      <w:r w:rsidRPr="007E0B08">
        <w:t xml:space="preserve"> saskaņā ar cilvēktiesību aktiem, jo īpaši ar tās nozīmīgo 2003. gada spriedumu lietā </w:t>
      </w:r>
      <w:r w:rsidRPr="007E0B08">
        <w:rPr>
          <w:i/>
          <w:iCs/>
        </w:rPr>
        <w:t>MC / Bulgārija</w:t>
      </w:r>
      <w:r w:rsidRPr="007E0B08">
        <w:t xml:space="preserve">, kurā tā ir noteikusi valstu pozitīvo pienākumu ieviest krimināltiesību normas, lai efektīvi izmeklētu </w:t>
      </w:r>
      <w:r w:rsidRPr="007E0B08">
        <w:t>izvarošanu</w:t>
      </w:r>
      <w:r w:rsidRPr="007E0B08">
        <w:t xml:space="preserve"> un sodītu par to, ir konstatējusi, ka, pieprasot pierādījumus par cietušā fizisko pretestību, pastāv risks, ka daži </w:t>
      </w:r>
      <w:r w:rsidRPr="007E0B08">
        <w:t>izvarošanas</w:t>
      </w:r>
      <w:r w:rsidRPr="007E0B08">
        <w:t xml:space="preserve"> veidi paliktu nesodīti un netiktu aizsargāta seksuālā autonomija, kā noteikts ECTK 3. un 8. pantā, un ir nospriedusi, ka šie panti prasa sodīt par jebkādu seksuālu darbību bez piekrišanas un efektīvi saukt pie atbildības par to, tostarp gadījumos, kad nav fiziskas pretestības; tā kā turpmākajos ECT spriedumos, piemēram, spriedumos </w:t>
      </w:r>
      <w:r w:rsidRPr="007E0B08">
        <w:rPr>
          <w:i/>
          <w:iCs/>
        </w:rPr>
        <w:t>JL / Itālija</w:t>
      </w:r>
      <w:r w:rsidRPr="007E0B08">
        <w:t xml:space="preserve"> (2021. g.) un </w:t>
      </w:r>
      <w:r w:rsidRPr="007E0B08">
        <w:rPr>
          <w:i/>
          <w:iCs/>
        </w:rPr>
        <w:t>X / Kipra</w:t>
      </w:r>
      <w:r w:rsidRPr="007E0B08">
        <w:t xml:space="preserve"> (2025. g.)</w:t>
      </w:r>
      <w:r>
        <w:rPr>
          <w:rStyle w:val="FootnoteReference"/>
        </w:rPr>
        <w:footnoteReference w:id="12"/>
      </w:r>
      <w:r w:rsidRPr="007E0B08">
        <w:t xml:space="preserve">, ir nosodīta cietušo </w:t>
      </w:r>
      <w:r w:rsidRPr="007E0B08">
        <w:t>līdzvainošanas</w:t>
      </w:r>
      <w:r w:rsidRPr="007E0B08">
        <w:t xml:space="preserve"> argumentu un stereotipu izmantošana tiesvedībā, konstatējot, ka šāda prakse ir ECTK 8. pantā noteikto tiesību uz privātās dzīves neaizskaramību pārkāpums, turpina radīt aizspriedumus un kavē seksuālās vardarbības upuru piekļuvi tiesu iestādēm; tā kā ECT spriedumā lietā </w:t>
      </w:r>
      <w:r w:rsidRPr="007E0B08">
        <w:rPr>
          <w:i/>
          <w:iCs/>
        </w:rPr>
        <w:t>HW / Franciju</w:t>
      </w:r>
      <w:r>
        <w:rPr>
          <w:rStyle w:val="FootnoteReference"/>
        </w:rPr>
        <w:footnoteReference w:id="13"/>
      </w:r>
      <w:r w:rsidRPr="007E0B08">
        <w:t xml:space="preserve"> ir noteikusi, ka jebkuras seksuālas darbības bez piekrišanas ir seksuālas vardarbības veids; tā kā spriedumā lietā </w:t>
      </w:r>
      <w:r w:rsidRPr="007E0B08">
        <w:rPr>
          <w:i/>
          <w:iCs/>
        </w:rPr>
        <w:t>L u. c. / Francija</w:t>
      </w:r>
      <w:r>
        <w:rPr>
          <w:rStyle w:val="FootnoteReference"/>
        </w:rPr>
        <w:footnoteReference w:id="14"/>
      </w:r>
      <w:r w:rsidRPr="007E0B08">
        <w:t xml:space="preserve"> ECT ir interpretējusi ECTK 3. un 8. pantu kā prasību ECTK pusēm izveidot krimināltiesību sistēmas, kas spēj sodīt par seksuālām darbībām, kas notikušas bez piekrišanas;</w:t>
      </w:r>
    </w:p>
    <w:p w:rsidR="00601F3D" w:rsidRPr="007E0B08" w:rsidP="00601F3D" w14:paraId="78B75B9A" w14:textId="77777777">
      <w:pPr>
        <w:pStyle w:val="NormalHanging"/>
      </w:pPr>
      <w:r w:rsidRPr="007E0B08">
        <w:t>K.</w:t>
      </w:r>
      <w:r w:rsidRPr="007E0B08">
        <w:tab/>
        <w:t>tā kā ANO Rokasgrāmatā par tiesību aktiem attiecībā uz vardarbību pret sievietēm ir noteikts, ka tiesību aktos ir jāparedz atbildību pastiprinoši apstākļi, tostarp, piemēram, nodarījumu pārdzīvojušās personas vecums, attiecības starp šo personu un vainīgo, fiziskas vardarbības izmantošana vai draudi, vairāku vainīgo klātbūtne un smagas fiziskas vai garīgas uzbrukuma sekas cietušajai personai; tā kā rokasgrāmatā ir arī norādīts, ka tiesību aktos “īpaši būtu jānosaka kriminālatbildība par seksuālu vardarbību attiecībās (t. i., “</w:t>
      </w:r>
      <w:r w:rsidRPr="007E0B08">
        <w:t>izvarošanu</w:t>
      </w:r>
      <w:r w:rsidRPr="007E0B08">
        <w:t xml:space="preserve"> laulībā”), vai nu paredzot, ka noteikumus par seksuālu vardarbību piemēro “neatkarīgi no attiecību rakstura” starp vainīgo un iesnieguma iesniedzēju, vai nosakot, ka “neviena laulība vai citas attiecības nav attaisnojums pret apsūdzību seksuālā vardarbībā saskaņā ar tiesību aktiem”;</w:t>
      </w:r>
    </w:p>
    <w:p w:rsidR="00601F3D" w:rsidRPr="007E0B08" w:rsidP="00601F3D" w14:paraId="2D422792" w14:textId="77777777">
      <w:pPr>
        <w:pStyle w:val="NormalHanging"/>
      </w:pPr>
      <w:r w:rsidRPr="007E0B08">
        <w:t>L.</w:t>
      </w:r>
      <w:r w:rsidRPr="007E0B08">
        <w:tab/>
        <w:t xml:space="preserve">tā kā 2021. gada 16. septembrī Parlaments pieņēma rezolūciju par </w:t>
      </w:r>
      <w:r w:rsidRPr="007E0B08">
        <w:t>dzimumbalstītas</w:t>
      </w:r>
      <w:r w:rsidRPr="007E0B08">
        <w:t xml:space="preserve"> vardarbības noteikšanu par jaunu noziegumu jomu, kas minēta LESD 83. panta 1. punktā; tā kā minētajā rezolūcijā dalībvalstis tika aicinātas grozīt “</w:t>
      </w:r>
      <w:r w:rsidRPr="007E0B08">
        <w:t>izvarošanas</w:t>
      </w:r>
      <w:r w:rsidRPr="007E0B08">
        <w:t xml:space="preserve">” definīciju savos valsts tiesību aktos, lai tā būtu balstīta uz piekrišanas trūkumu, un tika uzsvērts, ka </w:t>
      </w:r>
      <w:r w:rsidRPr="007E0B08">
        <w:t>dzimumbalstīta</w:t>
      </w:r>
      <w:r w:rsidRPr="007E0B08">
        <w:t xml:space="preserve"> vardarbība ir nopietns cilvēktiesību un cieņas pārkāpums un ka </w:t>
      </w:r>
      <w:r w:rsidRPr="007E0B08">
        <w:t>izvarošana</w:t>
      </w:r>
      <w:r w:rsidRPr="007E0B08">
        <w:t xml:space="preserve"> ir </w:t>
      </w:r>
      <w:r w:rsidRPr="007E0B08">
        <w:t>dzimumbalstītas</w:t>
      </w:r>
      <w:r w:rsidRPr="007E0B08">
        <w:t xml:space="preserve"> vardarbības veids;</w:t>
      </w:r>
    </w:p>
    <w:p w:rsidR="00601F3D" w:rsidRPr="007E0B08" w:rsidP="00601F3D" w14:paraId="5DF4E9EC" w14:textId="77777777">
      <w:pPr>
        <w:pStyle w:val="NormalHanging"/>
      </w:pPr>
      <w:r w:rsidRPr="007E0B08">
        <w:t>M.</w:t>
      </w:r>
      <w:r w:rsidRPr="007E0B08">
        <w:tab/>
        <w:t xml:space="preserve">tā kā LESD 83. Pantam vajadzētu būt piemērojamam tiesību aktu priekšlikumu juridiskajam pamatam attiecībā uz </w:t>
      </w:r>
      <w:r w:rsidRPr="007E0B08">
        <w:t>izvarošanas</w:t>
      </w:r>
      <w:r w:rsidRPr="007E0B08">
        <w:t xml:space="preserve"> nodarījumu, jo </w:t>
      </w:r>
      <w:r w:rsidRPr="007E0B08">
        <w:t>izvarošana</w:t>
      </w:r>
      <w:r w:rsidRPr="007E0B08">
        <w:t xml:space="preserve"> ir uzskatāma par smagu noziegumu ar pārrobežu dimensiju un pieder pie “sieviešu un bērnu seksuālas izmantošanas” jomas;</w:t>
      </w:r>
    </w:p>
    <w:p w:rsidR="00601F3D" w:rsidRPr="007E0B08" w:rsidP="00601F3D" w14:paraId="17BEF36E" w14:textId="5B8F99FE">
      <w:pPr>
        <w:pStyle w:val="NormalHanging"/>
      </w:pPr>
      <w:r w:rsidRPr="007E0B08">
        <w:t>N.</w:t>
      </w:r>
      <w:r w:rsidRPr="007E0B08">
        <w:tab/>
        <w:t>tā kā termins “seksuālā izmantošana” LESD 83. panta 1. punktā neaprobežojas tikai ar cilvēku tirdzniecību, jo šāda šaura interpretācija nepamatoti ierobežotu cilvēku tirdzniecību un sieviešu un bērnu seksuālu izmantošanu, attiecinot to tikai uz nodarījumiem, kas saistīti ar cilvēku tirdzniecību; tā kā formulējums un likumdošanas prakse, tostarp Direktīva par seksuālas vardarbības pret bērniem apkarošanu</w:t>
      </w:r>
      <w:r>
        <w:rPr>
          <w:rStyle w:val="FootnoteReference"/>
        </w:rPr>
        <w:footnoteReference w:id="15"/>
      </w:r>
      <w:r w:rsidRPr="007E0B08">
        <w:t xml:space="preserve">, apliecina, ka “seksuālā izmantošana” aptver plašāku noziedzīgu nodarījumu klāstu, tostarp seksuālu vardarbību; tā kā seksuālā izmantošana parasti attiecas uz citas personas prettiesisku izmantošanu seksuālā labuma gūšanai, kas ietver cietušo neaizsargātību, kam ir būtiska nozīme </w:t>
      </w:r>
      <w:r w:rsidRPr="007E0B08">
        <w:t>izvarošanas</w:t>
      </w:r>
      <w:r w:rsidRPr="007E0B08">
        <w:t xml:space="preserve"> noziegumā;</w:t>
      </w:r>
    </w:p>
    <w:p w:rsidR="00601F3D" w:rsidRPr="007E0B08" w:rsidP="00601F3D" w14:paraId="138D7DA2" w14:textId="77777777">
      <w:pPr>
        <w:pStyle w:val="NormalHanging"/>
      </w:pPr>
      <w:r w:rsidRPr="007E0B08">
        <w:t>O.</w:t>
      </w:r>
      <w:r w:rsidRPr="007E0B08">
        <w:tab/>
        <w:t>tā kā Stambulas konvencijas 36. pantā ir noteikts pienākums paredzēt kriminālatbildību par visām seksuālajām darbībām bez piekrišanas un precizēts, ka “Piekrišanai jābūt brīvprātīgai, paužot personas brīvu gribu, ko novērtē atbilstoši konkrētajiem apstākļiem”; tā kā šis princips atbilst ECT nolēmumiem un valstu tiesu praksei;</w:t>
      </w:r>
    </w:p>
    <w:p w:rsidR="00601F3D" w:rsidRPr="007E0B08" w:rsidP="00601F3D" w14:paraId="36196BF2" w14:textId="77777777">
      <w:pPr>
        <w:pStyle w:val="NormalHanging"/>
      </w:pPr>
      <w:r w:rsidRPr="007E0B08">
        <w:t>P.</w:t>
      </w:r>
      <w:r w:rsidRPr="007E0B08">
        <w:tab/>
        <w:t>tā kā piekrišana ir brīvprātīga vienošanās iesaistīties konkrētā seksuālā darbībā un to var atsaukt jebkurā laikā;</w:t>
      </w:r>
    </w:p>
    <w:p w:rsidR="00601F3D" w:rsidRPr="007E0B08" w:rsidP="00601F3D" w14:paraId="084EF052" w14:textId="38ECAA68">
      <w:pPr>
        <w:pStyle w:val="NormalHanging"/>
      </w:pPr>
      <w:r w:rsidRPr="007E0B08">
        <w:t>Q.</w:t>
      </w:r>
      <w:r w:rsidRPr="007E0B08">
        <w:tab/>
        <w:t>tā kā daudzas dalībvalstis</w:t>
      </w:r>
      <w:r>
        <w:rPr>
          <w:rStyle w:val="FootnoteReference"/>
        </w:rPr>
        <w:footnoteReference w:id="16"/>
      </w:r>
      <w:r w:rsidRPr="007E0B08">
        <w:t xml:space="preserve"> un vairākas citas Eiropas valstis</w:t>
      </w:r>
      <w:r>
        <w:rPr>
          <w:rStyle w:val="FootnoteReference"/>
        </w:rPr>
        <w:footnoteReference w:id="17"/>
      </w:r>
      <w:r w:rsidRPr="007E0B08">
        <w:t xml:space="preserve"> savos kriminālkodeksos jau ir ieviesušas </w:t>
      </w:r>
      <w:r w:rsidRPr="007E0B08">
        <w:t>izvarošanas</w:t>
      </w:r>
      <w:r w:rsidRPr="007E0B08">
        <w:t xml:space="preserve"> definīcijas, kuras balstītas uz piekrišanas trūkumu, kā rezultātā ir panākta efektīvāka seksuālas vardarbības noziegumu novēršana, iesniegumi par tiem un saukšana pie atbildības par tiem, kā arī ir palielinājusies sabiedrības informētība;</w:t>
      </w:r>
    </w:p>
    <w:p w:rsidR="00601F3D" w:rsidRPr="007E0B08" w:rsidP="00601F3D" w14:paraId="57661F41" w14:textId="77777777">
      <w:pPr>
        <w:pStyle w:val="NormalHanging"/>
      </w:pPr>
      <w:r w:rsidRPr="007E0B08">
        <w:t>R.</w:t>
      </w:r>
      <w:r w:rsidRPr="007E0B08">
        <w:tab/>
        <w:t xml:space="preserve">tā kā Parlamenta nostāja un pilnvaras attiecībā uz direktīvu par vardarbību pret sievietēm un vardarbību ģimenē ir stingrs atbalsts </w:t>
      </w:r>
      <w:r w:rsidRPr="007E0B08">
        <w:t>izvarošanas</w:t>
      </w:r>
      <w:r w:rsidRPr="007E0B08">
        <w:t xml:space="preserve"> nodarījuma definīcijas, kuras balstītas uz piekrišanas trūkumu, iekļaušanu tekstā, kā tas arī ir Komisijas priekšlikumā; tā kā Padome diemžēl uzskatīja, ka šajā direktīvā nebūtu jāiekļauj kriminālatbildības noteikšana par </w:t>
      </w:r>
      <w:r w:rsidRPr="007E0B08">
        <w:t>izvarošanu</w:t>
      </w:r>
      <w:r w:rsidRPr="007E0B08">
        <w:t>;</w:t>
      </w:r>
    </w:p>
    <w:p w:rsidR="00601F3D" w:rsidRPr="007E0B08" w:rsidP="00601F3D" w14:paraId="03C9D390" w14:textId="77777777">
      <w:pPr>
        <w:pStyle w:val="NormalHanging"/>
      </w:pPr>
      <w:r w:rsidRPr="007E0B08">
        <w:t>S.</w:t>
      </w:r>
      <w:r w:rsidRPr="007E0B08">
        <w:tab/>
        <w:t xml:space="preserve">tā kā Komisijas priekšlikumā direktīvai par vardarbības pret sievietēm un vardarbības ģimenē apkarošanu bija iekļauts priekšlikums noteikt kriminālatbildību par </w:t>
      </w:r>
      <w:r w:rsidRPr="007E0B08">
        <w:t>izvarošanu</w:t>
      </w:r>
      <w:r w:rsidRPr="007E0B08">
        <w:t xml:space="preserve">, pamatojoties uz atzinumu, ka “sieviešu seksuāla izmantošana” ietver </w:t>
      </w:r>
      <w:r w:rsidRPr="007E0B08">
        <w:t>izvarošanu</w:t>
      </w:r>
      <w:r w:rsidRPr="007E0B08">
        <w:t xml:space="preserve">; tā kā šāda interpretācija ir saskaņā ar Līgumos pausto apņemšanos nodrošināt sieviešu un vīriešu līdztiesību; tā kā tādēļ LESD 83. panta 1. punkts ir uzskatāms par piemērotu juridiskais pamatu, lai noteiktu minimālos ES noteikumus par </w:t>
      </w:r>
      <w:r w:rsidRPr="007E0B08">
        <w:t>izvarošanas</w:t>
      </w:r>
      <w:r w:rsidRPr="007E0B08">
        <w:t xml:space="preserve"> definīciju;</w:t>
      </w:r>
    </w:p>
    <w:p w:rsidR="00601F3D" w:rsidRPr="007E0B08" w:rsidP="00601F3D" w14:paraId="70C5F1B5" w14:textId="77777777">
      <w:pPr>
        <w:pStyle w:val="NormalHanging"/>
      </w:pPr>
      <w:r w:rsidRPr="007E0B08">
        <w:t>T.</w:t>
      </w:r>
      <w:r w:rsidRPr="007E0B08">
        <w:tab/>
        <w:t xml:space="preserve">tā kā </w:t>
      </w:r>
      <w:r w:rsidRPr="007E0B08">
        <w:t>izvarošanas</w:t>
      </w:r>
      <w:r w:rsidRPr="007E0B08">
        <w:t xml:space="preserve"> upuriem bieži tiek jautāts par pretošanos seksuālai vardarbībai, un vainīgie apgalvo, ka tas, ka cietušie nav pretojušies, liecina par pasīvu vienošanos; tā kā Zviedrijas pētījumā 70 % seksuālās vardarbības upuru ziņoja par ievērojamu baiļu izraisītu īslaicīgu paralīzi, kas pazīstama arī kā “sastinguma reakcija”; tā kā reakcija, kas ir pazīstama kā “īslaicīga paralīze” (jeb baiļu izraisīta īslaicīga paralīze), nevis aktīva fiziskā pretestība vainīgajam, ir dominējošais reaģēšanas veids starp </w:t>
      </w:r>
      <w:r w:rsidRPr="007E0B08">
        <w:t>izvarošanu</w:t>
      </w:r>
      <w:r w:rsidRPr="007E0B08">
        <w:t xml:space="preserve"> </w:t>
      </w:r>
      <w:r w:rsidRPr="007E0B08">
        <w:t xml:space="preserve">pārdzīvojušām personām; tā kā pretošanās trūkums jeb “sastingums” ir izplatīta nebrīvprātīga reakcija un izdzīvošanas reflekss, saskaroties ar draudiem, un tā rezultātā var rasties paralīze (nemainīga poza, muskuļu tonusa zudums, nespēja veikt brīvprātīgas darbības), disociācija, kuras dēļ personas informētība ir atrauta no traucējošām un sāpīgām sajūtām un emocijām, kas rodas tās ķermenī, un var tikt zaudēta sajūta par spēju rīkoties; tā kā šo realitāti nevar ignorēt, lai nodrošinātu tiesu iestāžu pieejamību </w:t>
      </w:r>
      <w:r w:rsidRPr="007E0B08">
        <w:t>izvarošanas</w:t>
      </w:r>
      <w:r w:rsidRPr="007E0B08">
        <w:t xml:space="preserve"> upuriem un veicinātu tiesisko un sociālo vidi, kurā vairs nav vietas iecietībai pret </w:t>
      </w:r>
      <w:r w:rsidRPr="007E0B08">
        <w:t>izvarošanu</w:t>
      </w:r>
      <w:r w:rsidRPr="007E0B08">
        <w:t>;</w:t>
      </w:r>
    </w:p>
    <w:p w:rsidR="00601F3D" w:rsidRPr="007E0B08" w:rsidP="00601F3D" w14:paraId="74D6A802" w14:textId="77777777">
      <w:pPr>
        <w:pStyle w:val="NormalHanging"/>
      </w:pPr>
      <w:r w:rsidRPr="007E0B08">
        <w:t>U.</w:t>
      </w:r>
      <w:r w:rsidRPr="007E0B08">
        <w:tab/>
        <w:t xml:space="preserve">tā kā tādi faktori kā piespiešana, spēka pielietošana, draudi, finansiālā un psiholoģiskā atkarība, fiziski vai garīgi stāvokļi, piemēram, baiļu izraisīta īslaicīga paralīze, sastingums, pārsteiguma faktors, baiļu stāvoklis, iebiedēšana, bezsamaņa, intoksikācija, sazāļošana, atrašanās miega stāvoklī, slimība, miesas bojājumi, invaliditāte vai citi stāvokļi, vai cita īpašas neaizsargātības situācija, vai strukturāla un </w:t>
      </w:r>
      <w:r w:rsidRPr="007E0B08">
        <w:t>intersekcionāla</w:t>
      </w:r>
      <w:r w:rsidRPr="007E0B08">
        <w:t xml:space="preserve"> diskriminācija var radīt neaizsargātību un apdraudējumu un var kavēt brīvas piekrišanas sniegšanu, kuras trūkums ir būtisks </w:t>
      </w:r>
      <w:r w:rsidRPr="007E0B08">
        <w:t>izvarošanas</w:t>
      </w:r>
      <w:r w:rsidRPr="007E0B08">
        <w:t xml:space="preserve"> gadījumos;</w:t>
      </w:r>
    </w:p>
    <w:p w:rsidR="00601F3D" w:rsidRPr="007E0B08" w:rsidP="00601F3D" w14:paraId="69F84D49" w14:textId="77777777">
      <w:pPr>
        <w:pStyle w:val="NormalHanging"/>
      </w:pPr>
      <w:r w:rsidRPr="007E0B08">
        <w:t>V.</w:t>
      </w:r>
      <w:r w:rsidRPr="007E0B08">
        <w:tab/>
        <w:t xml:space="preserve">tā kā trauma, ko radījis seksuāls uzbrukums, var ietekmēt atmiņas darbību, izraisot fragmentāru atmiņu vai tās trūkumu par notikumiem un laika secības izkropļojumus, kas apgrūtina atcerēšanos par to, kādā secībā notikumi ir risinājušies; tā kā </w:t>
      </w:r>
      <w:r w:rsidRPr="007E0B08">
        <w:t>izvarošanas</w:t>
      </w:r>
      <w:r w:rsidRPr="007E0B08">
        <w:t xml:space="preserve"> izraisītā trauma ir saistīta ar </w:t>
      </w:r>
      <w:r w:rsidRPr="007E0B08">
        <w:t>posttraumatiskā</w:t>
      </w:r>
      <w:r w:rsidRPr="007E0B08">
        <w:t xml:space="preserve"> stresa sindromu un citiem smagiem garīgās veselības traucējumu simptomiem, tostarp samazinātu koncentrāciju, trauksmi, panikas lēkmēm, smagu depresiju, nepatīkamiem atmiņu uzplaiksnījumiem un murgiem;</w:t>
      </w:r>
    </w:p>
    <w:p w:rsidR="00601F3D" w:rsidRPr="007E0B08" w:rsidP="00601F3D" w14:paraId="75B9CD65" w14:textId="77777777">
      <w:pPr>
        <w:pStyle w:val="NormalHanging"/>
      </w:pPr>
      <w:r w:rsidRPr="007E0B08">
        <w:t>W.</w:t>
      </w:r>
      <w:r w:rsidRPr="007E0B08">
        <w:tab/>
        <w:t xml:space="preserve">tā kā paļaušanās uz materiāliem pierādījumiem par pretestību, draudiem vai vardarbību pastiprina kaitīgus mītus  par </w:t>
      </w:r>
      <w:r w:rsidRPr="007E0B08">
        <w:t>izvarošanu</w:t>
      </w:r>
      <w:r w:rsidRPr="007E0B08">
        <w:t xml:space="preserve"> un stereotipus par to, kāda uzvedība no cietušajām personām tiek sagaidīta, veicinot sekundāru </w:t>
      </w:r>
      <w:r w:rsidRPr="007E0B08">
        <w:t>viktimizāciju</w:t>
      </w:r>
      <w:r w:rsidRPr="007E0B08">
        <w:t>, jo īpaši gadījumos, kad cietušās personas neatbilst sociāli veidotiem priekšstatiem par traumām, pretestību vai redzamiem miesas bojājumiem; tā kā šāda prakse veicina neuzticēšanos tiesībaizsardzības un tiesu sistēmām, kā rezultātā cietušo vēršanās rādītāji ar iesniegumu ir zemi un vainīgie paliek nesodīti;</w:t>
      </w:r>
    </w:p>
    <w:p w:rsidR="00601F3D" w:rsidRPr="007E0B08" w:rsidP="00601F3D" w14:paraId="7409A0C3" w14:textId="77777777">
      <w:pPr>
        <w:pStyle w:val="NormalHanging"/>
      </w:pPr>
      <w:r w:rsidRPr="007E0B08">
        <w:t>X.</w:t>
      </w:r>
      <w:r w:rsidRPr="007E0B08">
        <w:tab/>
        <w:t xml:space="preserve">tā kā seksuālā autonomija un ķermeņa integritāte ir neaizskaramas tiesības un </w:t>
      </w:r>
      <w:r w:rsidRPr="007E0B08">
        <w:t>izvarošanas</w:t>
      </w:r>
      <w:r w:rsidRPr="007E0B08">
        <w:t xml:space="preserve"> tiesību aktu, kuri balstīti uz piekrišanas trūkumu, mērķis ir stiprināt to aizsardzību; tā kā tāda normatīva akta par </w:t>
      </w:r>
      <w:r w:rsidRPr="007E0B08">
        <w:t>izvarošanu</w:t>
      </w:r>
      <w:r w:rsidRPr="007E0B08">
        <w:t xml:space="preserve"> pieņemšana, kas ir balstīta uz piekrišanu, ir ļoti svarīga, lai atzītu, ka seksuālās autonomijas un integritātes pārkāpumi var tikt izdarīti pat situācijās, kad fiziska vardarbība piemērota netiek, piemēram, kad pastāv spaidi vai tiek ļaunprātīgi izmantota vara;</w:t>
      </w:r>
    </w:p>
    <w:p w:rsidR="00601F3D" w:rsidRPr="007E0B08" w:rsidP="00601F3D" w14:paraId="30694975" w14:textId="77777777">
      <w:pPr>
        <w:pStyle w:val="NormalHanging"/>
      </w:pPr>
      <w:r w:rsidRPr="007E0B08">
        <w:t>Y.</w:t>
      </w:r>
      <w:r w:rsidRPr="007E0B08">
        <w:tab/>
        <w:t xml:space="preserve">tā kā seksuālās autonomijas nozīmīguma uzsvēršanas mērķis ir veicināt dzimumu līdztiesību un jo īpaši sieviešu un meiteņu tiesību īstenošanu; tā kā tiesību akti par </w:t>
      </w:r>
      <w:r w:rsidRPr="007E0B08">
        <w:t>izvarošanu</w:t>
      </w:r>
      <w:r w:rsidRPr="007E0B08">
        <w:t>, kuri balstīti uz piekrišanas trūkumu, īpaši uzsver sieviešu tiesības pieņemt lēmumus par sevi un savu ķermeni;</w:t>
      </w:r>
    </w:p>
    <w:p w:rsidR="00601F3D" w:rsidRPr="007E0B08" w:rsidP="00601F3D" w14:paraId="5233E7A4" w14:textId="77777777">
      <w:pPr>
        <w:pStyle w:val="NormalHanging"/>
      </w:pPr>
      <w:r w:rsidRPr="007E0B08">
        <w:t>Z.</w:t>
      </w:r>
      <w:r w:rsidRPr="007E0B08">
        <w:tab/>
        <w:t xml:space="preserve">tā kā piekrišanai vajadzētu būt galvenajam elementam tiesību aktos par </w:t>
      </w:r>
      <w:r w:rsidRPr="007E0B08">
        <w:t>izvarošanu</w:t>
      </w:r>
      <w:r w:rsidRPr="007E0B08">
        <w:t xml:space="preserve">; tā kā tiesību akti par </w:t>
      </w:r>
      <w:r w:rsidRPr="007E0B08">
        <w:t>izvarošanu</w:t>
      </w:r>
      <w:r w:rsidRPr="007E0B08">
        <w:t xml:space="preserve">, kas balstīti uz piekrišanas trūkumu, ir nepieciešami, lai efektīvāk aptvertu situācijas, kad seksuālā darbība sākas tik pēkšņi, ka cietušajai personai nav iespējas paust savu gribu vai aizstāvēties pirms darbību uzsākšanas; tā kā tiesību akti par </w:t>
      </w:r>
      <w:r w:rsidRPr="007E0B08">
        <w:t>izvarošanu</w:t>
      </w:r>
      <w:r w:rsidRPr="007E0B08">
        <w:t>, kuri balstīti uz piekrišanas trūkumu, ir arī būtiski, lai labāk risinātu situācijas, kurās cietušās personas baiļu dēļ nevar iebilst pret attiecīgajām darbībām;</w:t>
      </w:r>
    </w:p>
    <w:p w:rsidR="00601F3D" w:rsidRPr="007E0B08" w:rsidP="00601F3D" w14:paraId="2C4A6C20" w14:textId="77777777">
      <w:pPr>
        <w:pStyle w:val="NormalHanging"/>
      </w:pPr>
      <w:r w:rsidRPr="007E0B08">
        <w:t>AA.</w:t>
      </w:r>
      <w:r w:rsidRPr="007E0B08">
        <w:tab/>
        <w:t xml:space="preserve">tā kā pierādījumi liecina, ka lielāko daļu </w:t>
      </w:r>
      <w:r w:rsidRPr="007E0B08">
        <w:t>izvarošanas</w:t>
      </w:r>
      <w:r w:rsidRPr="007E0B08">
        <w:t xml:space="preserve"> veic paziņas vai intīmie partneri un </w:t>
      </w:r>
      <w:r w:rsidRPr="007E0B08">
        <w:t>izvarošana</w:t>
      </w:r>
      <w:r w:rsidRPr="007E0B08">
        <w:t xml:space="preserve"> notiek iekštelpās, tomēr cietušās personas šādos gadījumos bieži saskaras ar aizdomām un neticību krimināltiesību sistēmā, jo īpaši jurisdikcijās, kurās joprojām tiek piemērotas novecojušas pierādīšanas prasības, un tas pastiprina mītus, ka </w:t>
      </w:r>
      <w:r w:rsidRPr="007E0B08">
        <w:t>izvarošanu</w:t>
      </w:r>
      <w:r w:rsidRPr="007E0B08">
        <w:t xml:space="preserve"> parasti veic svešinieki sabiedriskās vietās un ka cietušie provocē vai safabricē </w:t>
      </w:r>
      <w:r w:rsidRPr="007E0B08">
        <w:t>izvarošanu</w:t>
      </w:r>
      <w:r w:rsidRPr="007E0B08">
        <w:t xml:space="preserve"> apstiprinošus faktus; tā kā šādus mītus vēl vairāk pastiprina neatbilstošs attēlojums medijos, publiskais diskurss un sabiedrības informētības trūkums;</w:t>
      </w:r>
    </w:p>
    <w:p w:rsidR="00601F3D" w:rsidRPr="007E0B08" w:rsidP="00601F3D" w14:paraId="3E22D088" w14:textId="77777777">
      <w:pPr>
        <w:pStyle w:val="NormalHanging"/>
      </w:pPr>
      <w:r w:rsidRPr="007E0B08">
        <w:t>AB.</w:t>
      </w:r>
      <w:r w:rsidRPr="007E0B08">
        <w:tab/>
        <w:t xml:space="preserve">tā kā vispārpieņemtie mīti un uzskati par </w:t>
      </w:r>
      <w:r w:rsidRPr="007E0B08">
        <w:t>izvarošanu</w:t>
      </w:r>
      <w:r w:rsidRPr="007E0B08">
        <w:t xml:space="preserve"> un seksuālu uzbrukumu kaitē </w:t>
      </w:r>
      <w:r w:rsidRPr="007E0B08">
        <w:t>izvarošanas</w:t>
      </w:r>
      <w:r w:rsidRPr="007E0B08">
        <w:t xml:space="preserve"> nozieguma definēšanai un rada papildu draudus šo nodarījumu pārdzīvojušo personu labklājībai, gatavībai vērsties ar iesniegumu un aizsardzībai pret sekundāru </w:t>
      </w:r>
      <w:r w:rsidRPr="007E0B08">
        <w:t>viktimizāciju</w:t>
      </w:r>
      <w:r w:rsidRPr="007E0B08">
        <w:t xml:space="preserve">, kā arī kavē kriminālvajāšanu un tiesu iestāžu pieejamību; tā kā šie atzītie uzskati un mīti ir viens no faktoriem, kas palīdz saglabāt nesodāmību par </w:t>
      </w:r>
      <w:r w:rsidRPr="007E0B08">
        <w:t>izvarošanu</w:t>
      </w:r>
      <w:r w:rsidRPr="007E0B08">
        <w:t xml:space="preserve"> un kavē atbilstošu tiesību aktu izstrādi;</w:t>
      </w:r>
    </w:p>
    <w:p w:rsidR="00601F3D" w:rsidRPr="007E0B08" w:rsidP="00601F3D" w14:paraId="58A6C121" w14:textId="77777777">
      <w:pPr>
        <w:pStyle w:val="NormalHanging"/>
      </w:pPr>
      <w:r w:rsidRPr="007E0B08">
        <w:t>AC.</w:t>
      </w:r>
      <w:r w:rsidRPr="007E0B08">
        <w:tab/>
        <w:t xml:space="preserve">tā kā seksuālās vardarbības apmērs joprojām tiek novērtēts pārāk zemu un netiek pietiekami novērtēts, jo lielākā daļa seksuālo noziegumu joprojām netiek atklāti; tā kā daudzi </w:t>
      </w:r>
      <w:r w:rsidRPr="007E0B08">
        <w:t>izvarošanas</w:t>
      </w:r>
      <w:r w:rsidRPr="007E0B08">
        <w:t xml:space="preserve"> gadījumi, par kuriem saņemts iesniegums, nekad netiek izmeklēti un lielākā daļa kriminālvajāšanas gadījumu par </w:t>
      </w:r>
      <w:r w:rsidRPr="007E0B08">
        <w:t>izvarošanu</w:t>
      </w:r>
      <w:r w:rsidRPr="007E0B08">
        <w:t xml:space="preserve"> nebeidzas ar notiesāšanu; tā kā tas padziļina sieviešu neuzticēšanos sistēmai, noved pie zemiem rādītājiem attiecībā uz vēršanos ar iesniegumiem un nostiprina sabiedrības nesodāmības sajūtu, kā rezultātā seksuālā vardarbība, tostarp </w:t>
      </w:r>
      <w:r w:rsidRPr="007E0B08">
        <w:t>izvarošana</w:t>
      </w:r>
      <w:r w:rsidRPr="007E0B08">
        <w:t xml:space="preserve">, tiek uzskatīta par normālu parādību; tā kā plaši izplatītā nesodāmība par </w:t>
      </w:r>
      <w:r w:rsidRPr="007E0B08">
        <w:t>izvarošanu</w:t>
      </w:r>
      <w:r w:rsidRPr="007E0B08">
        <w:t xml:space="preserve"> veicina dominējošo uzskatu un sociālo normu kopumu, kas veicina vīriešu seksuālo agresiju un atbalsta vardarbību pret sievietēm, radot vidi, kurā seksuālā vardarbība tiek uzskatīta par normālu un attaisnota ar pastāvīgu dzimumu līdztiesības trūkumu un kaitīgu attieksmi pret dzimumu jautājumu un seksualitāti; tā kā ir nepieņemami, ka </w:t>
      </w:r>
      <w:r w:rsidRPr="007E0B08">
        <w:t>izvarošana</w:t>
      </w:r>
      <w:r w:rsidRPr="007E0B08">
        <w:t xml:space="preserve"> bez fiziskas vardarbības nerada nekādas sekas; tā kā konsekventa kriminālvajāšana par visiem </w:t>
      </w:r>
      <w:r w:rsidRPr="007E0B08">
        <w:t>izvarošanas</w:t>
      </w:r>
      <w:r w:rsidRPr="007E0B08">
        <w:t xml:space="preserve"> veidiem ir būtiska, lai saglabātu sabiedrības uzticēšanos tiesu sistēmām, un tai ir būtiska nozīme seksuālās vardarbības novēršanā; tā kā tiesību aktiem par </w:t>
      </w:r>
      <w:r w:rsidRPr="007E0B08">
        <w:t>izvarošanu</w:t>
      </w:r>
      <w:r w:rsidRPr="007E0B08">
        <w:t>, kuri balstīti uz piekrišanas trūkumu, ir izšķiroša nozīme, gan atspoguļojot un mainot attieksmi pret dzimumnoziegumiem, gan palielinot informētību visā ES, tādējādi galu galā samazinot dzimumnoziegumu skaitu; tā kā tiesību akti, kuros ņemts vērā piekrišanas jēdziens, var izraisīt paradigmas maiņu, nepieciešamību panākt piekrišanu aizstājot ar skaidras pretestības trūkumu seksuālai darbībai;</w:t>
      </w:r>
    </w:p>
    <w:p w:rsidR="00601F3D" w:rsidRPr="007E0B08" w:rsidP="00601F3D" w14:paraId="104BF305" w14:textId="77777777">
      <w:pPr>
        <w:pStyle w:val="NormalHanging"/>
      </w:pPr>
      <w:r w:rsidRPr="007E0B08">
        <w:t>AD.</w:t>
      </w:r>
      <w:r w:rsidRPr="007E0B08">
        <w:tab/>
        <w:t xml:space="preserve">tā kā Stambulas konvencijas paskaidrojuma ziņojumā attiecībā uz konvencijas 36. panta 2. punktu ir precizēts, ka saukšanai pie atbildības par seksuālu vardarbību, tostarp </w:t>
      </w:r>
      <w:r w:rsidRPr="007E0B08">
        <w:t>izvarošanu</w:t>
      </w:r>
      <w:r w:rsidRPr="007E0B08">
        <w:t xml:space="preserve">, “vajadzēs veikt pierādījumu novērtējumu, ņemot vērā kontekstu, lai katrā atsevišķā gadījumā noteiktu, vai cietušā persona ir brīvi piekritusi veiktajai seksuālajai darbībai. Šādā novērtējumā ir jāatzīst plašais reakcijas uzvedības klāsts uz seksuālu vardarbību un </w:t>
      </w:r>
      <w:r w:rsidRPr="007E0B08">
        <w:t>izvarošanu</w:t>
      </w:r>
      <w:r w:rsidRPr="007E0B08">
        <w:t xml:space="preserve">, ko izrāda cietušas personas, un tas nav balstīts uz pieņēmumiem par tipisku uzvedību šādās situācijās. Tikpat svarīgi ir nodrošināt, lai dzimumu stereotipi un mīti par vīriešu un sieviešu seksualitāti neietekmētu </w:t>
      </w:r>
      <w:r w:rsidRPr="007E0B08">
        <w:t>izvarošanas</w:t>
      </w:r>
      <w:r w:rsidRPr="007E0B08">
        <w:t xml:space="preserve"> tiesību aktu interpretāciju un kriminālvajāšanu </w:t>
      </w:r>
      <w:r w:rsidRPr="007E0B08">
        <w:t>izvarošanas</w:t>
      </w:r>
      <w:r w:rsidRPr="007E0B08">
        <w:t xml:space="preserve"> lietās”;</w:t>
      </w:r>
    </w:p>
    <w:p w:rsidR="00601F3D" w:rsidRPr="007E0B08" w:rsidP="00601F3D" w14:paraId="4CB6CD19" w14:textId="77777777">
      <w:pPr>
        <w:pStyle w:val="NormalHanging"/>
      </w:pPr>
      <w:r w:rsidRPr="007E0B08">
        <w:t>AE.</w:t>
      </w:r>
      <w:r w:rsidRPr="007E0B08">
        <w:tab/>
        <w:t xml:space="preserve">tā kā ANO Sieviešu diskriminācijas izskaušanas komiteja savā paziņojumā Nr. 34/2011 mudina valstis pārskatīt tiesību aktus par </w:t>
      </w:r>
      <w:r w:rsidRPr="007E0B08">
        <w:t>izvarošanu</w:t>
      </w:r>
      <w:r w:rsidRPr="007E0B08">
        <w:t xml:space="preserve">, atceļot prasības attiecībā uz spēku vai pierādījumiem par ielaušanos un nosakot, ka nodarījuma pamatā ir piekrišanas trūkums, un vispārējā ieteikumā Nr. 35 (2017) mudina valstis atzīt </w:t>
      </w:r>
      <w:r w:rsidRPr="007E0B08">
        <w:t>dzimumbalstītu</w:t>
      </w:r>
      <w:r w:rsidRPr="007E0B08">
        <w:t xml:space="preserve"> vardarbību par diskriminācijas veidu un pieņemt tiesību aktu reformas, kas nodrošina </w:t>
      </w:r>
      <w:r w:rsidRPr="007E0B08">
        <w:t xml:space="preserve">šādas vardarbības izskaušanu, tostarp nosakot kriminālatbildību par seksuālām darbībām bez piekrišanas un atbalstot tiesu iestāžu un pakalpojumu pieejamību visām sievietēm un meitenēm, jo īpaši tām, kuras saskaras ar </w:t>
      </w:r>
      <w:r w:rsidRPr="007E0B08">
        <w:t>intersekcionāliem</w:t>
      </w:r>
      <w:r w:rsidRPr="007E0B08">
        <w:t xml:space="preserve"> diskriminācijas veidiem;</w:t>
      </w:r>
    </w:p>
    <w:p w:rsidR="00601F3D" w:rsidRPr="007E0B08" w:rsidP="00601F3D" w14:paraId="1BE72076" w14:textId="77777777">
      <w:pPr>
        <w:pStyle w:val="NormalHanging"/>
      </w:pPr>
      <w:r w:rsidRPr="007E0B08">
        <w:t>AF.</w:t>
      </w:r>
      <w:r w:rsidRPr="007E0B08">
        <w:tab/>
        <w:t xml:space="preserve">tā kā dzimumu līdztiesība un nediskriminēšana ir ES pamatvērtības, Eiropas sociālo tiesību pīlāra </w:t>
      </w:r>
      <w:r w:rsidRPr="007E0B08">
        <w:t>pamattiesības</w:t>
      </w:r>
      <w:r w:rsidRPr="007E0B08">
        <w:t xml:space="preserve"> un pamatprincipi, kā arī būtiski nosacījumi progresam; tā kā saskaņā ar Eiropas Savienības </w:t>
      </w:r>
      <w:r w:rsidRPr="007E0B08">
        <w:t>Pamattiesību</w:t>
      </w:r>
      <w:r w:rsidRPr="007E0B08">
        <w:t xml:space="preserve"> hartas 21. pantu diskriminācija dzimuma, dzimtes un citu iemeslu dēļ ir aizliegta;</w:t>
      </w:r>
    </w:p>
    <w:p w:rsidR="00601F3D" w:rsidRPr="007E0B08" w:rsidP="00601F3D" w14:paraId="0CD50352" w14:textId="77777777">
      <w:pPr>
        <w:pStyle w:val="NormalHanging"/>
      </w:pPr>
      <w:r w:rsidRPr="007E0B08">
        <w:t>AG.</w:t>
      </w:r>
      <w:r w:rsidRPr="007E0B08">
        <w:tab/>
        <w:t xml:space="preserve">tā kā </w:t>
      </w:r>
      <w:r w:rsidRPr="007E0B08">
        <w:t>intersekcionalitāte</w:t>
      </w:r>
      <w:r w:rsidRPr="007E0B08">
        <w:t xml:space="preserve"> ir svarīgs pamatprincips, kas ir nostiprināts ES tiesību aktos; tā kā sievietes saskaras ar </w:t>
      </w:r>
      <w:r w:rsidRPr="007E0B08">
        <w:t>intersekcionālu</w:t>
      </w:r>
      <w:r w:rsidRPr="007E0B08">
        <w:t xml:space="preserve"> nevienlīdzību un diskrimināciju, tostarp saistībā ar viņu rasi, etnisko vai sociālo izcelsmi, seksuālo orientāciju, </w:t>
      </w:r>
      <w:r w:rsidRPr="007E0B08">
        <w:t>dzimumidentitāti</w:t>
      </w:r>
      <w:r w:rsidRPr="007E0B08">
        <w:t xml:space="preserve"> un dzimuma pašizpausmi, reliģiju vai pārliecību, uzturēšanās statusu vai invaliditāti; tā kā </w:t>
      </w:r>
      <w:r w:rsidRPr="007E0B08">
        <w:t>dzimumbalstīta</w:t>
      </w:r>
      <w:r w:rsidRPr="007E0B08">
        <w:t xml:space="preserve"> seksuāla vardarbība ir viens no svarīgākajiem dzimumu līdztiesības jautājumiem un reālu progresu dzimumu līdztiesības jomā var panākt, tikai īstenojot </w:t>
      </w:r>
      <w:r w:rsidRPr="007E0B08">
        <w:t>intersekcionālu</w:t>
      </w:r>
      <w:r w:rsidRPr="007E0B08">
        <w:t xml:space="preserve"> pieeju; tā kā </w:t>
      </w:r>
      <w:r w:rsidRPr="007E0B08">
        <w:t>intersekcionālas</w:t>
      </w:r>
      <w:r w:rsidRPr="007E0B08">
        <w:t xml:space="preserve"> pieejas piemērošana ļauj risināt strukturālos šķēršļus dzimumu līdztiesībai un sniedz pierādījumus, lai izstrādātu kritērijus un noteiktu virzību uz stratēģisku un efektīvu politiku cīņai pret sistēmisku diskrimināciju, atstumtību un sociālo nevienlīdzību;</w:t>
      </w:r>
    </w:p>
    <w:p w:rsidR="00601F3D" w:rsidRPr="007E0B08" w:rsidP="00601F3D" w14:paraId="62ED19F5" w14:textId="77777777">
      <w:pPr>
        <w:pStyle w:val="NormalHanging"/>
      </w:pPr>
      <w:r w:rsidRPr="007E0B08">
        <w:t>AH.</w:t>
      </w:r>
      <w:r w:rsidRPr="007E0B08">
        <w:tab/>
        <w:t xml:space="preserve">tā kā, ņemot vērā dzimumu līdztiesības trūkuma un ar </w:t>
      </w:r>
      <w:r w:rsidRPr="007E0B08">
        <w:t>dzimumbalstītas</w:t>
      </w:r>
      <w:r w:rsidRPr="007E0B08">
        <w:t xml:space="preserve"> vardarbības strukturālo raksturu, piekrišanu var sniegt piespiešanas vai sociālo spaidu apstākļos, un tas liecina, ka ir vajadzīga pieeja, kas ietver ne tikai individuālo autonomiju, bet arī sociālās varas dinamiku, dzimumu normas un nevienlīdzīgu rīcības kompetences sadalījumu starp vīriešiem un sievietēm;</w:t>
      </w:r>
    </w:p>
    <w:p w:rsidR="00601F3D" w:rsidRPr="007E0B08" w:rsidP="00601F3D" w14:paraId="3D09BC8C" w14:textId="77777777">
      <w:pPr>
        <w:pStyle w:val="NormalHanging"/>
      </w:pPr>
      <w:r w:rsidRPr="007E0B08">
        <w:t>AI.</w:t>
      </w:r>
      <w:r w:rsidRPr="007E0B08">
        <w:tab/>
        <w:t xml:space="preserve">tā kā ar </w:t>
      </w:r>
      <w:r w:rsidRPr="007E0B08">
        <w:t>dzimumbalstīta</w:t>
      </w:r>
      <w:r w:rsidRPr="007E0B08">
        <w:t xml:space="preserve"> vardarbība, tostarp seksuāla vardarbība, ir gan cēlonis, gan sekas strukturālās līdztiesības trūkumam un varas asimetrijai, kas sakņojas dzimumu stereotipos un sociālajās normās; tā kā šādas vardarbības novēršanai ir jāvēršas pret šīm normām un jāīsteno visaptverošas juridiskās, sociālās un izglītības reformas;</w:t>
      </w:r>
    </w:p>
    <w:p w:rsidR="00601F3D" w:rsidRPr="007E0B08" w:rsidP="00601F3D" w14:paraId="399319F5" w14:textId="77777777">
      <w:pPr>
        <w:pStyle w:val="NormalHanging"/>
      </w:pPr>
      <w:r w:rsidRPr="007E0B08">
        <w:t>AJ.</w:t>
      </w:r>
      <w:r w:rsidRPr="007E0B08">
        <w:tab/>
        <w:t xml:space="preserve">tā kā plaši iesakņojusies dzimumu stereotipi attiecībā uz sieviešu seksualitāti veicina dominējošo uzskatu un sociālo normu kopumu, kas sekmē vīriešu seksuālo agresiju un atbalsta vardarbību pret sievietēm, radot vidi, kurā seksuālā vardarbība tiek uzskatīta par normālu un attaisnota ar pastāvīgu dzimumu nevienlīdzību un kaitējošu attieksmi pret dzimumu jautājumu un seksualitāti; tā kā tas rada </w:t>
      </w:r>
      <w:r w:rsidRPr="007E0B08">
        <w:t>stigmatizāciju</w:t>
      </w:r>
      <w:r w:rsidRPr="007E0B08">
        <w:t xml:space="preserve"> un diskriminējošu attieksmi pret konkrētām sievietēm un citiem cilvēkiem, jo viņi pārkāpj ar dzimumu saistītas sociālās un seksuālās normas vai neatbilst dzimumu lomām;</w:t>
      </w:r>
    </w:p>
    <w:p w:rsidR="00601F3D" w:rsidRPr="007E0B08" w:rsidP="00601F3D" w14:paraId="5B579056" w14:textId="77777777">
      <w:pPr>
        <w:pStyle w:val="NormalHanging"/>
      </w:pPr>
      <w:r w:rsidRPr="007E0B08">
        <w:t>AK.</w:t>
      </w:r>
      <w:r w:rsidRPr="007E0B08">
        <w:tab/>
        <w:t xml:space="preserve">tā kā </w:t>
      </w:r>
      <w:r w:rsidRPr="007E0B08">
        <w:t>izvarošana</w:t>
      </w:r>
      <w:r w:rsidRPr="007E0B08">
        <w:t xml:space="preserve">, tostarp elementi, kas varētu būt bijuši pirms nozieguma, piemēram, </w:t>
      </w:r>
      <w:r w:rsidRPr="007E0B08">
        <w:t>iedraudzināšana</w:t>
      </w:r>
      <w:r w:rsidRPr="007E0B08">
        <w:t xml:space="preserve"> un krāpšana tiešsaistē, var notikt pārrobežu kontekstā; tā kā vardarbība pret sievietēm un meitenēm notiek gan tiešsaistē, gan </w:t>
      </w:r>
      <w:r w:rsidRPr="007E0B08">
        <w:t>bezsaistē</w:t>
      </w:r>
      <w:r w:rsidRPr="007E0B08">
        <w:t xml:space="preserve"> un ietver tehnoloģiju veicinātu seksuālu vardarbību, uzmākšanos, intīmu attēlu kopīgošanu bez piekrišanas un </w:t>
      </w:r>
      <w:r w:rsidRPr="007E0B08">
        <w:t>koercitīvu</w:t>
      </w:r>
      <w:r w:rsidRPr="007E0B08">
        <w:t xml:space="preserve"> kontroli; tā kā šādi ļaunprātīgas izmantošanas veidi nesamērīgi ietekmē sievietes un </w:t>
      </w:r>
      <w:r w:rsidRPr="007E0B08">
        <w:t>marginalizētas</w:t>
      </w:r>
      <w:r w:rsidRPr="007E0B08">
        <w:t xml:space="preserve"> grupas un daudzās valstu sistēmās tiem joprojām netiek pievērsta pietiekama uzmanība;</w:t>
      </w:r>
    </w:p>
    <w:p w:rsidR="00601F3D" w:rsidRPr="007E0B08" w:rsidP="00601F3D" w14:paraId="49492642" w14:textId="77777777">
      <w:pPr>
        <w:pStyle w:val="NormalHanging"/>
      </w:pPr>
      <w:r w:rsidRPr="007E0B08">
        <w:t>AL.</w:t>
      </w:r>
      <w:r w:rsidRPr="007E0B08">
        <w:tab/>
        <w:t xml:space="preserve">tā kā no </w:t>
      </w:r>
      <w:r w:rsidRPr="007E0B08">
        <w:t>izvarošanas</w:t>
      </w:r>
      <w:r w:rsidRPr="007E0B08">
        <w:t xml:space="preserve"> cietušajām personām ir vajadzīga tūlītēja, </w:t>
      </w:r>
      <w:r w:rsidRPr="007E0B08">
        <w:t>vairākdisciplīnu</w:t>
      </w:r>
      <w:r w:rsidRPr="007E0B08">
        <w:t xml:space="preserve">, pieejama un visaptveroša medicīniskā aprūpe, tostarp </w:t>
      </w:r>
      <w:r w:rsidRPr="007E0B08">
        <w:t>izvarošanas</w:t>
      </w:r>
      <w:r w:rsidRPr="007E0B08">
        <w:t xml:space="preserve"> klīniskā ārstēšana, seksuālās un reproduktīvās veselības aprūpe, kas ietver ārkārtas kontracepciju, </w:t>
      </w:r>
      <w:r w:rsidRPr="007E0B08">
        <w:t>pēcekspozīcijas</w:t>
      </w:r>
      <w:r w:rsidRPr="007E0B08">
        <w:t xml:space="preserve"> profilaksi, seksuāli transmisīvo infekciju ārstēšanu un piekļuvi drošiem un likumīgiem abortiem, kā arī atbalstu traumu gadījumā, un turklāt cietušajām personām ir jābūt iespējai saņemt ilgtermiņa atbalstu, tostarp psiholoģiskās konsultācijas; tā kā dažās dalībvalstīs netiek nodrošināta piekļuve dažiem būtiskiem veselības aprūpes pakalpojumiem;</w:t>
      </w:r>
    </w:p>
    <w:p w:rsidR="00362F8C" w:rsidRPr="007E0B08" w:rsidP="00601F3D" w14:paraId="2AA34ACD" w14:textId="4BCD61E6">
      <w:pPr>
        <w:pStyle w:val="NormalHanging"/>
      </w:pPr>
      <w:r w:rsidRPr="007E0B08">
        <w:t>AM.</w:t>
      </w:r>
      <w:r w:rsidRPr="007E0B08">
        <w:tab/>
        <w:t xml:space="preserve">tā kā </w:t>
      </w:r>
      <w:r w:rsidRPr="007E0B08">
        <w:t>izvarošanas</w:t>
      </w:r>
      <w:r w:rsidRPr="007E0B08">
        <w:t xml:space="preserve"> kultūra ir definēta kā strukturāla un plaši izplatīta attieksmes, uzvedības, vērtību un sociālo normu sistēma, kas normalizē un </w:t>
      </w:r>
      <w:r w:rsidRPr="007E0B08">
        <w:t>trivializē</w:t>
      </w:r>
      <w:r w:rsidRPr="007E0B08">
        <w:t xml:space="preserve"> seksuālo vardarbību, mazina piekrišanas nozīmi, nostiprina </w:t>
      </w:r>
      <w:r w:rsidRPr="007E0B08">
        <w:t>izvarošanas</w:t>
      </w:r>
      <w:r w:rsidRPr="007E0B08">
        <w:t xml:space="preserve"> mītus un veicina šādas vardarbības normalizēšanos sabiedrībā;</w:t>
      </w:r>
    </w:p>
    <w:p w:rsidR="00601F3D" w:rsidRPr="007E0B08" w:rsidP="00601F3D" w14:paraId="164D84DA" w14:textId="6C5E75A8">
      <w:pPr>
        <w:pStyle w:val="NormalHanging"/>
      </w:pPr>
      <w:r w:rsidRPr="007E0B08">
        <w:t>AN</w:t>
      </w:r>
      <w:r w:rsidRPr="007E0B08">
        <w:t>.</w:t>
      </w:r>
      <w:r w:rsidRPr="007E0B08">
        <w:tab/>
        <w:t xml:space="preserve">tā kā sekundārās </w:t>
      </w:r>
      <w:r w:rsidRPr="007E0B08">
        <w:t>viktimizācijas</w:t>
      </w:r>
      <w:r w:rsidRPr="007E0B08">
        <w:t xml:space="preserve"> lielā izplatība liecina ne tikai par tiesu sistēmu, bet arī par novecojušu tiesību aktu, kas nav balstīti uz piekrišanas trūkumu, būtisko nespēju nodrošināt izdzīvojušajiem tiesu iestāžu pieejamību</w:t>
      </w:r>
      <w:r>
        <w:rPr>
          <w:rStyle w:val="FootnoteReference"/>
        </w:rPr>
        <w:footnoteReference w:id="18"/>
      </w:r>
      <w:r w:rsidRPr="007E0B08">
        <w:t xml:space="preserve">, par ko liecina cietušo personu iesniegumu skaita zemais līmenis, viņu vajadzībām atbilstošas palīdzības trūkums, pieejamu procedūru pastāvēšana un zemais notiesāšanas līmenis </w:t>
      </w:r>
      <w:r w:rsidRPr="007E0B08">
        <w:t>izvarošanas</w:t>
      </w:r>
      <w:r w:rsidRPr="007E0B08">
        <w:t xml:space="preserve"> lietās, kas norāda uz sistemātiskiem trūkumiem tiesībaizsardzības iestāžu un tiesu sistēmu darbā ar </w:t>
      </w:r>
      <w:r w:rsidRPr="007E0B08">
        <w:t>izvarošanas</w:t>
      </w:r>
      <w:r w:rsidRPr="007E0B08">
        <w:t xml:space="preserve"> gadījumiem, kas savukārt rada plašu nesodāmības sajūtu sabiedrībā par </w:t>
      </w:r>
      <w:r w:rsidRPr="007E0B08">
        <w:t>izvarošanas</w:t>
      </w:r>
      <w:r w:rsidRPr="007E0B08">
        <w:t xml:space="preserve"> noziegumiem un nopietni apdraud dzimumu līdztiesību;</w:t>
      </w:r>
    </w:p>
    <w:p w:rsidR="00601F3D" w:rsidRPr="007E0B08" w:rsidP="00601F3D" w14:paraId="36EE4EA0" w14:textId="412BE201">
      <w:pPr>
        <w:pStyle w:val="NormalHanging"/>
      </w:pPr>
      <w:r w:rsidRPr="007E0B08">
        <w:t>AO</w:t>
      </w:r>
      <w:r w:rsidRPr="007E0B08">
        <w:t>.</w:t>
      </w:r>
      <w:r w:rsidRPr="007E0B08">
        <w:tab/>
        <w:t xml:space="preserve">tā kā sekundāra </w:t>
      </w:r>
      <w:r w:rsidRPr="007E0B08">
        <w:t>viktimizācija</w:t>
      </w:r>
      <w:r w:rsidRPr="007E0B08">
        <w:t xml:space="preserve"> notiek tad, ja cietušajiem tiek nodarīts papildu kaitējums nevis </w:t>
      </w:r>
      <w:r w:rsidRPr="007E0B08">
        <w:t>izvarošanas</w:t>
      </w:r>
      <w:r w:rsidRPr="007E0B08">
        <w:t xml:space="preserve"> noziedzīgas darbības tiešā rezultātā, bet gan tādēļ, kā iestādes un citas personas pret viņiem izturas; tā kā sekundāru </w:t>
      </w:r>
      <w:r w:rsidRPr="007E0B08">
        <w:t>viktimizāciju</w:t>
      </w:r>
      <w:r w:rsidRPr="007E0B08">
        <w:t xml:space="preserve"> izraisa cietušā atkārtota eksponēšana likumpārkāpējam, </w:t>
      </w:r>
      <w:r w:rsidRPr="007E0B08">
        <w:t>nesensitīva</w:t>
      </w:r>
      <w:r w:rsidRPr="007E0B08">
        <w:t xml:space="preserve"> attieksme, piemēram, atkārtota nopratināšana par tiem pašiem notikumiem, cietušos vainojoša attieksme, nepiemērotas valodas vai </w:t>
      </w:r>
      <w:r w:rsidRPr="007E0B08">
        <w:t>nesensitīvu</w:t>
      </w:r>
      <w:r w:rsidRPr="007E0B08">
        <w:t xml:space="preserve"> komentāru izmantošana no to personu puses, kuras nonāk saskarē ar cietušajiem, medicīniska iejaukšanās un tiesvedība, tostarp to ilgums, un citi institucionāli procesi; tā kā sekundārā </w:t>
      </w:r>
      <w:r w:rsidRPr="007E0B08">
        <w:t>viktimizācija</w:t>
      </w:r>
      <w:r w:rsidRPr="007E0B08">
        <w:t xml:space="preserve"> apdraud cietušo tiesības, kavē viņu piekļuvi tiesu iestādēm un paildzina viņu traumu, tostarp izraisot </w:t>
      </w:r>
      <w:r w:rsidRPr="007E0B08">
        <w:t>posttraumatiskā</w:t>
      </w:r>
      <w:r w:rsidRPr="007E0B08">
        <w:t xml:space="preserve"> stresa traucējumus, depresiju un trauksmi un tādējādi kavējot viņu atveseļošanos;</w:t>
      </w:r>
    </w:p>
    <w:p w:rsidR="00601F3D" w:rsidRPr="007E0B08" w:rsidP="00601F3D" w14:paraId="6F4B2923" w14:textId="4B8A072C">
      <w:pPr>
        <w:pStyle w:val="NormalHanging"/>
      </w:pPr>
      <w:r w:rsidRPr="007E0B08">
        <w:t>AP</w:t>
      </w:r>
      <w:r w:rsidRPr="007E0B08">
        <w:t>.</w:t>
      </w:r>
      <w:r w:rsidRPr="007E0B08">
        <w:tab/>
        <w:t xml:space="preserve">tā kā </w:t>
      </w:r>
      <w:r w:rsidRPr="007E0B08">
        <w:t>izvarošanas</w:t>
      </w:r>
      <w:r w:rsidRPr="007E0B08">
        <w:t xml:space="preserve"> traumatiskais raksturs un tās ilgtermiņa ietekme uz cietušo personu fizisko un psiholoģisko veselību, drošību, ķermeņa integritāti, </w:t>
      </w:r>
      <w:r w:rsidRPr="007E0B08">
        <w:t>labbūtību</w:t>
      </w:r>
      <w:r w:rsidRPr="007E0B08">
        <w:t xml:space="preserve"> un sociālo dzīvi prasa koordinētu, </w:t>
      </w:r>
      <w:r w:rsidRPr="007E0B08">
        <w:t>dzimumsensitīvu</w:t>
      </w:r>
      <w:r w:rsidRPr="007E0B08">
        <w:t xml:space="preserve"> un traumu izprotošu reakciju, ko īsteno apmācīti un specializēti darbinieki, jo īpaši tiesībaizsardzības iestādēs un tiesu iestādēs, lai izskatītu </w:t>
      </w:r>
      <w:r w:rsidRPr="007E0B08">
        <w:t>izvarošanas</w:t>
      </w:r>
      <w:r w:rsidRPr="007E0B08">
        <w:t xml:space="preserve"> lietas un izvairītos no sekundāras </w:t>
      </w:r>
      <w:r w:rsidRPr="007E0B08">
        <w:t>viktimizācijas</w:t>
      </w:r>
      <w:r w:rsidRPr="007E0B08">
        <w:t xml:space="preserve">; tā kā juridisko un tiesībaizsardzības speciālistu apmācība dažās dalībvalstīs joprojām ir neviendabīga un nepietiekama; tā kā uz </w:t>
      </w:r>
      <w:r w:rsidRPr="007E0B08">
        <w:t>izvarošanas</w:t>
      </w:r>
      <w:r w:rsidRPr="007E0B08">
        <w:t xml:space="preserve"> definīciju, kura balstīta uz piekrišanas trūkumu, efektīva īstenošana ar tiesību aktu starpniecību ir atkarīga no policijas darbinieku, prokuroru un tiesu iestāžu spējas pareizi interpretēt un piemērot šos noteikumus un tādējādi nodrošināt, ka galvenā uzmanība joprojām tiek pievērsta brīvi sniegtas piekrišanas trūkumam, nevis pierādījumiem par pretestību vai fizisku vardarbību; tā kā pienākums cietušajiem sniegt pierādījumus par piekrišanas trūkumu pastiprina kaitīgus stereotipus par </w:t>
      </w:r>
      <w:r w:rsidRPr="007E0B08">
        <w:t>izvarošanu</w:t>
      </w:r>
      <w:r w:rsidRPr="007E0B08">
        <w:t>;</w:t>
      </w:r>
    </w:p>
    <w:p w:rsidR="00601F3D" w:rsidRPr="007E0B08" w:rsidP="00601F3D" w14:paraId="31761BD3" w14:textId="0941EF6A">
      <w:pPr>
        <w:pStyle w:val="NormalHanging"/>
      </w:pPr>
      <w:r w:rsidRPr="007E0B08">
        <w:t>AQ</w:t>
      </w:r>
      <w:r w:rsidRPr="007E0B08">
        <w:t>.</w:t>
      </w:r>
      <w:r w:rsidRPr="007E0B08">
        <w:tab/>
        <w:t xml:space="preserve">tā kā visaptveroša, uz izglītošana par seksualitāti un attiecībām, kas balstīta uz piekrišanu, ir būtiska, lai samazinātu maldinošu informāciju un mītus par </w:t>
      </w:r>
      <w:r w:rsidRPr="007E0B08">
        <w:t>izvarošanu</w:t>
      </w:r>
      <w:r w:rsidRPr="007E0B08">
        <w:t xml:space="preserve"> un </w:t>
      </w:r>
      <w:r w:rsidRPr="007E0B08">
        <w:t xml:space="preserve">seksualitāti, pievērstos dzimumu normām un novērstu visu veidu </w:t>
      </w:r>
      <w:r w:rsidRPr="007E0B08">
        <w:t>dzimumbalstītu</w:t>
      </w:r>
      <w:r w:rsidRPr="007E0B08">
        <w:t xml:space="preserve"> vardarbību, tostarp </w:t>
      </w:r>
      <w:r w:rsidRPr="007E0B08">
        <w:t>izvarošanu</w:t>
      </w:r>
      <w:r w:rsidRPr="007E0B08">
        <w:t xml:space="preserve">; tā kā vīriešu un zēnu iesaistīšana dzimumu līdztiesības veicināšanā, kaitīgu dzimumu stereotipu un neveselīgu un kaitīgu vīrišķības modeļu apkarošanā un uz tiesībām balstītu dzimuma uzskatu apšaubīšanā ir būtiska saistībā profilaktiskiem centieniem; tā kā pāreja uz kultūru, kuras pamatā ir piekrišana, ir būtiska, lai nodrošinātu savstarpējas cieņas un drošības vidi, kas vērsta uz veselīgu sociālo mijiedarbību; tā kā </w:t>
      </w:r>
      <w:r w:rsidRPr="007E0B08">
        <w:t>dzimumsensitīvas</w:t>
      </w:r>
      <w:r w:rsidRPr="007E0B08">
        <w:t xml:space="preserve">, visaptverošas un vecumam atbilstošas </w:t>
      </w:r>
      <w:r w:rsidRPr="007E0B08">
        <w:t>dzimumaudzināšanas</w:t>
      </w:r>
      <w:r w:rsidRPr="007E0B08">
        <w:t xml:space="preserve"> un izglītošanas nodrošināšana par piekrišanu un attiecībām ir uzskatāma par izšķirošu faktoru </w:t>
      </w:r>
      <w:r w:rsidRPr="007E0B08">
        <w:t>izvarošanas</w:t>
      </w:r>
      <w:r w:rsidRPr="007E0B08">
        <w:t xml:space="preserve"> un seksuālas vardarbības novēršanā un pamatcēloņu risināšanā;</w:t>
      </w:r>
    </w:p>
    <w:p w:rsidR="00601F3D" w:rsidRPr="007E0B08" w:rsidP="00601F3D" w14:paraId="1B164E16" w14:textId="418A7379">
      <w:pPr>
        <w:pStyle w:val="NormalHanging"/>
      </w:pPr>
      <w:r w:rsidRPr="007E0B08">
        <w:t>AR</w:t>
      </w:r>
      <w:r w:rsidRPr="007E0B08">
        <w:t>.</w:t>
      </w:r>
      <w:r w:rsidRPr="007E0B08">
        <w:tab/>
        <w:t>tā kā ANO Ilgtspējīgas attīstības programmas 2030. gadam 5. IAM aicina panākt dzimumu līdztiesību un pilnvērtīgu iespēju nodrošināšanu visām sievietēm un meitenēm, bet 16. IAM aicina veicināt miermīlīgas un iekļaujošas sabiedrības, tiesu iestāžu pieejamību un efektīvas un atbildīgas iestādes;</w:t>
      </w:r>
    </w:p>
    <w:p w:rsidR="00601F3D" w:rsidRPr="007E0B08" w:rsidP="00601F3D" w14:paraId="41BE7311" w14:textId="777CCB1C">
      <w:pPr>
        <w:pStyle w:val="NormalHanging"/>
      </w:pPr>
      <w:r w:rsidRPr="007E0B08">
        <w:t>AS</w:t>
      </w:r>
      <w:r w:rsidRPr="007E0B08">
        <w:t>.</w:t>
      </w:r>
      <w:r w:rsidRPr="007E0B08">
        <w:tab/>
        <w:t>tā kā ANO Ilgtspējīgas attīstības programma 2030. gadam un princips “nevienu neatstāt novārtā”, jo īpaši 3., 4., 5., 10. un 16. IAM, aicina izskaust seksuālo vardarbību, panākt dzimumu līdztiesību, tiesu iestāžu pieejamību, iekļaujošu izglītību un cieņu un aizsargāt visu personu fizisko un garīgo integritāti;</w:t>
      </w:r>
    </w:p>
    <w:p w:rsidR="00601F3D" w:rsidRPr="007E0B08" w:rsidP="00601F3D" w14:paraId="42511B2F" w14:textId="0988EF6E">
      <w:pPr>
        <w:pStyle w:val="NormalHanging"/>
      </w:pPr>
      <w:r w:rsidRPr="007E0B08">
        <w:t>AT</w:t>
      </w:r>
      <w:r w:rsidRPr="007E0B08">
        <w:t>.</w:t>
      </w:r>
      <w:r w:rsidRPr="007E0B08">
        <w:tab/>
        <w:t>tā kā pret dalībvalstu nepilnībām strukturālo un normatīvo faktoru novēršanā, kuru rezultātā vainīgie paliek nesodīti, tiek vērstas demonstrācijas, protesti un pilsoniskās sabiedrības kustības, piemēram, kustība “#</w:t>
      </w:r>
      <w:r w:rsidRPr="007E0B08">
        <w:t>MeToo</w:t>
      </w:r>
      <w:r w:rsidRPr="007E0B08">
        <w:t xml:space="preserve">”, kas pārtrauc klusēšanu par </w:t>
      </w:r>
      <w:r w:rsidRPr="007E0B08">
        <w:t>izvarošanu</w:t>
      </w:r>
      <w:r w:rsidRPr="007E0B08">
        <w:t xml:space="preserve"> un dažās dalībvalstīs ir veicinājušas izmaiņas tiesību aktos; tā kā lietas, kas ir izraisījušas plašus protestus, ietver “vilku bara” lietu Spānijā un </w:t>
      </w:r>
      <w:r w:rsidRPr="007E0B08">
        <w:rPr>
          <w:i/>
          <w:iCs/>
        </w:rPr>
        <w:t>Gisèle</w:t>
      </w:r>
      <w:r w:rsidRPr="007E0B08">
        <w:rPr>
          <w:i/>
          <w:iCs/>
        </w:rPr>
        <w:t xml:space="preserve"> </w:t>
      </w:r>
      <w:r w:rsidRPr="007E0B08">
        <w:rPr>
          <w:i/>
          <w:iCs/>
        </w:rPr>
        <w:t>Pelicot</w:t>
      </w:r>
      <w:r w:rsidRPr="007E0B08">
        <w:t xml:space="preserve"> lietu Francijā, kas uzsver to </w:t>
      </w:r>
      <w:r w:rsidRPr="007E0B08">
        <w:t>izvarošanas</w:t>
      </w:r>
      <w:r w:rsidRPr="007E0B08">
        <w:t xml:space="preserve"> definīciju neatbilstību, kuras ir balstītas uz spēka pielietošanu, nevis uz piekrišanas trūkumu,</w:t>
      </w:r>
    </w:p>
    <w:p w:rsidR="00601F3D" w:rsidRPr="007E0B08" w:rsidP="00601F3D" w14:paraId="3C8CA2E8" w14:textId="77777777">
      <w:pPr>
        <w:pStyle w:val="NormalHanging12a"/>
      </w:pPr>
      <w:r w:rsidRPr="007E0B08">
        <w:t>1.</w:t>
      </w:r>
      <w:r w:rsidRPr="007E0B08">
        <w:tab/>
        <w:t xml:space="preserve">aicina Komisiju ierosināt tiesību aktus, ar kuriem saskaņā ar Stambulas konvencijas 36. pantu izstrādā ES mēroga </w:t>
      </w:r>
      <w:r w:rsidRPr="007E0B08">
        <w:t>izvarošanas</w:t>
      </w:r>
      <w:r w:rsidRPr="007E0B08">
        <w:t xml:space="preserve"> definīciju, kuras pamatā ir prasība par brīvi sniegtu, apzinātu piekrišanu, kuru var atsaukt;</w:t>
      </w:r>
    </w:p>
    <w:p w:rsidR="00601F3D" w:rsidRPr="007E0B08" w:rsidP="00601F3D" w14:paraId="7A526709" w14:textId="77777777">
      <w:pPr>
        <w:pStyle w:val="NormalHanging12a"/>
      </w:pPr>
      <w:r w:rsidRPr="007E0B08">
        <w:t>2.</w:t>
      </w:r>
      <w:r w:rsidRPr="007E0B08">
        <w:tab/>
        <w:t xml:space="preserve">aicina dalībvalstis, kuras joprojām izmanto </w:t>
      </w:r>
      <w:r w:rsidRPr="007E0B08">
        <w:t>izvarošanas</w:t>
      </w:r>
      <w:r w:rsidRPr="007E0B08">
        <w:t xml:space="preserve"> definīcijas, pamatojoties uz pieņēmumu par vardarbību, sākt izmaiņas tiesību aktos, lai definīciju saskaņotu ar jaunākajiem starptautiskajiem standartiem, un sniegt nepieciešamo un pienācīgu atbalstu un aizsardzību </w:t>
      </w:r>
      <w:r w:rsidRPr="007E0B08">
        <w:t>izvarošanas</w:t>
      </w:r>
      <w:r w:rsidRPr="007E0B08">
        <w:t xml:space="preserve"> upuriem un to pārdzīvojušām personām;</w:t>
      </w:r>
    </w:p>
    <w:p w:rsidR="00601F3D" w:rsidRPr="007E0B08" w:rsidP="00601F3D" w14:paraId="4647AC6B" w14:textId="77777777">
      <w:pPr>
        <w:pStyle w:val="NormalHanging12a"/>
      </w:pPr>
      <w:r w:rsidRPr="007E0B08">
        <w:t>3.</w:t>
      </w:r>
      <w:r w:rsidRPr="007E0B08">
        <w:tab/>
        <w:t>atzinīgi vērtē to, ka arvien vairāk dalībvalstu ir ieviesušas seksuālās vardarbības definīcijas, kuras balstītas uz piekrišanas trūkumu, saskaņā ar Stambulas konvencijas 36. pantu, un aicina Komisiju mudināt dalībvalstis, kuras to vēl nav izdarījušas, ratificēt Stambulas konvenciju;</w:t>
      </w:r>
    </w:p>
    <w:p w:rsidR="00601F3D" w:rsidRPr="007E0B08" w:rsidP="00601F3D" w14:paraId="46AE714B" w14:textId="77777777">
      <w:pPr>
        <w:pStyle w:val="NormalHanging12a"/>
      </w:pPr>
      <w:r w:rsidRPr="007E0B08">
        <w:t>4.</w:t>
      </w:r>
      <w:r w:rsidRPr="007E0B08">
        <w:tab/>
        <w:t xml:space="preserve">atkārtoti norāda, ka tiesību akti, kas paredz kriminālvajāšanu par </w:t>
      </w:r>
      <w:r w:rsidRPr="007E0B08">
        <w:t>izvarošanu</w:t>
      </w:r>
      <w:r w:rsidRPr="007E0B08">
        <w:t xml:space="preserve"> un kuru pamatā ir piekrišanas trūkums, ir Stambulas konvencijā definēts starptautisks cilvēktiesību standarts; atgādina par dalībvalstu pienākumu ievērot starptautiskos cilvēktiesību standartus un aicina tās rīkoties vēl noteiktāk, lai aizsargātu un atbalstītu </w:t>
      </w:r>
      <w:r w:rsidRPr="007E0B08">
        <w:t>izvarošanas</w:t>
      </w:r>
      <w:r w:rsidRPr="007E0B08">
        <w:t xml:space="preserve"> upurus un to pārdzīvojušās personas un izskaustu visas izplatītā un sarežģītā uzskatu un sociālo normu  kopuma izpausmes, kas sekmē vīriešu seksuālo agresiju un atbalsta vardarbību pret sievietēm, radot vidi, kurā seksuālā vardarbība tiek uzskatīta par </w:t>
      </w:r>
      <w:r w:rsidRPr="007E0B08">
        <w:t>normālu un attaisnota ar pastāvīgu dzimumu nevienlīdzību un kaitējošu attieksmi pret dzimumu jautājumu un seksualitāti;</w:t>
      </w:r>
    </w:p>
    <w:p w:rsidR="00601F3D" w:rsidRPr="007E0B08" w:rsidP="00601F3D" w14:paraId="2D3D1DB8" w14:textId="77777777">
      <w:pPr>
        <w:pStyle w:val="NormalHanging12a"/>
      </w:pPr>
      <w:r w:rsidRPr="007E0B08">
        <w:t>5.</w:t>
      </w:r>
      <w:r w:rsidRPr="007E0B08">
        <w:tab/>
        <w:t xml:space="preserve">atkārtoti norāda, ka tiesību akti, kuru pamatā ir piekrišanas trūkums, ir vienīgais atbilstošais, visaptverošais, uz traumas apzināšanos un uz pierādījumiem balstītais regulējums, kas nodrošina tiesu iestāžu pieejamību </w:t>
      </w:r>
      <w:r w:rsidRPr="007E0B08">
        <w:t>izvarošanas</w:t>
      </w:r>
      <w:r w:rsidRPr="007E0B08">
        <w:t xml:space="preserve"> upuriem; norāda, ka tiesību aktiem par </w:t>
      </w:r>
      <w:r w:rsidRPr="007E0B08">
        <w:t>izvarošanu</w:t>
      </w:r>
      <w:r w:rsidRPr="007E0B08">
        <w:t xml:space="preserve">, kuri balstās uz piekrišanas trūkumu, ir pozitīvi rezultāti attiecībā uz tiesu iestāžu pieejamību, tostarp augstāki rādītāji attiecībā uz vēršanos ar iesniegumu un notiesājoši spriedumi, un tie sniedz labākas izredzes šo nodarījumu pārdzīvojušo personu atveseļošanai un emocionālajai </w:t>
      </w:r>
      <w:r w:rsidRPr="007E0B08">
        <w:t>labbūtībai</w:t>
      </w:r>
      <w:r w:rsidRPr="007E0B08">
        <w:t>;</w:t>
      </w:r>
    </w:p>
    <w:p w:rsidR="00601F3D" w:rsidRPr="007E0B08" w:rsidP="00601F3D" w14:paraId="1CA9DCA9" w14:textId="77777777">
      <w:pPr>
        <w:pStyle w:val="NormalHanging12a"/>
      </w:pPr>
      <w:r w:rsidRPr="007E0B08">
        <w:t>6.</w:t>
      </w:r>
      <w:r w:rsidRPr="007E0B08">
        <w:tab/>
        <w:t xml:space="preserve">atkārtoti aicina Komisiju, balstoties uz LESD 83. panta 1. punkta trešo daļu, iesniegt priekšlikumu Padomes lēmumam, ar ko  </w:t>
      </w:r>
      <w:r w:rsidRPr="007E0B08">
        <w:t>dzimumbalstīta</w:t>
      </w:r>
      <w:r w:rsidRPr="007E0B08">
        <w:t xml:space="preserve"> vardarbība tiktu atzīta kā jauna joma ES mēroga noziedzīgu nodarījumu uzskaitījumā, lai efektīvi apkarotu visu veidu vardarbību pret sievietēm un meitenēm, kas ir viens no visizplatītākajiem </w:t>
      </w:r>
      <w:r w:rsidRPr="007E0B08">
        <w:t>pamattiesību</w:t>
      </w:r>
      <w:r w:rsidRPr="007E0B08">
        <w:t xml:space="preserve"> pārkāpumiem ES;</w:t>
      </w:r>
    </w:p>
    <w:p w:rsidR="00601F3D" w:rsidRPr="007E0B08" w:rsidP="00601F3D" w14:paraId="3B82F771" w14:textId="77777777">
      <w:pPr>
        <w:pStyle w:val="NormalHanging12a"/>
      </w:pPr>
      <w:r w:rsidRPr="007E0B08">
        <w:t>7.</w:t>
      </w:r>
      <w:r w:rsidRPr="007E0B08">
        <w:tab/>
        <w:t>uzsver, ka tikai skaidra, apstiprinoša, brīvi sniegta un nepārprotama norāde par piekrišanu ir uzskatāma par spēkā esošu, ka klusēšanu, nepretošanos vai “nē” neteikšanu nevar interpretēt kā piekrišanu un ka ne iepriekšēja piekrišana, seksuālā uzvedība pagātnē, ne agrākas, ne pastāvošas attiecības ar nodarījumu veikušo personu, tostarp laulāto vai jebkāds cits partnerattiecību statuss, nenozīmē, ka piekrišana tiek dota vai tiks dota nākotnē attiecībā uz jebkādām citām seksuālām darbībām; uzsver, ka piekrišanu var atsaukt jebkurā laikā pirms seksuālas darbības vai tās laikā; norāda, ka piekrišanu var paust jebkādā veidā, ja vien tā tiek dota brīvprātīgi personas brīvas gribas rezultātā un tiek novērtēta saistībā ar apkārtējiem apstākļiem saskaņā ar Stambulas konvencijas 36. pantu;</w:t>
      </w:r>
    </w:p>
    <w:p w:rsidR="00601F3D" w:rsidRPr="007E0B08" w:rsidP="00601F3D" w14:paraId="2A5B7ECC" w14:textId="77777777">
      <w:pPr>
        <w:pStyle w:val="NormalHanging12a"/>
      </w:pPr>
      <w:r w:rsidRPr="007E0B08">
        <w:t>8.</w:t>
      </w:r>
      <w:r w:rsidRPr="007E0B08">
        <w:tab/>
        <w:t>uzsver, ka piekrišana ir jāizvērtē apkārtējo apstākļu kontekstā, atzīstot, ka piekrišanu nevar dot, ja ir vardarbība, draudi, pārsteiguma faktors, maldināšana, varas ļaunprātīga izmantošana, tostarp kontrole, piespiešana, fizisks vai garīgs stāvoklis, piemēram, baiļu stāvoklis, iebiedēšana, bezsamaņa, sastingums, ko izraisa bailes vai traumas, intoksikācija, sazāļošana, atrašanās miega stāvoklī, slimība, miesas bojājumi, invaliditāte vai citādi īpaši neaizsargāta situācija vai vecums; atzīst, ka šādi stāvokļi var liegt iespēju sniegt brīvprātīgu un apzinātu piekrišanu;</w:t>
      </w:r>
    </w:p>
    <w:p w:rsidR="00601F3D" w:rsidRPr="007E0B08" w:rsidP="00601F3D" w14:paraId="131C1C4C" w14:textId="77777777">
      <w:pPr>
        <w:pStyle w:val="NormalHanging12a"/>
      </w:pPr>
      <w:r w:rsidRPr="007E0B08">
        <w:t>9.</w:t>
      </w:r>
      <w:r w:rsidRPr="007E0B08">
        <w:tab/>
        <w:t xml:space="preserve">uzsver, ka ir svarīgi atzīt reakciju uz traumām, piemēram, baiļu izraisītu īslaicīgu paralīzi vai “sastinguma reakciju”, netīšu </w:t>
      </w:r>
      <w:r w:rsidRPr="007E0B08">
        <w:t>neirobioloģisku</w:t>
      </w:r>
      <w:r w:rsidRPr="007E0B08">
        <w:t xml:space="preserve"> reakciju uz bailēm vai draudiem, kas var izraisīt īslaicīgu paralīzi, nekustīgumu un spēju zaudēšanu izteikties, kā arī “pieglaimošanās reakciju”, kas ir izdzīvošanas stratēģija, kura attīstās piespiešanas apstākļos un ietver vainīgā nomierināšanas mēģinājumus, lai izvairītos no eskalācijas vai kaitējuma; uzsver, ka šāda reakcija uz traumām notiek </w:t>
      </w:r>
      <w:r w:rsidRPr="007E0B08">
        <w:t>izvarošanas</w:t>
      </w:r>
      <w:r w:rsidRPr="007E0B08">
        <w:t xml:space="preserve"> un seksuālās vardarbības laikā un tāpēc tā ir jāatspoguļo tiesību aktos un tiesu praksē, lai nodrošinātu uz traumas apzināšanos un uz nodarījumu pārdzīvojušām personām vērstu pieeju, tādējādi juridiski atzīstot, ka pretošanās trūkums nav pielīdzināms piekrišanai;</w:t>
      </w:r>
    </w:p>
    <w:p w:rsidR="00601F3D" w:rsidRPr="007E0B08" w:rsidP="00601F3D" w14:paraId="38764E53" w14:textId="77777777">
      <w:pPr>
        <w:pStyle w:val="NormalHanging12a"/>
      </w:pPr>
      <w:r w:rsidRPr="007E0B08">
        <w:t>10.</w:t>
      </w:r>
      <w:r w:rsidRPr="007E0B08">
        <w:tab/>
        <w:t xml:space="preserve">aicina Komisiju un dalībvalstis piemērot </w:t>
      </w:r>
      <w:r w:rsidRPr="007E0B08">
        <w:t>intersekcionālu</w:t>
      </w:r>
      <w:r w:rsidRPr="007E0B08">
        <w:t xml:space="preserve"> un uz cietušajiem vērstu pieeju visās attiecīgajās politikas jomās, lai nodrošinātu tiesu iestāžu pieejamību un panāktu dzimumu līdztiesību, atzīstot, ka </w:t>
      </w:r>
      <w:r w:rsidRPr="007E0B08">
        <w:t>dzimumbalstītu</w:t>
      </w:r>
      <w:r w:rsidRPr="007E0B08">
        <w:t xml:space="preserve"> vardarbību un diskrimināciju, tostarp seksuālu vardarbību, piemēram, </w:t>
      </w:r>
      <w:r w:rsidRPr="007E0B08">
        <w:t>izvarošanu</w:t>
      </w:r>
      <w:r w:rsidRPr="007E0B08">
        <w:t xml:space="preserve">, bieži vien papildina citi diskriminācijas faktori un dzimumu stereotipi un ka šo faktoru pārklāšanās rada vairākus un unikālus </w:t>
      </w:r>
      <w:r w:rsidRPr="007E0B08">
        <w:t xml:space="preserve">diskriminācijas veidus, kam nepieciešami </w:t>
      </w:r>
      <w:r w:rsidRPr="007E0B08">
        <w:t>mērķorientēti</w:t>
      </w:r>
      <w:r w:rsidRPr="007E0B08">
        <w:t>, situācijai specifiski pasākumi, tostarp tiesību akti, lai nodrošinātu līdztiesīgu aizsardzību un atbalstu visiem cietušajiem un nodarījumu pārdzīvojušām personām;</w:t>
      </w:r>
    </w:p>
    <w:p w:rsidR="00601F3D" w:rsidRPr="007E0B08" w:rsidP="00601F3D" w14:paraId="2DA7A144" w14:textId="77777777">
      <w:pPr>
        <w:pStyle w:val="NormalHanging12a"/>
      </w:pPr>
      <w:r w:rsidRPr="007E0B08">
        <w:t>11.</w:t>
      </w:r>
      <w:r w:rsidRPr="007E0B08">
        <w:tab/>
        <w:t xml:space="preserve">uzsver, ka tiesību akti par </w:t>
      </w:r>
      <w:r w:rsidRPr="007E0B08">
        <w:t>izvarošanu</w:t>
      </w:r>
      <w:r w:rsidRPr="007E0B08">
        <w:t xml:space="preserve">, kuri balstīti uz piekrišanas trūkumu, ir jāpiemēro arī digitālajā un virtuālajā vidē, kur var notikt seksuālas darbības bez piekrišanas, piemēram, simulēta </w:t>
      </w:r>
      <w:r w:rsidRPr="007E0B08">
        <w:t>izvarošana</w:t>
      </w:r>
      <w:r w:rsidRPr="007E0B08">
        <w:t xml:space="preserve"> vai piespiedu seksuāla mijiedarbība; uzsver, ka šādām darbībām var būt smagas psiholoģiskas sekas tās pārdzīvojušām personām un tāpēc tās ir juridiski jāatzīst, attiecīgi saucot pie atbildības;</w:t>
      </w:r>
    </w:p>
    <w:p w:rsidR="00601F3D" w:rsidRPr="007E0B08" w:rsidP="00601F3D" w14:paraId="12E282C0" w14:textId="77777777">
      <w:pPr>
        <w:pStyle w:val="NormalHanging12a"/>
      </w:pPr>
      <w:r w:rsidRPr="007E0B08">
        <w:t>12.</w:t>
      </w:r>
      <w:r w:rsidRPr="007E0B08">
        <w:tab/>
        <w:t xml:space="preserve">aicina dalībvalstis nodrošināt, lai </w:t>
      </w:r>
      <w:r w:rsidRPr="007E0B08">
        <w:t>izvarošanas</w:t>
      </w:r>
      <w:r w:rsidRPr="007E0B08">
        <w:t xml:space="preserve"> upuriem un to pārdzīvojušām personām būtu pilnīga piekļuve tūlītējai, visaptverošai, drošai, konfidenciālai un specializētai medicīniskajai aprūpei un pakalpojumiem, cik vien ilgi tas nepieciešams, piemēram, </w:t>
      </w:r>
      <w:r w:rsidRPr="007E0B08">
        <w:t>izvarošanas</w:t>
      </w:r>
      <w:r w:rsidRPr="007E0B08">
        <w:t xml:space="preserve"> klīniskai pārvaldībai un seksuālās un reproduktīvās veselības un tiesību nodrošināšanai, tostarp klīniskajai neatliekamās palīdzības kontracepcijai, </w:t>
      </w:r>
      <w:r w:rsidRPr="007E0B08">
        <w:t>pēcekspozīcijas</w:t>
      </w:r>
      <w:r w:rsidRPr="007E0B08">
        <w:t xml:space="preserve">  profilaksei, seksuāli transmisīvo infekciju ārstēšanai un drošu un likumīgu abortu pieejamībai, ko papildina ilgtermiņa traumas aprūpe, psiholoģisks un </w:t>
      </w:r>
      <w:r w:rsidRPr="007E0B08">
        <w:t>psihosociāls</w:t>
      </w:r>
      <w:r w:rsidRPr="007E0B08">
        <w:t xml:space="preserve"> atbalsts, kā arī pienācīgi turpmāki pakalpojumi, lai atbalstītu atveseļošanos; atkārtoti norāda, ka šie pakalpojumi ir būtiski nodarījumu pārdzīvojušām personām un ka tie ir svarīgi, lai garantētu labākos iespējamos rezultātus veselības jomā un palīdzētu pārdzīvojušām personām atgūt ķermeņa autonomijas sajūtu;</w:t>
      </w:r>
    </w:p>
    <w:p w:rsidR="00601F3D" w:rsidRPr="007E0B08" w:rsidP="00601F3D" w14:paraId="16BEB973" w14:textId="77777777">
      <w:pPr>
        <w:pStyle w:val="NormalHanging12a"/>
      </w:pPr>
      <w:r w:rsidRPr="007E0B08">
        <w:t>13.</w:t>
      </w:r>
      <w:r w:rsidRPr="007E0B08">
        <w:tab/>
        <w:t>aicina Komisiju nodrošināt, ka dalībvalstis ievēro Direktīvas (ES) 2024/1385 par vardarbības pret sievietēm un vardarbības ģimenē apkarošanu 26. pantu attiecībā uz specializēta atbalsta sniegšanu seksuālās vardarbības upuriem, kas ir pielāgots viņu īpašajām vajadzībām, bez maksas un pietiekamā ģeogrāfiskajā sadalījumā un kapacitātē; uzsver, ka visiem seksuālās vardarbības upuriem un pārdzīvojušām personām ir jābūt pieejamiem resursiem, piemēram, diennakts krīzes centriem, kur viņi var saņemt medicīnisko aprūpi, psiholoģisko atbalstu un juridiskās konsultācijas bez vēršanās ar oficiālu iesniegumu; turklāt aicina dalībvalstis nodrošināt, ka cietušajiem un pārdzīvojušām personām ir piekļuve juridiskajam atbalstam;</w:t>
      </w:r>
    </w:p>
    <w:p w:rsidR="00601F3D" w:rsidRPr="007E0B08" w:rsidP="00601F3D" w14:paraId="2DDD1F02" w14:textId="77777777">
      <w:pPr>
        <w:pStyle w:val="NormalHanging12a"/>
      </w:pPr>
      <w:r w:rsidRPr="007E0B08">
        <w:t>14.</w:t>
      </w:r>
      <w:r w:rsidRPr="007E0B08">
        <w:tab/>
        <w:t xml:space="preserve">mudina dalībvalstis pastāvīgi apmainīties ar </w:t>
      </w:r>
      <w:r w:rsidRPr="007E0B08">
        <w:t>paraugpraksi</w:t>
      </w:r>
      <w:r w:rsidRPr="007E0B08">
        <w:t>, lai veicinātu ārstēšanas standartu saskaņošanu un nodrošinātu konsekventu, izglītotu un kvalitatīvu atbalstu un ārstēšanu seksuālās vardarbības upuriem un pārdzīvojušām personām visā ES;</w:t>
      </w:r>
    </w:p>
    <w:p w:rsidR="00601F3D" w:rsidRPr="007E0B08" w:rsidP="00601F3D" w14:paraId="16FB6C57" w14:textId="77777777">
      <w:pPr>
        <w:pStyle w:val="NormalHanging12a"/>
      </w:pPr>
      <w:r w:rsidRPr="007E0B08">
        <w:t>15.</w:t>
      </w:r>
      <w:r w:rsidRPr="007E0B08">
        <w:tab/>
        <w:t xml:space="preserve">kategoriski prasa, lai sabiedriskie pakalpojumi būtu pieejami visos atlīdzināšanas procesa posmos, jo īpaši attiecībā uz būtiska psiholoģiskā un juridiskā atbalsta sniegšanu un palīdzību darba meklēšanā; aicina dalībvalstis ievērot Stambulas konvenciju, nodrošinot aizsardzības un atbalsta pasākumus cietušajiem un pārdzīvojušām personām, galveno uzmanību pievēršot personas cilvēktiesībām un drošībai, tādējādi izvairoties no sekundāras </w:t>
      </w:r>
      <w:r w:rsidRPr="007E0B08">
        <w:t>viktimizācijas</w:t>
      </w:r>
      <w:r w:rsidRPr="007E0B08">
        <w:t>;</w:t>
      </w:r>
    </w:p>
    <w:p w:rsidR="00601F3D" w:rsidRPr="007E0B08" w:rsidP="00601F3D" w14:paraId="46780C90" w14:textId="0D133719">
      <w:pPr>
        <w:pStyle w:val="NormalHanging12a"/>
      </w:pPr>
      <w:r w:rsidRPr="007E0B08">
        <w:t>16.</w:t>
      </w:r>
      <w:r w:rsidRPr="007E0B08">
        <w:tab/>
      </w:r>
      <w:r w:rsidRPr="007E0B08" w:rsidR="00362F8C">
        <w:t xml:space="preserve">aicina dalībvalstis nodrošināt, ka speciālisti, kas varētu nonākt saskarē ar </w:t>
      </w:r>
      <w:r w:rsidRPr="007E0B08" w:rsidR="00362F8C">
        <w:t>izvarošanas</w:t>
      </w:r>
      <w:r w:rsidRPr="007E0B08" w:rsidR="00362F8C">
        <w:t xml:space="preserve"> upuriem, tostarp tiesībaizsardzības iestāžu darbinieki, tiesu medicīnas personāls, tiesu darbinieki, tiesneši un prokurori, juristi, veselības aprūpes speciālisti, sociālo dienestu darbinieki, izglītības un citi attiecīgie darbinieki un priekšplāna speciālisti, saņem obligātu, regulāru, pienācīgu, efektīvu un pielāgotu apmācību; uzsver, ka šīs apmācības mērķim vajadzētu būt cietušo sekundāras </w:t>
      </w:r>
      <w:r w:rsidRPr="007E0B08" w:rsidR="00362F8C">
        <w:t>viktimizācijas</w:t>
      </w:r>
      <w:r w:rsidRPr="007E0B08" w:rsidR="00362F8C">
        <w:t xml:space="preserve"> novēršanai, lai izvairītos no kaitīgiem dzimumu stereotipiem un identificētu tos, izskaustu cietušos vainojošu uzvedību un attieksmi un izturētos pret cietušajiem attiecīgai traumai, dzimumam, </w:t>
      </w:r>
      <w:r w:rsidRPr="007E0B08" w:rsidR="00362F8C">
        <w:t xml:space="preserve">bērnam un invaliditātei piemērotā veidā saskaņā ar Direktīvas (ES) 2024/1385 36. pantu un neskarot tiesu iestāžu neatkarību un atšķirības tiesu iestāžu organizācijā visā ES; aicina Komisiju paplašināt ES atbalstītas apmācības programmas, kas saskaņotas ar tiesu </w:t>
      </w:r>
      <w:r w:rsidRPr="007E0B08" w:rsidR="00362F8C">
        <w:t>paraugpraksi</w:t>
      </w:r>
      <w:r w:rsidRPr="007E0B08" w:rsidR="00362F8C">
        <w:t xml:space="preserve">, un aicina dalībvalstis nodrošināt, ka priekšplāna dienestiem ir spējas un resursi efektīvi reaģēt uz cietušo un pārdzīvojušo personu vajadzībām, garantējot obligātu apmācību visiem juridisko profesiju pārstāvjiem un tiesībaizsardzības iestāžu darbiniekiem, kuriem ir saskarsme ar </w:t>
      </w:r>
      <w:r w:rsidRPr="007E0B08" w:rsidR="00362F8C">
        <w:t>izvarošanā</w:t>
      </w:r>
      <w:r w:rsidRPr="007E0B08" w:rsidR="00362F8C">
        <w:t xml:space="preserve"> cietušajām personām;</w:t>
      </w:r>
    </w:p>
    <w:p w:rsidR="00601F3D" w:rsidRPr="007E0B08" w:rsidP="00601F3D" w14:paraId="0686CAAE" w14:textId="77777777">
      <w:pPr>
        <w:pStyle w:val="NormalHanging12a"/>
      </w:pPr>
      <w:r w:rsidRPr="007E0B08">
        <w:t>17.</w:t>
      </w:r>
      <w:r w:rsidRPr="007E0B08">
        <w:tab/>
        <w:t xml:space="preserve">aicina dalībvalstis nodrošināt, ka attiecīgie veselības aprūpes speciālisti, tostarp pediatri, ginekologi, dzemdību speciālisti, vecmātes un psiholoģiskā atbalsta speciālisti, saņem mērķtiecīgu apmācību, lai </w:t>
      </w:r>
      <w:r w:rsidRPr="007E0B08">
        <w:t>intersekcionālā</w:t>
      </w:r>
      <w:r w:rsidRPr="007E0B08">
        <w:t xml:space="preserve"> veidā apzinātu un risinātu </w:t>
      </w:r>
      <w:r w:rsidRPr="007E0B08">
        <w:t>izvarošanu</w:t>
      </w:r>
      <w:r w:rsidRPr="007E0B08">
        <w:t xml:space="preserve"> pārdzīvojušo personu fiziskās, psiholoģiskās un seksuālās sekas;</w:t>
      </w:r>
    </w:p>
    <w:p w:rsidR="00601F3D" w:rsidRPr="007E0B08" w:rsidP="00601F3D" w14:paraId="7C1A2AEE" w14:textId="77777777">
      <w:pPr>
        <w:pStyle w:val="NormalHanging12a"/>
      </w:pPr>
      <w:r w:rsidRPr="007E0B08">
        <w:t>18.</w:t>
      </w:r>
      <w:r w:rsidRPr="007E0B08">
        <w:tab/>
        <w:t xml:space="preserve">aicina dalībvalstis pastiprināt sadarbību starp tiesībaizsardzības iestādēm, tiesu iestādēm, pilsonisko sabiedrību, sabiedrībā balstītām organizācijām, </w:t>
      </w:r>
      <w:r w:rsidRPr="007E0B08">
        <w:rPr>
          <w:i/>
          <w:iCs/>
        </w:rPr>
        <w:t>EIGE</w:t>
      </w:r>
      <w:r w:rsidRPr="007E0B08">
        <w:t xml:space="preserve"> un citiem attiecīgiem specializētiem dalībniekiem apmācības izstrādē, jo īpaši attiecībā uz kaitīgiem dzimumu stereotipiem, </w:t>
      </w:r>
      <w:r w:rsidRPr="007E0B08">
        <w:t>intersekcionālo</w:t>
      </w:r>
      <w:r w:rsidRPr="007E0B08">
        <w:t xml:space="preserve"> diskrimināciju un nepareiziem priekšstatiem, mītiem un stereotipiem par </w:t>
      </w:r>
      <w:r w:rsidRPr="007E0B08">
        <w:t>izvarošanu</w:t>
      </w:r>
      <w:r w:rsidRPr="007E0B08">
        <w:t xml:space="preserve">, kas joprojām kavē tiesību aktu, kuri balstīti uz piekrišanas trūkumu, īstenošanu </w:t>
      </w:r>
      <w:r w:rsidRPr="007E0B08">
        <w:t>izvarošanas</w:t>
      </w:r>
      <w:r w:rsidRPr="007E0B08">
        <w:t xml:space="preserve"> jomā; uzsver, ka policijas darbinieki un tiesneši, kuriem ir labākas zināšanas un prasmes izprast un cienīt visus seksuālās vardarbības upurus, palīdz samazināt nepietiekamu vēršanos ar iesniegumiem un līdz minimumam samazināt atkārtotu </w:t>
      </w:r>
      <w:r w:rsidRPr="007E0B08">
        <w:t>viktimizāciju</w:t>
      </w:r>
      <w:r w:rsidRPr="007E0B08">
        <w:t xml:space="preserve">, vienlaikus arī radot drošāku vidi nodarījumu pārdzīvojušām personām; turklāt aicina dalībvalstis nodrošināt, ka tiesu iestāžu darbinieku un juridisko un tiesībaizsardzības speciālistu apmācībā tiek ievēroti starptautiskie cilvēktiesību standarti un tiesu prakse attiecībā uz </w:t>
      </w:r>
      <w:r w:rsidRPr="007E0B08">
        <w:t>izvarošanu</w:t>
      </w:r>
      <w:r w:rsidRPr="007E0B08">
        <w:t>;</w:t>
      </w:r>
    </w:p>
    <w:p w:rsidR="00601F3D" w:rsidRPr="007E0B08" w:rsidP="00601F3D" w14:paraId="12EDF5BC" w14:textId="77777777">
      <w:pPr>
        <w:pStyle w:val="NormalHanging12a"/>
      </w:pPr>
      <w:r w:rsidRPr="007E0B08">
        <w:t>19.</w:t>
      </w:r>
      <w:r w:rsidRPr="007E0B08">
        <w:tab/>
        <w:t xml:space="preserve">aicina dalībvalstis, apspriežoties ar pilsoniskās sabiedrības organizācijām un sieviešu specializētajiem dienestiem, izstrādāt un pieņemt specializētas un </w:t>
      </w:r>
      <w:r w:rsidRPr="007E0B08">
        <w:t>dzimumsensitīvas</w:t>
      </w:r>
      <w:r w:rsidRPr="007E0B08">
        <w:t xml:space="preserve"> pamatnostādnes attiecīgajām iestādēm, tostarp tiesnešiem, kas iesaistīti kriminālprocesos un attiecīgā gadījumā civilprocesos saistībā ar </w:t>
      </w:r>
      <w:r w:rsidRPr="007E0B08">
        <w:t>izvarošanas</w:t>
      </w:r>
      <w:r w:rsidRPr="007E0B08">
        <w:t xml:space="preserve"> noziegumu; uzsver, ka šajās pamatnostādnēs ir jāsniedz norādījumi par to, kā izturēties pret cietušajām personām, ņemot vērā nodarīto traumu un dzimumu aspektu, identificēt dzimumu stereotipus un izvairīties no tiem, kā arī nodrošināt, ka cietušās personas, tostarp tās, kas saskaras ar </w:t>
      </w:r>
      <w:r w:rsidRPr="007E0B08">
        <w:t>intersekcionālu</w:t>
      </w:r>
      <w:r w:rsidRPr="007E0B08">
        <w:t xml:space="preserve"> diskrimināciju, tiek respektētas un aizsargātas no sekundāras un atkārtotas </w:t>
      </w:r>
      <w:r w:rsidRPr="007E0B08">
        <w:t>viktimizācijas</w:t>
      </w:r>
      <w:r w:rsidRPr="007E0B08">
        <w:t xml:space="preserve">; turklāt uzsver, ka pamatnostādnēs ir jāiekļauj norādījumi par to, kā nosūtīt cietušās personas uz specializētiem atbalsta dienestiem, tostarp medicīnas dienestiem, lai nodrošinātu, ka tās saņem pienācīgu aprūpi; aicina sadarbībā ar pilsoniskās sabiedrības organizācijām un sieviešu specializētajiem dienestiem regulāri pārskatīt un atjaunināt pamatnostādnes, lai nodrošinātu to efektivitāti un pēc iespējas labākus rezultātus cietušajām personām, kā arī novērstu sistēmiskos un strukturālos trūkumus, kas sabiedrībā veicina nesodāmības sajūtu par </w:t>
      </w:r>
      <w:r w:rsidRPr="007E0B08">
        <w:t>izvarošanu</w:t>
      </w:r>
      <w:r w:rsidRPr="007E0B08">
        <w:t xml:space="preserve"> un ļauj seksuālās vardarbības veicējiem palikt nesodītiem;</w:t>
      </w:r>
    </w:p>
    <w:p w:rsidR="00601F3D" w:rsidRPr="007E0B08" w:rsidP="00601F3D" w14:paraId="4DF8D7C8" w14:textId="77777777">
      <w:pPr>
        <w:pStyle w:val="NormalHanging12a"/>
      </w:pPr>
      <w:r w:rsidRPr="007E0B08">
        <w:t>20.</w:t>
      </w:r>
      <w:r w:rsidRPr="007E0B08">
        <w:tab/>
        <w:t xml:space="preserve">norāda, ka likumdošanas reforma ir jāpapildina ar izglītojošiem pasākumiem, kuru mērķis ir veicināt uzvedības maiņu un palielināt izpratni par piekrišanas nozīmi seksuālās attiecībās; aicina Komisiju 2026. gadā nākt klajā ar visās 24 ES valodās pieejamām ES pamatnostādnēm par </w:t>
      </w:r>
      <w:r w:rsidRPr="007E0B08">
        <w:t>dzimumsensitīvu</w:t>
      </w:r>
      <w:r w:rsidRPr="007E0B08">
        <w:t xml:space="preserve">, </w:t>
      </w:r>
      <w:r w:rsidRPr="007E0B08">
        <w:t>intersekcionālu</w:t>
      </w:r>
      <w:r w:rsidRPr="007E0B08">
        <w:t xml:space="preserve"> un visaptverošu </w:t>
      </w:r>
      <w:r w:rsidRPr="007E0B08">
        <w:t>dzimumbalstītu</w:t>
      </w:r>
      <w:r w:rsidRPr="007E0B08">
        <w:t xml:space="preserve"> izglītību un attiecību izglītību, kuru mērķim vajadzētu būt dzimumu stereotipu apkarošanai, uzsverot dzimumu nevienlīdzības strukturālo raksturu un tās klātbūtni seksualitātē un attiecībās, veicinot nevardarbīgu uzvedību un strādājot pie tā, lai galu galā izskaustu </w:t>
      </w:r>
      <w:r w:rsidRPr="007E0B08">
        <w:t>dzimumbalstītu</w:t>
      </w:r>
      <w:r w:rsidRPr="007E0B08">
        <w:t xml:space="preserve"> vardarbību, tostarp </w:t>
      </w:r>
      <w:r w:rsidRPr="007E0B08">
        <w:t>izvarošanu</w:t>
      </w:r>
      <w:r w:rsidRPr="007E0B08">
        <w:t xml:space="preserve">, līdztiesības </w:t>
      </w:r>
      <w:r w:rsidRPr="007E0B08">
        <w:t>trūkumu un diskrimināciju; turklāt aicina Komisiju cieši uzraudzīt, kā dalībvalstis īsteno šīs pamatnostādnes, un līdz pašreizējā pilnvaru termiņa beigām publicēt to novērtējumu; tādēļ aicina dalībvalstis nodrošināt obligātu visaptverošu izglītību par seksualitāti un attiecībām iekļaušanu valsts izglītības programmās;</w:t>
      </w:r>
    </w:p>
    <w:p w:rsidR="00601F3D" w:rsidRPr="007E0B08" w:rsidP="00601F3D" w14:paraId="5E7AED1E" w14:textId="77777777">
      <w:pPr>
        <w:pStyle w:val="NormalHanging12a"/>
      </w:pPr>
      <w:r w:rsidRPr="007E0B08">
        <w:t>21.</w:t>
      </w:r>
      <w:r w:rsidRPr="007E0B08">
        <w:tab/>
        <w:t xml:space="preserve">uzsver sabiedrības izpratnes veicināšanas kampaņu un profilakses programmu izšķirošo nozīmi mītu par </w:t>
      </w:r>
      <w:r w:rsidRPr="007E0B08">
        <w:t>izvarošanu</w:t>
      </w:r>
      <w:r w:rsidRPr="007E0B08">
        <w:t xml:space="preserve"> novēršanā un piekrišanas kultūras veicināšanā, jo īpaši jauniešu vidū, ņemot vērā to, ka pastāvīgais dzimumizglītības trūkums veicina maldinošu informāciju un kaitīgus stereotipus; aicina Komisiju īstenot ES mēroga sabiedrības informēšanas kampaņas, lai izglītotu cilvēkus par piekrišanu, attiecībām, seksuālo integritāti un ķermeņa autonomiju un cīnītos pret mītiem, kas saistīti ar </w:t>
      </w:r>
      <w:r w:rsidRPr="007E0B08">
        <w:t>izvarošanu</w:t>
      </w:r>
      <w:r w:rsidRPr="007E0B08">
        <w:t>; turklāt aicina Komisiju izstrādāt kampaņas, lai apkarotu pret dzimumu vērstu saturu un piespiedu celibātu tiešsaistē, kas galvenokārt skar jaunus vīriešus, normalizē seksuālo vardarbību un nostiprina kaitīgus dzimumu stereotipus, kuri veicina izplatītā un sarežģītā uzskatu un sociālo normu  kopuma izpausmes, kas sekmē vīriešu seksuālo agresiju un atbalsta vardarbību pret sievietēm, radot vidi, kurā seksuālā vardarbība tiek uzskatīta par normālu un attaisnota ar pastāvīgu dzimumu nevienlīdzību un kaitējošu attieksmi pret dzimumu jautājumu un seksualitāti;</w:t>
      </w:r>
    </w:p>
    <w:p w:rsidR="00601F3D" w:rsidRPr="007E0B08" w:rsidP="00601F3D" w14:paraId="2CE79375" w14:textId="77777777">
      <w:pPr>
        <w:pStyle w:val="NormalHanging12a"/>
      </w:pPr>
      <w:r w:rsidRPr="007E0B08">
        <w:t>22.</w:t>
      </w:r>
      <w:r w:rsidRPr="007E0B08">
        <w:tab/>
        <w:t>aicina Komisiju nodrošināt, lai dalībvalstis ievērotu Direktīvas (ES) 2024/1385 par vardarbības pret sievietēm un vardarbības ģimenē apkarošanu 35. pantu, kas ir iespējams, pieņemot un regulāri īstenojot izglītošanas iniciatīvas par pierādījumu un piekrišanas jēdzieniem, izpratnes veicināšanas kampaņas un pasākumus, kuru mērķis ir veicināt uzvedības mainīšanu, ar ko tiktu atzīts, ka piekrišana ir sniegta brīvi, ir savstarpēja un balstīta uz ķermeņa autonomijas un seksuālās integritātes principiem; aicina Komisiju cieši uzraudzīt to, kā dalībvalstis transponē šo direktīvu un jo īpaši tās 35. pantu;</w:t>
      </w:r>
    </w:p>
    <w:p w:rsidR="00601F3D" w:rsidRPr="007E0B08" w:rsidP="00601F3D" w14:paraId="4B10B723" w14:textId="77777777">
      <w:pPr>
        <w:pStyle w:val="NormalHanging12a"/>
      </w:pPr>
      <w:r w:rsidRPr="007E0B08">
        <w:t>23.</w:t>
      </w:r>
      <w:r w:rsidRPr="007E0B08">
        <w:tab/>
        <w:t xml:space="preserve">aicina dalībvalstis pielāgot savus tiesību aktus attiecībā uz noilguma termiņu </w:t>
      </w:r>
      <w:r w:rsidRPr="007E0B08">
        <w:t>izvarošanas</w:t>
      </w:r>
      <w:r w:rsidRPr="007E0B08">
        <w:t xml:space="preserve"> nodarījumiem, ņemot vērā to, ka piekrišanas trūkums ir šo nodarījumu galvenais elements un ka daudzi cietušie spēj atpazīt, nosaukt vai sagatavot iesniegumu par notikušo tikai pēc ievērojama laika posma, bieži vien traumu, baiļu, sociālo spaidu vai zināšanu trūkuma par piekrišanas izteikšanas dinamiku dēļ; tādēļ uzsver, ka ir jāpagarina noilguma termiņš, lai garantētu efektīvu tiesu iestāžu pieejamību saskaņā ar </w:t>
      </w:r>
      <w:r w:rsidRPr="007E0B08">
        <w:t>pamattiesībām</w:t>
      </w:r>
      <w:r w:rsidRPr="007E0B08">
        <w:t xml:space="preserve">; atgādina, ka Parlaments nesen aicināja dalībvalstis nodrošināt, ka noilguma termiņš netiek piemērots nodarījumiem, kas minēti Direktīvas par seksuālas vardarbības pret bērniem apkarošanu 3. un 9. pantā; uzsver, ka pārmērīgi īsi noilguma termiņi neļauj cietušajiem panākt taisnīgumu un apdraud viņu aizsardzību; aicina dalībvalstis novērst nevēršanās ar iesniegumiem pamatcēloņus un nodrošināt, ka noilguma termiņi nekavē efektīvu kriminālvajāšanu par </w:t>
      </w:r>
      <w:r w:rsidRPr="007E0B08">
        <w:t>izvarošanas</w:t>
      </w:r>
      <w:r w:rsidRPr="007E0B08">
        <w:t xml:space="preserve"> nodarījumiem;</w:t>
      </w:r>
    </w:p>
    <w:p w:rsidR="00601F3D" w:rsidRPr="007E0B08" w:rsidP="00601F3D" w14:paraId="5B4E8611" w14:textId="77777777">
      <w:pPr>
        <w:pStyle w:val="NormalHanging12a"/>
      </w:pPr>
      <w:r w:rsidRPr="007E0B08">
        <w:t>24.</w:t>
      </w:r>
      <w:r w:rsidRPr="007E0B08">
        <w:tab/>
        <w:t xml:space="preserve">aicina dalībvalstis saskaņā ar valsts tiesību aktiem nodrošināt efektīvu atlīdzināšanu, tostarp kompensāciju, visiem </w:t>
      </w:r>
      <w:r w:rsidRPr="007E0B08">
        <w:t>dzimumbalstītā</w:t>
      </w:r>
      <w:r w:rsidRPr="007E0B08">
        <w:t xml:space="preserve"> vardarbībā, tostarp seksuālā vardarbībā, cietušajām personām; atgādina, ka šādai atlīdzināšanai vajadzētu būt pienācīgai, bez kavēšanās, holistiskai un samērīgai ar nodarītā kaitējuma smagumu un, to nosakot, būtu jāņem vērā </w:t>
      </w:r>
      <w:r w:rsidRPr="007E0B08">
        <w:t>intersekcionālās</w:t>
      </w:r>
      <w:r w:rsidRPr="007E0B08">
        <w:t xml:space="preserve"> diskriminācijas riski;</w:t>
      </w:r>
    </w:p>
    <w:p w:rsidR="00601F3D" w:rsidRPr="007E0B08" w:rsidP="00601F3D" w14:paraId="6E7A1789" w14:textId="77777777">
      <w:pPr>
        <w:pStyle w:val="NormalHanging12a"/>
      </w:pPr>
      <w:r w:rsidRPr="007E0B08">
        <w:t>25.</w:t>
      </w:r>
      <w:r w:rsidRPr="007E0B08">
        <w:tab/>
        <w:t xml:space="preserve">prasa, lai dalībvalstis veiktu atbilstīgus pasākumus nolūkā nodrošināt, ka programmas likumpārkāpējiem ir pieejamas tiem, kuri tiek nosūtīti tajās piedalīties vai paši labprātīgi piedalās, tostarp ārpus krimināltiesu sistēmas, un ka ir pieejama tūlītēja piekļuve atbalstam, atzīstot to lomu turpmākas </w:t>
      </w:r>
      <w:r w:rsidRPr="007E0B08">
        <w:t>dzimumbalstītas</w:t>
      </w:r>
      <w:r w:rsidRPr="007E0B08">
        <w:t xml:space="preserve"> vardarbības novēršanā, </w:t>
      </w:r>
      <w:r w:rsidRPr="007E0B08">
        <w:t xml:space="preserve">pārtraucot klusēšanu par </w:t>
      </w:r>
      <w:r w:rsidRPr="007E0B08">
        <w:t>izvarošanu</w:t>
      </w:r>
      <w:r w:rsidRPr="007E0B08">
        <w:t xml:space="preserve"> un izskaužot dominējošo uzskatu un sociālo normu kopumu, kas veicina vīriešu seksuālo agresiju un atbalsta vardarbību pret sievietēm, radot vidi, kurā seksuālā vardarbība tiek normalizēta un pamatota, izmantojot pastāvīgu dzimumu līdztiesības trūkumu un kaitīgu attieksmi pret dzimumu un seksualitāti mūsu sabiedrībā;</w:t>
      </w:r>
    </w:p>
    <w:p w:rsidR="00601F3D" w:rsidRPr="007E0B08" w:rsidP="00601F3D" w14:paraId="5CE5C90C" w14:textId="77777777">
      <w:pPr>
        <w:pStyle w:val="NormalHanging12a"/>
      </w:pPr>
      <w:r w:rsidRPr="007E0B08">
        <w:t>26.</w:t>
      </w:r>
      <w:r w:rsidRPr="007E0B08">
        <w:tab/>
        <w:t xml:space="preserve">nelokāmi atbalsta pilsonisko sabiedrību un </w:t>
      </w:r>
      <w:r w:rsidRPr="007E0B08">
        <w:t>izvarošanas</w:t>
      </w:r>
      <w:r w:rsidRPr="007E0B08">
        <w:t xml:space="preserve"> upurus, lai pārtrauktu </w:t>
      </w:r>
      <w:r w:rsidRPr="007E0B08">
        <w:t>izvarošanas</w:t>
      </w:r>
      <w:r w:rsidRPr="007E0B08">
        <w:t xml:space="preserve"> noklusēšanu; atzīst, ka pilsoniskās sabiedrības un </w:t>
      </w:r>
      <w:r w:rsidRPr="007E0B08">
        <w:t>izvarošanas</w:t>
      </w:r>
      <w:r w:rsidRPr="007E0B08">
        <w:t xml:space="preserve"> upuru uzstāšana ir bijis galvenais virzītājspēks, mudinot veikt izmaiņas dalībvalstu tiesību aktos; atgādina, cik svarīgas ir tiesības uz miermīlīgu pulcēšanos, lai panāktu pārmaiņas sabiedrībā un to, ka tiek pieņemti uz tiesību akti par </w:t>
      </w:r>
      <w:r w:rsidRPr="007E0B08">
        <w:t>izvarošanu</w:t>
      </w:r>
      <w:r w:rsidRPr="007E0B08">
        <w:t>, kuri balstīti uz piekrišanas trūkumu;</w:t>
      </w:r>
    </w:p>
    <w:p w:rsidR="00601F3D" w:rsidRPr="007E0B08" w:rsidP="00601F3D" w14:paraId="765EA8F3" w14:textId="77777777">
      <w:pPr>
        <w:pStyle w:val="NormalHanging12a"/>
      </w:pPr>
      <w:r w:rsidRPr="007E0B08">
        <w:t>27.</w:t>
      </w:r>
      <w:r w:rsidRPr="007E0B08">
        <w:tab/>
        <w:t xml:space="preserve">atzīst nevalstisko organizāciju un sieviešu specializēto dienestu, tostarp sieviešu atbalsta centru, sieviešu patversmju, palīdzības tālruņu, </w:t>
      </w:r>
      <w:r w:rsidRPr="007E0B08">
        <w:t>izvarošanas</w:t>
      </w:r>
      <w:r w:rsidRPr="007E0B08">
        <w:t xml:space="preserve"> upuru krīzes centru, seksuālās vardarbības upuru palīdzības centru un primārās profilakses dienestu, izšķirošo lomu konsultāciju un atbalsta sniegšanā cietušajām personām; aicina Komisiju un dalībvalstis piešķirt pienācīgu finansējumu, lai nodrošinātu šādu pakalpojumu uzturēšanu un attīstību; prasa pastiprināt atbalstu šīm pilsoniskās sabiedrības organizācijām un sieviešu tiesību aizstāvjiem, paredzot un palielinot finansiālo atbalstu ES budžetā;</w:t>
      </w:r>
    </w:p>
    <w:p w:rsidR="00601F3D" w:rsidRPr="007E0B08" w:rsidP="00601F3D" w14:paraId="28845915" w14:textId="77777777">
      <w:pPr>
        <w:pStyle w:val="NormalHanging12a"/>
      </w:pPr>
      <w:r w:rsidRPr="007E0B08">
        <w:t>28.</w:t>
      </w:r>
      <w:r w:rsidRPr="007E0B08">
        <w:tab/>
        <w:t>uzsver, ka ir vajadzīgas spēcīgas un noturīgas partnerības ar vietējām organizācijām un sieviešu tiesību aizstāvjiem, jo īpaši valstīs, kurās pilsoniskā telpa ir apdraudēta un pretreakcija pret dzimumu līdztiesību un seksuālajām un reproduktīvajām tiesībām pieaug;</w:t>
      </w:r>
    </w:p>
    <w:p w:rsidR="00601F3D" w:rsidRPr="007E0B08" w:rsidP="00601F3D" w14:paraId="785A3632" w14:textId="77777777">
      <w:pPr>
        <w:pStyle w:val="NormalHanging12a"/>
      </w:pPr>
      <w:r w:rsidRPr="007E0B08">
        <w:t>29.</w:t>
      </w:r>
      <w:r w:rsidRPr="007E0B08">
        <w:tab/>
        <w:t xml:space="preserve">uzsver, ka ir svarīgi stiprināt tiesību aktu īstenošanu, izpildi un uzraudzību seksuālās vardarbības un </w:t>
      </w:r>
      <w:r w:rsidRPr="007E0B08">
        <w:t>izvarošanas</w:t>
      </w:r>
      <w:r w:rsidRPr="007E0B08">
        <w:t xml:space="preserve"> jomā, un aicina izstrādāt ES mēroga kritērijus un rādītājus, lai novērtētu efektivitāti un ietekmi;</w:t>
      </w:r>
    </w:p>
    <w:p w:rsidR="00601F3D" w:rsidRPr="007E0B08" w:rsidP="00601F3D" w14:paraId="37DE0584" w14:textId="77777777">
      <w:pPr>
        <w:pStyle w:val="NormalHanging12a"/>
      </w:pPr>
      <w:r w:rsidRPr="007E0B08">
        <w:t>30.</w:t>
      </w:r>
      <w:r w:rsidRPr="007E0B08">
        <w:tab/>
        <w:t>uzsver ES lomu sadarbības nostiprināšanā ar ANO aģentūrām, piemēram, ANO Dzimumu līdztiesības un sieviešu iespēju veicināšanas iestādi (</w:t>
      </w:r>
      <w:r w:rsidRPr="007E0B08">
        <w:rPr>
          <w:i/>
          <w:iCs/>
        </w:rPr>
        <w:t xml:space="preserve">UN </w:t>
      </w:r>
      <w:r w:rsidRPr="007E0B08">
        <w:rPr>
          <w:i/>
          <w:iCs/>
        </w:rPr>
        <w:t>Women</w:t>
      </w:r>
      <w:r w:rsidRPr="007E0B08">
        <w:t xml:space="preserve">) un ANO Iedzīvotāju fondu, kā arī starptautiskajiem partneriem, tostarp Eiropas Padomi, Eiropas Drošības un sadarbības organizāciju un Ekonomiskās sadarbības un attīstības organizāciju, lai veicinātu dzimumu līdztiesību un apkarotu seksuālu un </w:t>
      </w:r>
      <w:r w:rsidRPr="007E0B08">
        <w:t>dzimumbalstītu</w:t>
      </w:r>
      <w:r w:rsidRPr="007E0B08">
        <w:t xml:space="preserve"> vardarbību ANO Ilgtspējīgas attīstības programmas 2030. gadam, Pekinas Rīcības platformas un Starptautiskās konferences par iedzīvotājiem un attīstību rīcības programmas ietvaros;</w:t>
      </w:r>
    </w:p>
    <w:p w:rsidR="00601F3D" w:rsidRPr="007E0B08" w:rsidP="00601F3D" w14:paraId="5B865B6A" w14:textId="77777777">
      <w:pPr>
        <w:pStyle w:val="NormalHanging12a"/>
      </w:pPr>
      <w:r w:rsidRPr="007E0B08">
        <w:t>31.</w:t>
      </w:r>
      <w:r w:rsidRPr="007E0B08">
        <w:tab/>
        <w:t>mudina turpināt dialogu un sadarbību starp ES iestādēm, dalībvalstīm un pilsonisko sabiedrību, lai nodrošinātu, ka seksuālā vardarbība tiek risināta ne tikai kā atsevišķs vardarbības akts, bet arī kā plašākas dzimumu līdztiesības trūkuma un strukturālās diskriminācijas izpausme;</w:t>
      </w:r>
    </w:p>
    <w:p w:rsidR="00601F3D" w:rsidRPr="007E0B08" w:rsidP="00601F3D" w14:paraId="4C6DCFC4" w14:textId="77777777">
      <w:pPr>
        <w:pStyle w:val="NormalHanging12a"/>
      </w:pPr>
      <w:r w:rsidRPr="007E0B08">
        <w:t>32.</w:t>
      </w:r>
      <w:r w:rsidRPr="007E0B08">
        <w:tab/>
        <w:t xml:space="preserve">aicina dalībvalstis nodrošināt, ka izveidotās datu vākšanas sistēmas par </w:t>
      </w:r>
      <w:r w:rsidRPr="007E0B08">
        <w:t>dzimumbalstītu</w:t>
      </w:r>
      <w:r w:rsidRPr="007E0B08">
        <w:t xml:space="preserve"> vardarbību ietver statistikas vākšanu, izstrādi, sagatavošanu un izplatīšanu par </w:t>
      </w:r>
      <w:r w:rsidRPr="007E0B08">
        <w:t>izvarošanu</w:t>
      </w:r>
      <w:r w:rsidRPr="007E0B08">
        <w:t xml:space="preserve">, tostarp sadalītus datus par, bet ne tikai, dzimumu, vecuma grupu (bērns/pieaugušais), cietušā un vainīgā rasi un etnisko izcelsmi, kā arī attiecībām starp cietušo un vainīgo; prasa </w:t>
      </w:r>
      <w:r w:rsidRPr="007E0B08">
        <w:rPr>
          <w:i/>
          <w:iCs/>
        </w:rPr>
        <w:t>EIGE</w:t>
      </w:r>
      <w:r w:rsidRPr="007E0B08">
        <w:t xml:space="preserve"> un </w:t>
      </w:r>
      <w:r w:rsidRPr="007E0B08">
        <w:rPr>
          <w:i/>
          <w:iCs/>
        </w:rPr>
        <w:t>FRA</w:t>
      </w:r>
      <w:r w:rsidRPr="007E0B08">
        <w:t xml:space="preserve"> atbalstīt uzraudzības procesu un vēl vairāk </w:t>
      </w:r>
      <w:r w:rsidRPr="007E0B08">
        <w:t xml:space="preserve">veicināt datu vākšanu un pētniecību par visiem ar </w:t>
      </w:r>
      <w:r w:rsidRPr="007E0B08">
        <w:t>dzimumbalstītas</w:t>
      </w:r>
      <w:r w:rsidRPr="007E0B08">
        <w:t xml:space="preserve"> vardarbības veidiem, tostarp </w:t>
      </w:r>
      <w:r w:rsidRPr="007E0B08">
        <w:t>izvarošanu</w:t>
      </w:r>
      <w:r w:rsidRPr="007E0B08">
        <w:t>;</w:t>
      </w:r>
    </w:p>
    <w:p w:rsidR="00DD77B3" w:rsidRPr="007E0B08" w:rsidP="00DD77B3" w14:paraId="2BC87F60" w14:textId="6A289320">
      <w:pPr>
        <w:pStyle w:val="NormalHanging12a"/>
      </w:pPr>
      <w:r w:rsidRPr="007E0B08">
        <w:t>33.</w:t>
      </w:r>
      <w:r w:rsidRPr="007E0B08">
        <w:tab/>
        <w:t>uzdod priekšsēdētājai šo rezolūciju nosūtīt Padomei un Komisijai.</w:t>
      </w:r>
    </w:p>
    <w:p w:rsidR="00E365E1" w:rsidRPr="007E0B08" w:rsidP="00673E0E" w14:paraId="1D9681D4" w14:textId="0E078CB5"/>
    <w:sectPr w:rsidSect="00DD77B3">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D77B3" w14:paraId="55BCFFC9"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D77B3" w14:paraId="7877339A"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D77B3" w14:paraId="4E97F8F5"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73E0E" w:rsidRPr="00DD77B3" w14:paraId="695B2D8B" w14:textId="77777777">
      <w:r w:rsidRPr="00DD77B3">
        <w:separator/>
      </w:r>
    </w:p>
  </w:footnote>
  <w:footnote w:type="continuationSeparator" w:id="1">
    <w:p w:rsidR="00673E0E" w:rsidRPr="00DD77B3" w14:paraId="1790BF83" w14:textId="77777777">
      <w:r w:rsidRPr="00DD77B3">
        <w:continuationSeparator/>
      </w:r>
    </w:p>
  </w:footnote>
  <w:footnote w:id="2">
    <w:p w:rsidR="00C114FF" w:rsidRPr="00DD77B3" w:rsidP="00DD77B3" w14:paraId="079CCB84" w14:textId="28B1EAB1">
      <w:pPr>
        <w:pStyle w:val="FootnoteText"/>
        <w:ind w:left="567" w:hanging="567"/>
        <w:rPr>
          <w:sz w:val="24"/>
          <w:lang w:val="lv-LV"/>
        </w:rPr>
      </w:pPr>
      <w:r>
        <w:rPr>
          <w:rStyle w:val="FootnoteReference"/>
        </w:rPr>
        <w:footnoteRef/>
      </w:r>
      <w:r w:rsidRPr="00DD77B3">
        <w:rPr>
          <w:sz w:val="24"/>
          <w:vertAlign w:val="superscript"/>
          <w:lang w:val="lv-LV"/>
        </w:rPr>
        <w:t xml:space="preserve"> </w:t>
      </w:r>
      <w:r w:rsidRPr="00DD77B3">
        <w:rPr>
          <w:sz w:val="24"/>
          <w:vertAlign w:val="superscript"/>
          <w:lang w:val="lv-LV"/>
        </w:rPr>
        <w:tab/>
      </w:r>
      <w:r w:rsidRPr="00DD77B3">
        <w:rPr>
          <w:sz w:val="24"/>
          <w:lang w:val="lv-LV"/>
        </w:rPr>
        <w:t xml:space="preserve">OV L, 2024/1385, 24.5.2024., ELI: </w:t>
      </w:r>
      <w:hyperlink r:id="rId1" w:history="1">
        <w:r w:rsidRPr="00DC4163">
          <w:rPr>
            <w:rStyle w:val="Hyperlink"/>
            <w:sz w:val="24"/>
            <w:lang w:val="fi-FI"/>
          </w:rPr>
          <w:t>http://data.europa.eu/eli/dir/2024/1385/oj</w:t>
        </w:r>
      </w:hyperlink>
      <w:r w:rsidRPr="00DD77B3">
        <w:rPr>
          <w:sz w:val="24"/>
          <w:lang w:val="lv-LV"/>
        </w:rPr>
        <w:t>.</w:t>
      </w:r>
    </w:p>
  </w:footnote>
  <w:footnote w:id="3">
    <w:p w:rsidR="00C114FF" w:rsidRPr="00DD77B3" w:rsidP="00DD77B3" w14:paraId="558DF785" w14:textId="4C854298">
      <w:pPr>
        <w:pStyle w:val="FootnoteText"/>
        <w:ind w:left="567" w:hanging="567"/>
        <w:rPr>
          <w:sz w:val="24"/>
          <w:lang w:val="lv-LV"/>
        </w:rPr>
      </w:pPr>
      <w:r>
        <w:rPr>
          <w:rStyle w:val="FootnoteReference"/>
        </w:rPr>
        <w:footnoteRef/>
      </w:r>
      <w:r w:rsidRPr="00DD77B3">
        <w:rPr>
          <w:sz w:val="24"/>
          <w:vertAlign w:val="superscript"/>
          <w:lang w:val="lv-LV"/>
        </w:rPr>
        <w:t xml:space="preserve"> </w:t>
      </w:r>
      <w:r w:rsidRPr="00DD77B3">
        <w:rPr>
          <w:sz w:val="24"/>
          <w:vertAlign w:val="superscript"/>
          <w:lang w:val="lv-LV"/>
        </w:rPr>
        <w:tab/>
      </w:r>
      <w:r w:rsidRPr="00DD77B3">
        <w:rPr>
          <w:sz w:val="24"/>
          <w:lang w:val="lv-LV"/>
        </w:rPr>
        <w:t xml:space="preserve">OV L 315, 14.11.2012., 57. lpp., ELI: </w:t>
      </w:r>
      <w:hyperlink r:id="rId2" w:history="1">
        <w:r w:rsidRPr="00DC4163">
          <w:rPr>
            <w:rStyle w:val="Hyperlink"/>
            <w:sz w:val="24"/>
            <w:lang w:val="fi-FI"/>
          </w:rPr>
          <w:t>http://data.europa.eu/eli/dir/2012/29/oj</w:t>
        </w:r>
      </w:hyperlink>
      <w:r w:rsidRPr="00DD77B3">
        <w:rPr>
          <w:sz w:val="24"/>
          <w:lang w:val="lv-LV"/>
        </w:rPr>
        <w:t>.</w:t>
      </w:r>
    </w:p>
  </w:footnote>
  <w:footnote w:id="4">
    <w:p w:rsidR="00C114FF" w:rsidRPr="00DD77B3" w:rsidP="00DD77B3" w14:paraId="08A8D814" w14:textId="04BCE451">
      <w:pPr>
        <w:pStyle w:val="FootnoteText"/>
        <w:ind w:left="567" w:hanging="567"/>
        <w:rPr>
          <w:sz w:val="24"/>
          <w:lang w:val="lv-LV"/>
        </w:rPr>
      </w:pPr>
      <w:r>
        <w:rPr>
          <w:rStyle w:val="FootnoteReference"/>
        </w:rPr>
        <w:footnoteRef/>
      </w:r>
      <w:r w:rsidRPr="00DD77B3">
        <w:rPr>
          <w:sz w:val="24"/>
          <w:vertAlign w:val="superscript"/>
          <w:lang w:val="lv-LV"/>
        </w:rPr>
        <w:t xml:space="preserve"> </w:t>
      </w:r>
      <w:r w:rsidRPr="00DD77B3">
        <w:rPr>
          <w:sz w:val="24"/>
          <w:vertAlign w:val="superscript"/>
          <w:lang w:val="lv-LV"/>
        </w:rPr>
        <w:tab/>
      </w:r>
      <w:r w:rsidRPr="00DD77B3">
        <w:rPr>
          <w:sz w:val="24"/>
          <w:lang w:val="lv-LV"/>
        </w:rPr>
        <w:t>Pieņemtie teksti, P10_TA(2025)0116.</w:t>
      </w:r>
    </w:p>
  </w:footnote>
  <w:footnote w:id="5">
    <w:p w:rsidR="00C114FF" w:rsidRPr="00DD77B3" w:rsidP="00DD77B3" w14:paraId="6CD9BEF6" w14:textId="7403A4FB">
      <w:pPr>
        <w:pStyle w:val="FootnoteText"/>
        <w:ind w:left="567" w:hanging="567"/>
        <w:rPr>
          <w:sz w:val="24"/>
          <w:lang w:val="lv-LV"/>
        </w:rPr>
      </w:pPr>
      <w:r>
        <w:rPr>
          <w:rStyle w:val="FootnoteReference"/>
        </w:rPr>
        <w:footnoteRef/>
      </w:r>
      <w:r w:rsidRPr="00DD77B3">
        <w:rPr>
          <w:sz w:val="24"/>
          <w:vertAlign w:val="superscript"/>
          <w:lang w:val="lv-LV"/>
        </w:rPr>
        <w:t xml:space="preserve"> </w:t>
      </w:r>
      <w:r w:rsidRPr="00DD77B3">
        <w:rPr>
          <w:sz w:val="24"/>
          <w:vertAlign w:val="superscript"/>
          <w:lang w:val="lv-LV"/>
        </w:rPr>
        <w:tab/>
      </w:r>
      <w:r w:rsidRPr="00DD77B3">
        <w:rPr>
          <w:sz w:val="24"/>
          <w:lang w:val="lv-LV"/>
        </w:rPr>
        <w:t>OV C 117, 11.3.2022., 88. lpp.</w:t>
      </w:r>
    </w:p>
  </w:footnote>
  <w:footnote w:id="6">
    <w:p w:rsidR="00C114FF" w:rsidRPr="00DD77B3" w:rsidP="00DD77B3" w14:paraId="77592180" w14:textId="11EFD6CC">
      <w:pPr>
        <w:pStyle w:val="FootnoteText"/>
        <w:ind w:left="567" w:hanging="567"/>
        <w:rPr>
          <w:sz w:val="24"/>
          <w:lang w:val="lv-LV"/>
        </w:rPr>
      </w:pPr>
      <w:r>
        <w:rPr>
          <w:rStyle w:val="FootnoteReference"/>
        </w:rPr>
        <w:footnoteRef/>
      </w:r>
      <w:r w:rsidRPr="00DD77B3">
        <w:rPr>
          <w:sz w:val="24"/>
          <w:vertAlign w:val="superscript"/>
          <w:lang w:val="lv-LV"/>
        </w:rPr>
        <w:t xml:space="preserve"> </w:t>
      </w:r>
      <w:r w:rsidRPr="00DD77B3">
        <w:rPr>
          <w:sz w:val="24"/>
          <w:vertAlign w:val="superscript"/>
          <w:lang w:val="lv-LV"/>
        </w:rPr>
        <w:tab/>
      </w:r>
      <w:r w:rsidRPr="00DD77B3">
        <w:rPr>
          <w:sz w:val="24"/>
          <w:lang w:val="lv-LV"/>
        </w:rPr>
        <w:t>OV C 283, 11.8.2023., 149. lpp.</w:t>
      </w:r>
    </w:p>
  </w:footnote>
  <w:footnote w:id="7">
    <w:p w:rsidR="00C114FF" w:rsidRPr="00DD77B3" w:rsidP="00DD77B3" w14:paraId="18E95ED3" w14:textId="7654F3A0">
      <w:pPr>
        <w:pStyle w:val="FootnoteText"/>
        <w:ind w:left="567" w:hanging="567"/>
        <w:rPr>
          <w:sz w:val="24"/>
          <w:vertAlign w:val="superscript"/>
          <w:lang w:val="lv-LV"/>
        </w:rPr>
      </w:pPr>
      <w:r>
        <w:rPr>
          <w:rStyle w:val="FootnoteReference"/>
        </w:rPr>
        <w:footnoteRef/>
      </w:r>
      <w:r w:rsidRPr="00DD77B3">
        <w:rPr>
          <w:sz w:val="24"/>
          <w:vertAlign w:val="superscript"/>
          <w:lang w:val="lv-LV"/>
        </w:rPr>
        <w:t xml:space="preserve"> </w:t>
      </w:r>
      <w:r w:rsidRPr="00DD77B3">
        <w:rPr>
          <w:sz w:val="24"/>
          <w:vertAlign w:val="superscript"/>
          <w:lang w:val="lv-LV"/>
        </w:rPr>
        <w:tab/>
      </w:r>
      <w:r w:rsidRPr="00DD77B3">
        <w:rPr>
          <w:i/>
          <w:iCs/>
          <w:sz w:val="24"/>
          <w:lang w:val="lv-LV"/>
        </w:rPr>
        <w:t>FRA</w:t>
      </w:r>
      <w:r w:rsidRPr="00DD77B3">
        <w:rPr>
          <w:sz w:val="24"/>
          <w:lang w:val="lv-LV"/>
        </w:rPr>
        <w:t xml:space="preserve">, </w:t>
      </w:r>
      <w:r w:rsidRPr="00DD77B3">
        <w:rPr>
          <w:i/>
          <w:iCs/>
          <w:sz w:val="24"/>
          <w:lang w:val="lv-LV"/>
        </w:rPr>
        <w:t>EIGE</w:t>
      </w:r>
      <w:r w:rsidRPr="00DD77B3">
        <w:rPr>
          <w:sz w:val="24"/>
          <w:lang w:val="lv-LV"/>
        </w:rPr>
        <w:t xml:space="preserve"> un </w:t>
      </w:r>
      <w:r w:rsidRPr="00DD77B3">
        <w:rPr>
          <w:i/>
          <w:iCs/>
          <w:sz w:val="24"/>
          <w:lang w:val="lv-LV"/>
        </w:rPr>
        <w:t>Eurostat</w:t>
      </w:r>
      <w:r w:rsidRPr="00DD77B3">
        <w:rPr>
          <w:sz w:val="24"/>
          <w:lang w:val="lv-LV"/>
        </w:rPr>
        <w:t xml:space="preserve">, </w:t>
      </w:r>
      <w:r w:rsidRPr="00DD77B3">
        <w:rPr>
          <w:sz w:val="24"/>
          <w:lang w:val="lv-LV"/>
        </w:rPr>
        <w:t>apsekojums</w:t>
      </w:r>
      <w:r w:rsidRPr="00DD77B3">
        <w:rPr>
          <w:sz w:val="24"/>
          <w:lang w:val="lv-LV"/>
        </w:rPr>
        <w:t xml:space="preserve">, </w:t>
      </w:r>
      <w:r w:rsidRPr="00DD77B3">
        <w:rPr>
          <w:i/>
          <w:sz w:val="24"/>
          <w:lang w:val="lv-LV"/>
        </w:rPr>
        <w:t xml:space="preserve">EU </w:t>
      </w:r>
      <w:r w:rsidRPr="00DD77B3">
        <w:rPr>
          <w:i/>
          <w:sz w:val="24"/>
          <w:lang w:val="lv-LV"/>
        </w:rPr>
        <w:t>gender-based</w:t>
      </w:r>
      <w:r w:rsidRPr="00DD77B3">
        <w:rPr>
          <w:i/>
          <w:sz w:val="24"/>
          <w:lang w:val="lv-LV"/>
        </w:rPr>
        <w:t xml:space="preserve"> </w:t>
      </w:r>
      <w:r w:rsidRPr="00DD77B3">
        <w:rPr>
          <w:i/>
          <w:sz w:val="24"/>
          <w:lang w:val="lv-LV"/>
        </w:rPr>
        <w:t>violence</w:t>
      </w:r>
      <w:r w:rsidRPr="00DD77B3">
        <w:rPr>
          <w:i/>
          <w:sz w:val="24"/>
          <w:lang w:val="lv-LV"/>
        </w:rPr>
        <w:t xml:space="preserve"> </w:t>
      </w:r>
      <w:r w:rsidRPr="00DD77B3">
        <w:rPr>
          <w:i/>
          <w:sz w:val="24"/>
          <w:lang w:val="lv-LV"/>
        </w:rPr>
        <w:t>survey</w:t>
      </w:r>
      <w:r w:rsidRPr="00DD77B3">
        <w:rPr>
          <w:i/>
          <w:sz w:val="24"/>
          <w:lang w:val="lv-LV"/>
        </w:rPr>
        <w:t xml:space="preserve"> – </w:t>
      </w:r>
      <w:r w:rsidRPr="00DD77B3">
        <w:rPr>
          <w:i/>
          <w:sz w:val="24"/>
          <w:lang w:val="lv-LV"/>
        </w:rPr>
        <w:t>Key</w:t>
      </w:r>
      <w:r w:rsidRPr="00DD77B3">
        <w:rPr>
          <w:i/>
          <w:sz w:val="24"/>
          <w:lang w:val="lv-LV"/>
        </w:rPr>
        <w:t xml:space="preserve"> </w:t>
      </w:r>
      <w:r w:rsidRPr="00DD77B3">
        <w:rPr>
          <w:i/>
          <w:sz w:val="24"/>
          <w:lang w:val="lv-LV"/>
        </w:rPr>
        <w:t>results</w:t>
      </w:r>
      <w:r w:rsidRPr="00DD77B3">
        <w:rPr>
          <w:sz w:val="24"/>
          <w:lang w:val="lv-LV"/>
        </w:rPr>
        <w:t>:</w:t>
      </w:r>
      <w:r w:rsidRPr="00DD77B3">
        <w:rPr>
          <w:i/>
          <w:sz w:val="24"/>
          <w:lang w:val="lv-LV"/>
        </w:rPr>
        <w:t xml:space="preserve"> </w:t>
      </w:r>
      <w:r w:rsidRPr="00DD77B3">
        <w:rPr>
          <w:i/>
          <w:sz w:val="24"/>
          <w:lang w:val="lv-LV"/>
        </w:rPr>
        <w:t>Experiences</w:t>
      </w:r>
      <w:r w:rsidRPr="00DD77B3">
        <w:rPr>
          <w:i/>
          <w:sz w:val="24"/>
          <w:lang w:val="lv-LV"/>
        </w:rPr>
        <w:t xml:space="preserve"> </w:t>
      </w:r>
      <w:r w:rsidRPr="00DD77B3">
        <w:rPr>
          <w:i/>
          <w:sz w:val="24"/>
          <w:lang w:val="lv-LV"/>
        </w:rPr>
        <w:t>of</w:t>
      </w:r>
      <w:r w:rsidRPr="00DD77B3">
        <w:rPr>
          <w:i/>
          <w:sz w:val="24"/>
          <w:lang w:val="lv-LV"/>
        </w:rPr>
        <w:t xml:space="preserve"> </w:t>
      </w:r>
      <w:r w:rsidRPr="00DD77B3">
        <w:rPr>
          <w:i/>
          <w:sz w:val="24"/>
          <w:lang w:val="lv-LV"/>
        </w:rPr>
        <w:t>women</w:t>
      </w:r>
      <w:r w:rsidRPr="00DD77B3">
        <w:rPr>
          <w:i/>
          <w:sz w:val="24"/>
          <w:lang w:val="lv-LV"/>
        </w:rPr>
        <w:t xml:space="preserve"> </w:t>
      </w:r>
      <w:r w:rsidRPr="00DD77B3">
        <w:rPr>
          <w:i/>
          <w:sz w:val="24"/>
          <w:lang w:val="lv-LV"/>
        </w:rPr>
        <w:t>in</w:t>
      </w:r>
      <w:r w:rsidRPr="00DD77B3">
        <w:rPr>
          <w:i/>
          <w:sz w:val="24"/>
          <w:lang w:val="lv-LV"/>
        </w:rPr>
        <w:t xml:space="preserve"> </w:t>
      </w:r>
      <w:r w:rsidRPr="00DD77B3">
        <w:rPr>
          <w:i/>
          <w:sz w:val="24"/>
          <w:lang w:val="lv-LV"/>
        </w:rPr>
        <w:t>the</w:t>
      </w:r>
      <w:r w:rsidRPr="00DD77B3">
        <w:rPr>
          <w:i/>
          <w:sz w:val="24"/>
          <w:lang w:val="lv-LV"/>
        </w:rPr>
        <w:t xml:space="preserve"> EU-27</w:t>
      </w:r>
      <w:r w:rsidRPr="00DD77B3">
        <w:rPr>
          <w:sz w:val="24"/>
          <w:lang w:val="lv-LV"/>
        </w:rPr>
        <w:t>, Eiropas Savienības Publikāciju birojs, Luksemburga, 2024. gads, 14. lpp.</w:t>
      </w:r>
    </w:p>
  </w:footnote>
  <w:footnote w:id="8">
    <w:p w:rsidR="00C114FF" w:rsidRPr="00DD77B3" w:rsidP="00DD77B3" w14:paraId="7DCEED1E" w14:textId="657DF43B">
      <w:pPr>
        <w:pStyle w:val="FootnoteText"/>
        <w:ind w:left="567" w:hanging="567"/>
        <w:rPr>
          <w:sz w:val="24"/>
          <w:lang w:val="lv-LV"/>
        </w:rPr>
      </w:pPr>
      <w:r>
        <w:rPr>
          <w:rStyle w:val="FootnoteReference"/>
        </w:rPr>
        <w:footnoteRef/>
      </w:r>
      <w:r w:rsidRPr="00DD77B3">
        <w:rPr>
          <w:i/>
          <w:iCs/>
          <w:sz w:val="24"/>
          <w:lang w:val="lv-LV"/>
        </w:rPr>
        <w:t xml:space="preserve"> </w:t>
      </w:r>
      <w:r w:rsidRPr="00DD77B3">
        <w:rPr>
          <w:i/>
          <w:iCs/>
          <w:sz w:val="24"/>
          <w:lang w:val="lv-LV"/>
        </w:rPr>
        <w:tab/>
      </w:r>
      <w:r w:rsidRPr="00DD77B3">
        <w:rPr>
          <w:i/>
          <w:iCs/>
          <w:sz w:val="24"/>
          <w:lang w:val="lv-LV"/>
        </w:rPr>
        <w:t xml:space="preserve">FRA, </w:t>
      </w:r>
      <w:r w:rsidRPr="00DD77B3">
        <w:rPr>
          <w:i/>
          <w:iCs/>
          <w:sz w:val="24"/>
          <w:lang w:val="lv-LV"/>
        </w:rPr>
        <w:t>Fundamental</w:t>
      </w:r>
      <w:r w:rsidRPr="00DD77B3">
        <w:rPr>
          <w:i/>
          <w:iCs/>
          <w:sz w:val="24"/>
          <w:lang w:val="lv-LV"/>
        </w:rPr>
        <w:t xml:space="preserve"> </w:t>
      </w:r>
      <w:r w:rsidRPr="00DD77B3">
        <w:rPr>
          <w:i/>
          <w:iCs/>
          <w:sz w:val="24"/>
          <w:lang w:val="lv-LV"/>
        </w:rPr>
        <w:t>Rights</w:t>
      </w:r>
      <w:r w:rsidRPr="00DD77B3">
        <w:rPr>
          <w:i/>
          <w:iCs/>
          <w:sz w:val="24"/>
          <w:lang w:val="lv-LV"/>
        </w:rPr>
        <w:t xml:space="preserve"> </w:t>
      </w:r>
      <w:r w:rsidRPr="00DD77B3">
        <w:rPr>
          <w:i/>
          <w:iCs/>
          <w:sz w:val="24"/>
          <w:lang w:val="lv-LV"/>
        </w:rPr>
        <w:t>Report</w:t>
      </w:r>
      <w:r w:rsidRPr="00DD77B3">
        <w:rPr>
          <w:i/>
          <w:iCs/>
          <w:sz w:val="24"/>
          <w:lang w:val="lv-LV"/>
        </w:rPr>
        <w:t xml:space="preserve"> 2025</w:t>
      </w:r>
      <w:r w:rsidRPr="00DD77B3">
        <w:rPr>
          <w:sz w:val="24"/>
          <w:lang w:val="lv-LV"/>
        </w:rPr>
        <w:t>, Eiropas Savienības Publikāciju birojs, Luksemburga, 2025. gads, 77. lpp.</w:t>
      </w:r>
    </w:p>
  </w:footnote>
  <w:footnote w:id="9">
    <w:p w:rsidR="00C114FF" w:rsidRPr="00DD77B3" w:rsidP="00DD77B3" w14:paraId="23B1DAEE" w14:textId="76EFBCDF">
      <w:pPr>
        <w:pStyle w:val="FootnoteText"/>
        <w:ind w:left="567" w:hanging="567"/>
        <w:rPr>
          <w:sz w:val="24"/>
          <w:lang w:val="lv-LV"/>
        </w:rPr>
      </w:pPr>
      <w:r>
        <w:rPr>
          <w:rStyle w:val="FootnoteReference"/>
        </w:rPr>
        <w:footnoteRef/>
      </w:r>
      <w:r w:rsidRPr="00DD77B3">
        <w:rPr>
          <w:sz w:val="24"/>
          <w:vertAlign w:val="superscript"/>
          <w:lang w:val="lv-LV"/>
        </w:rPr>
        <w:t xml:space="preserve"> </w:t>
      </w:r>
      <w:r w:rsidRPr="00DD77B3">
        <w:rPr>
          <w:sz w:val="24"/>
          <w:vertAlign w:val="superscript"/>
          <w:lang w:val="lv-LV"/>
        </w:rPr>
        <w:tab/>
      </w:r>
      <w:r w:rsidRPr="00DD77B3">
        <w:rPr>
          <w:i/>
          <w:iCs/>
          <w:sz w:val="24"/>
          <w:lang w:val="lv-LV"/>
        </w:rPr>
        <w:t>FRA</w:t>
      </w:r>
      <w:r w:rsidRPr="00DD77B3">
        <w:rPr>
          <w:sz w:val="24"/>
          <w:lang w:val="lv-LV"/>
        </w:rPr>
        <w:t xml:space="preserve"> un </w:t>
      </w:r>
      <w:r w:rsidRPr="00DD77B3">
        <w:rPr>
          <w:i/>
          <w:iCs/>
          <w:sz w:val="24"/>
          <w:lang w:val="lv-LV"/>
        </w:rPr>
        <w:t>EIGE</w:t>
      </w:r>
      <w:r w:rsidRPr="00DD77B3">
        <w:rPr>
          <w:sz w:val="24"/>
          <w:lang w:val="lv-LV"/>
        </w:rPr>
        <w:t xml:space="preserve">, </w:t>
      </w:r>
      <w:r w:rsidRPr="00DD77B3">
        <w:rPr>
          <w:i/>
          <w:iCs/>
          <w:sz w:val="24"/>
          <w:lang w:val="lv-LV"/>
        </w:rPr>
        <w:t>Violence</w:t>
      </w:r>
      <w:r w:rsidRPr="00DD77B3">
        <w:rPr>
          <w:i/>
          <w:iCs/>
          <w:sz w:val="24"/>
          <w:lang w:val="lv-LV"/>
        </w:rPr>
        <w:t xml:space="preserve"> </w:t>
      </w:r>
      <w:r w:rsidRPr="00DD77B3">
        <w:rPr>
          <w:i/>
          <w:iCs/>
          <w:sz w:val="24"/>
          <w:lang w:val="lv-LV"/>
        </w:rPr>
        <w:t>against</w:t>
      </w:r>
      <w:r w:rsidRPr="00DD77B3">
        <w:rPr>
          <w:i/>
          <w:iCs/>
          <w:sz w:val="24"/>
          <w:lang w:val="lv-LV"/>
        </w:rPr>
        <w:t xml:space="preserve"> </w:t>
      </w:r>
      <w:r w:rsidRPr="00DD77B3">
        <w:rPr>
          <w:i/>
          <w:iCs/>
          <w:sz w:val="24"/>
          <w:lang w:val="lv-LV"/>
        </w:rPr>
        <w:t>women</w:t>
      </w:r>
      <w:r w:rsidRPr="00DD77B3">
        <w:rPr>
          <w:i/>
          <w:iCs/>
          <w:sz w:val="24"/>
          <w:lang w:val="lv-LV"/>
        </w:rPr>
        <w:t>:</w:t>
      </w:r>
      <w:r w:rsidRPr="00DD77B3">
        <w:rPr>
          <w:sz w:val="24"/>
          <w:lang w:val="lv-LV"/>
        </w:rPr>
        <w:t xml:space="preserve"> </w:t>
      </w:r>
      <w:r w:rsidRPr="00DD77B3">
        <w:rPr>
          <w:i/>
          <w:iCs/>
          <w:sz w:val="24"/>
          <w:lang w:val="lv-LV"/>
        </w:rPr>
        <w:t>an</w:t>
      </w:r>
      <w:r w:rsidRPr="00DD77B3">
        <w:rPr>
          <w:i/>
          <w:iCs/>
          <w:sz w:val="24"/>
          <w:lang w:val="lv-LV"/>
        </w:rPr>
        <w:t xml:space="preserve"> EU-</w:t>
      </w:r>
      <w:r w:rsidRPr="00DD77B3">
        <w:rPr>
          <w:i/>
          <w:iCs/>
          <w:sz w:val="24"/>
          <w:lang w:val="lv-LV"/>
        </w:rPr>
        <w:t>wide</w:t>
      </w:r>
      <w:r w:rsidRPr="00DD77B3">
        <w:rPr>
          <w:i/>
          <w:iCs/>
          <w:sz w:val="24"/>
          <w:lang w:val="lv-LV"/>
        </w:rPr>
        <w:t xml:space="preserve"> </w:t>
      </w:r>
      <w:r w:rsidRPr="00DD77B3">
        <w:rPr>
          <w:i/>
          <w:iCs/>
          <w:sz w:val="24"/>
          <w:lang w:val="lv-LV"/>
        </w:rPr>
        <w:t>survey</w:t>
      </w:r>
      <w:r w:rsidRPr="00DD77B3">
        <w:rPr>
          <w:i/>
          <w:iCs/>
          <w:sz w:val="24"/>
          <w:lang w:val="lv-LV"/>
        </w:rPr>
        <w:t xml:space="preserve"> – </w:t>
      </w:r>
      <w:r w:rsidRPr="00DD77B3">
        <w:rPr>
          <w:i/>
          <w:iCs/>
          <w:sz w:val="24"/>
          <w:lang w:val="lv-LV"/>
        </w:rPr>
        <w:t>Results</w:t>
      </w:r>
      <w:r w:rsidRPr="00DD77B3">
        <w:rPr>
          <w:i/>
          <w:iCs/>
          <w:sz w:val="24"/>
          <w:lang w:val="lv-LV"/>
        </w:rPr>
        <w:t xml:space="preserve"> </w:t>
      </w:r>
      <w:r w:rsidRPr="00DD77B3">
        <w:rPr>
          <w:i/>
          <w:iCs/>
          <w:sz w:val="24"/>
          <w:lang w:val="lv-LV"/>
        </w:rPr>
        <w:t>at</w:t>
      </w:r>
      <w:r w:rsidRPr="00DD77B3">
        <w:rPr>
          <w:i/>
          <w:iCs/>
          <w:sz w:val="24"/>
          <w:lang w:val="lv-LV"/>
        </w:rPr>
        <w:t xml:space="preserve"> a </w:t>
      </w:r>
      <w:r w:rsidRPr="00DD77B3">
        <w:rPr>
          <w:i/>
          <w:iCs/>
          <w:sz w:val="24"/>
          <w:lang w:val="lv-LV"/>
        </w:rPr>
        <w:t>glance</w:t>
      </w:r>
      <w:r w:rsidRPr="00DD77B3">
        <w:rPr>
          <w:sz w:val="24"/>
          <w:lang w:val="lv-LV"/>
        </w:rPr>
        <w:t>, Eiropas Savienības Publikāciju Birojs, Luksemburga, 2014. gads, 20. lpp.</w:t>
      </w:r>
    </w:p>
  </w:footnote>
  <w:footnote w:id="10">
    <w:p w:rsidR="00C114FF" w:rsidRPr="00DD77B3" w:rsidP="00DD77B3" w14:paraId="581A3B7D" w14:textId="19AC556F">
      <w:pPr>
        <w:pStyle w:val="FootnoteText"/>
        <w:ind w:left="567" w:hanging="567"/>
        <w:rPr>
          <w:sz w:val="24"/>
          <w:lang w:val="lv-LV"/>
        </w:rPr>
      </w:pPr>
      <w:r>
        <w:rPr>
          <w:rStyle w:val="FootnoteReference"/>
        </w:rPr>
        <w:footnoteRef/>
      </w:r>
      <w:r w:rsidRPr="00DD77B3">
        <w:rPr>
          <w:sz w:val="24"/>
          <w:vertAlign w:val="superscript"/>
          <w:lang w:val="lv-LV"/>
        </w:rPr>
        <w:t xml:space="preserve"> </w:t>
      </w:r>
      <w:r w:rsidRPr="00DD77B3">
        <w:rPr>
          <w:sz w:val="24"/>
          <w:vertAlign w:val="superscript"/>
          <w:lang w:val="lv-LV"/>
        </w:rPr>
        <w:tab/>
      </w:r>
      <w:r w:rsidRPr="00DD77B3">
        <w:rPr>
          <w:sz w:val="24"/>
          <w:lang w:val="lv-LV"/>
        </w:rPr>
        <w:t>Bulgārija, Čehija, Ungārija, Lietuva un Slovākija.</w:t>
      </w:r>
    </w:p>
  </w:footnote>
  <w:footnote w:id="11">
    <w:p w:rsidR="00C114FF" w:rsidRPr="00DD77B3" w:rsidP="00DD77B3" w14:paraId="1C6D56D3" w14:textId="42C27331">
      <w:pPr>
        <w:pStyle w:val="FootnoteText"/>
        <w:ind w:left="567" w:hanging="567"/>
        <w:rPr>
          <w:sz w:val="24"/>
          <w:lang w:val="lv-LV"/>
        </w:rPr>
      </w:pPr>
      <w:r>
        <w:rPr>
          <w:rStyle w:val="FootnoteReference"/>
        </w:rPr>
        <w:footnoteRef/>
      </w:r>
      <w:r w:rsidRPr="00DD77B3">
        <w:rPr>
          <w:sz w:val="24"/>
          <w:vertAlign w:val="superscript"/>
          <w:lang w:val="lv-LV"/>
        </w:rPr>
        <w:t xml:space="preserve"> </w:t>
      </w:r>
      <w:r w:rsidRPr="00DD77B3">
        <w:rPr>
          <w:sz w:val="24"/>
          <w:vertAlign w:val="superscript"/>
          <w:lang w:val="lv-LV"/>
        </w:rPr>
        <w:tab/>
      </w:r>
      <w:r w:rsidRPr="00DD77B3">
        <w:rPr>
          <w:sz w:val="24"/>
          <w:lang w:val="lv-LV"/>
        </w:rPr>
        <w:t>Bulgārija un Čehija.</w:t>
      </w:r>
    </w:p>
  </w:footnote>
  <w:footnote w:id="12">
    <w:p w:rsidR="00C114FF" w:rsidRPr="00DD77B3" w:rsidP="00DD77B3" w14:paraId="10F071F5" w14:textId="0E8142CD">
      <w:pPr>
        <w:pStyle w:val="FootnoteText"/>
        <w:ind w:left="567" w:hanging="567"/>
        <w:rPr>
          <w:sz w:val="24"/>
          <w:lang w:val="lv-LV"/>
        </w:rPr>
      </w:pPr>
      <w:r>
        <w:rPr>
          <w:rStyle w:val="FootnoteReference"/>
        </w:rPr>
        <w:footnoteRef/>
      </w:r>
      <w:r w:rsidRPr="00DD77B3">
        <w:rPr>
          <w:sz w:val="24"/>
          <w:vertAlign w:val="superscript"/>
          <w:lang w:val="lv-LV"/>
        </w:rPr>
        <w:t xml:space="preserve"> </w:t>
      </w:r>
      <w:r w:rsidRPr="00DD77B3">
        <w:rPr>
          <w:sz w:val="24"/>
          <w:vertAlign w:val="superscript"/>
          <w:lang w:val="lv-LV"/>
        </w:rPr>
        <w:tab/>
      </w:r>
      <w:r w:rsidRPr="00DD77B3">
        <w:rPr>
          <w:sz w:val="24"/>
          <w:lang w:val="lv-LV"/>
        </w:rPr>
        <w:t xml:space="preserve">Eiropas Cilvēktiesību tiesas 2025. gada 27. februāra spriedums lietā </w:t>
      </w:r>
      <w:r w:rsidRPr="00DD77B3">
        <w:rPr>
          <w:i/>
          <w:iCs/>
          <w:sz w:val="24"/>
          <w:lang w:val="lv-LV"/>
        </w:rPr>
        <w:t>X / Kipra</w:t>
      </w:r>
      <w:r w:rsidRPr="00DD77B3">
        <w:rPr>
          <w:sz w:val="24"/>
          <w:lang w:val="lv-LV"/>
        </w:rPr>
        <w:t xml:space="preserve"> (prasības pieteikums Nr. 40733/22).</w:t>
      </w:r>
    </w:p>
  </w:footnote>
  <w:footnote w:id="13">
    <w:p w:rsidR="00C114FF" w:rsidRPr="00DD77B3" w:rsidP="00DD77B3" w14:paraId="3388D09C" w14:textId="6D3D2673">
      <w:pPr>
        <w:pStyle w:val="FootnoteText"/>
        <w:ind w:left="567" w:hanging="567"/>
        <w:rPr>
          <w:sz w:val="24"/>
          <w:lang w:val="lv-LV"/>
        </w:rPr>
      </w:pPr>
      <w:r>
        <w:rPr>
          <w:rStyle w:val="FootnoteReference"/>
        </w:rPr>
        <w:footnoteRef/>
      </w:r>
      <w:r w:rsidRPr="00DD77B3">
        <w:rPr>
          <w:sz w:val="24"/>
          <w:vertAlign w:val="superscript"/>
          <w:lang w:val="lv-LV"/>
        </w:rPr>
        <w:t xml:space="preserve"> </w:t>
      </w:r>
      <w:r w:rsidRPr="00DD77B3">
        <w:rPr>
          <w:sz w:val="24"/>
          <w:vertAlign w:val="superscript"/>
          <w:lang w:val="lv-LV"/>
        </w:rPr>
        <w:tab/>
      </w:r>
      <w:r w:rsidRPr="00DD77B3">
        <w:rPr>
          <w:sz w:val="24"/>
          <w:lang w:val="lv-LV"/>
        </w:rPr>
        <w:t xml:space="preserve">Eiropas Cilvēktiesību tiesas 2025. gada 23. janvāra spriedums lietā </w:t>
      </w:r>
      <w:r w:rsidRPr="00DD77B3">
        <w:rPr>
          <w:i/>
          <w:iCs/>
          <w:sz w:val="24"/>
          <w:lang w:val="lv-LV"/>
        </w:rPr>
        <w:t>HV / Francija</w:t>
      </w:r>
      <w:r w:rsidRPr="00DD77B3">
        <w:rPr>
          <w:sz w:val="24"/>
          <w:lang w:val="lv-LV"/>
        </w:rPr>
        <w:t xml:space="preserve"> (prasības pieteikums Nr. 13805/21).</w:t>
      </w:r>
    </w:p>
  </w:footnote>
  <w:footnote w:id="14">
    <w:p w:rsidR="00C114FF" w:rsidRPr="00DD77B3" w:rsidP="00DD77B3" w14:paraId="065980B9" w14:textId="297ABCD0">
      <w:pPr>
        <w:pStyle w:val="FootnoteText"/>
        <w:ind w:left="567" w:hanging="567"/>
        <w:rPr>
          <w:sz w:val="24"/>
          <w:vertAlign w:val="superscript"/>
          <w:lang w:val="lv-LV"/>
        </w:rPr>
      </w:pPr>
      <w:r>
        <w:rPr>
          <w:rStyle w:val="FootnoteReference"/>
        </w:rPr>
        <w:footnoteRef/>
      </w:r>
      <w:r w:rsidRPr="00DD77B3">
        <w:rPr>
          <w:sz w:val="24"/>
          <w:vertAlign w:val="superscript"/>
          <w:lang w:val="lv-LV"/>
        </w:rPr>
        <w:t xml:space="preserve"> </w:t>
      </w:r>
      <w:r w:rsidRPr="00DD77B3">
        <w:rPr>
          <w:sz w:val="24"/>
          <w:vertAlign w:val="superscript"/>
          <w:lang w:val="lv-LV"/>
        </w:rPr>
        <w:tab/>
      </w:r>
      <w:r w:rsidRPr="00DD77B3">
        <w:rPr>
          <w:sz w:val="24"/>
          <w:lang w:val="lv-LV"/>
        </w:rPr>
        <w:t xml:space="preserve">Eiropas Cilvēktiesību tiesas 2025. gada 24. aprīļa spriedums lietā </w:t>
      </w:r>
      <w:r w:rsidRPr="00DD77B3">
        <w:rPr>
          <w:i/>
          <w:iCs/>
          <w:sz w:val="24"/>
          <w:lang w:val="lv-LV"/>
        </w:rPr>
        <w:t>L u. c. / Francija</w:t>
      </w:r>
      <w:r w:rsidRPr="00DD77B3">
        <w:rPr>
          <w:sz w:val="24"/>
          <w:lang w:val="lv-LV"/>
        </w:rPr>
        <w:t>, (prasības pieteikumi Nr. 46949/21, 24989/22 un 39759/22).</w:t>
      </w:r>
    </w:p>
  </w:footnote>
  <w:footnote w:id="15">
    <w:p w:rsidR="00C114FF" w:rsidRPr="00DD77B3" w:rsidP="00DD77B3" w14:paraId="0913E6F2" w14:textId="2F139B70">
      <w:pPr>
        <w:pStyle w:val="FootnoteText"/>
        <w:ind w:left="567" w:hanging="567"/>
        <w:rPr>
          <w:sz w:val="24"/>
          <w:lang w:val="lv-LV"/>
        </w:rPr>
      </w:pPr>
      <w:r>
        <w:rPr>
          <w:rStyle w:val="FootnoteReference"/>
        </w:rPr>
        <w:footnoteRef/>
      </w:r>
      <w:r w:rsidRPr="00DD77B3">
        <w:rPr>
          <w:sz w:val="24"/>
          <w:lang w:val="lv-LV"/>
        </w:rPr>
        <w:t xml:space="preserve"> </w:t>
      </w:r>
      <w:r w:rsidRPr="00DD77B3">
        <w:rPr>
          <w:sz w:val="24"/>
          <w:lang w:val="lv-LV"/>
        </w:rPr>
        <w:tab/>
      </w:r>
      <w:r w:rsidRPr="00DD77B3">
        <w:rPr>
          <w:sz w:val="24"/>
          <w:lang w:val="lv-LV"/>
        </w:rPr>
        <w:t xml:space="preserve">Eiropas Parlamenta un Padomes 2011. gada 13. decembra Direktīva 2011/93/ES par seksuālas vardarbības pret bērniem, bērnu seksuālas izmantošanas un bērnu pornogrāfijas apkarošanu, un ar kuru aizstāj Padomes Pamatlēmumu 2004/68/TI (OV L 335, 17.12.2011., 1. lpp., ELI: </w:t>
      </w:r>
      <w:hyperlink r:id="rId3" w:tgtFrame="http://data.europa.eu/eli/dir/2011/93/oj)" w:history="1">
        <w:r w:rsidRPr="00DD77B3">
          <w:rPr>
            <w:rStyle w:val="Hyperlink"/>
            <w:sz w:val="24"/>
            <w:lang w:val="lv-LV"/>
          </w:rPr>
          <w:t>http://data.europa.eu/eli/dir/2011/93/oj)</w:t>
        </w:r>
      </w:hyperlink>
      <w:r w:rsidRPr="00DD77B3">
        <w:rPr>
          <w:sz w:val="24"/>
          <w:lang w:val="lv-LV"/>
        </w:rPr>
        <w:t>.</w:t>
      </w:r>
    </w:p>
  </w:footnote>
  <w:footnote w:id="16">
    <w:p w:rsidR="00C114FF" w:rsidRPr="00DD77B3" w:rsidP="00DD77B3" w14:paraId="5B01C201" w14:textId="3847ED2A">
      <w:pPr>
        <w:pStyle w:val="FootnoteText"/>
        <w:ind w:left="567" w:hanging="567"/>
        <w:rPr>
          <w:sz w:val="24"/>
          <w:lang w:val="lv-LV"/>
        </w:rPr>
      </w:pPr>
      <w:r>
        <w:rPr>
          <w:rStyle w:val="FootnoteReference"/>
        </w:rPr>
        <w:footnoteRef/>
      </w:r>
      <w:r w:rsidRPr="00DD77B3">
        <w:rPr>
          <w:sz w:val="24"/>
          <w:vertAlign w:val="superscript"/>
          <w:lang w:val="lv-LV"/>
        </w:rPr>
        <w:t xml:space="preserve"> </w:t>
      </w:r>
      <w:r w:rsidRPr="00DD77B3">
        <w:rPr>
          <w:sz w:val="24"/>
          <w:vertAlign w:val="superscript"/>
          <w:lang w:val="lv-LV"/>
        </w:rPr>
        <w:tab/>
      </w:r>
      <w:r w:rsidRPr="00DD77B3">
        <w:rPr>
          <w:sz w:val="24"/>
          <w:lang w:val="lv-LV"/>
        </w:rPr>
        <w:t>Austrija, Beļģija, Dānija, Francija, Grieķija, Horvātija, Īrija, Kipra, Luksemburga, Malta, Nīderlande, Polija, Portugāle, Slovēnija, Somija, Spānija, Vācija un Zviedrija.</w:t>
      </w:r>
    </w:p>
  </w:footnote>
  <w:footnote w:id="17">
    <w:p w:rsidR="00C114FF" w:rsidRPr="00DD77B3" w:rsidP="00DD77B3" w14:paraId="3591E436" w14:textId="6F82A435">
      <w:pPr>
        <w:pStyle w:val="FootnoteText"/>
        <w:ind w:left="567" w:hanging="567"/>
        <w:rPr>
          <w:sz w:val="24"/>
          <w:vertAlign w:val="superscript"/>
          <w:lang w:val="lv-LV"/>
        </w:rPr>
      </w:pPr>
      <w:r>
        <w:rPr>
          <w:rStyle w:val="FootnoteReference"/>
        </w:rPr>
        <w:footnoteRef/>
      </w:r>
      <w:r w:rsidRPr="00DD77B3">
        <w:rPr>
          <w:sz w:val="24"/>
          <w:vertAlign w:val="superscript"/>
          <w:lang w:val="lv-LV"/>
        </w:rPr>
        <w:t xml:space="preserve"> </w:t>
      </w:r>
      <w:r w:rsidRPr="00DD77B3">
        <w:rPr>
          <w:sz w:val="24"/>
          <w:vertAlign w:val="superscript"/>
          <w:lang w:val="lv-LV"/>
        </w:rPr>
        <w:tab/>
      </w:r>
      <w:r w:rsidRPr="00DD77B3">
        <w:rPr>
          <w:sz w:val="24"/>
          <w:lang w:val="lv-LV"/>
        </w:rPr>
        <w:t>Islande, Norvēģija, Melnkalne, Ukraina un Apvienotā Karaliste.</w:t>
      </w:r>
    </w:p>
  </w:footnote>
  <w:footnote w:id="18">
    <w:p w:rsidR="00C114FF" w:rsidRPr="00DD77B3" w:rsidP="00DD77B3" w14:paraId="4B2DE9CE" w14:textId="3C4C71CB">
      <w:pPr>
        <w:pStyle w:val="FootnoteText"/>
        <w:ind w:left="567" w:hanging="567"/>
        <w:rPr>
          <w:sz w:val="24"/>
          <w:lang w:val="lv-LV"/>
        </w:rPr>
      </w:pPr>
      <w:r>
        <w:rPr>
          <w:rStyle w:val="FootnoteReference"/>
        </w:rPr>
        <w:footnoteRef/>
      </w:r>
      <w:r w:rsidRPr="00DD77B3">
        <w:rPr>
          <w:sz w:val="24"/>
          <w:lang w:val="lv-LV"/>
        </w:rPr>
        <w:t xml:space="preserve"> </w:t>
      </w:r>
      <w:r w:rsidRPr="00DD77B3">
        <w:rPr>
          <w:sz w:val="24"/>
          <w:lang w:val="lv-LV"/>
        </w:rPr>
        <w:tab/>
      </w:r>
      <w:r w:rsidRPr="00DD77B3">
        <w:rPr>
          <w:sz w:val="24"/>
          <w:lang w:val="lv-LV"/>
        </w:rPr>
        <w:t xml:space="preserve">Eiropas Padome, lieta </w:t>
      </w:r>
      <w:r w:rsidRPr="00DD77B3">
        <w:rPr>
          <w:i/>
          <w:iCs/>
          <w:sz w:val="24"/>
          <w:lang w:val="lv-LV"/>
        </w:rPr>
        <w:t>L. un citi / Francija</w:t>
      </w:r>
      <w:r w:rsidRPr="00DD77B3">
        <w:rPr>
          <w:sz w:val="24"/>
          <w:lang w:val="lv-LV"/>
        </w:rPr>
        <w:t>:</w:t>
      </w:r>
      <w:r w:rsidRPr="00DD77B3">
        <w:rPr>
          <w:i/>
          <w:sz w:val="24"/>
          <w:lang w:val="lv-LV"/>
        </w:rPr>
        <w:t xml:space="preserve"> </w:t>
      </w:r>
      <w:r w:rsidRPr="00DD77B3">
        <w:rPr>
          <w:i/>
          <w:sz w:val="24"/>
          <w:lang w:val="lv-LV"/>
        </w:rPr>
        <w:t>criminal-law</w:t>
      </w:r>
      <w:r w:rsidRPr="00DD77B3">
        <w:rPr>
          <w:i/>
          <w:sz w:val="24"/>
          <w:lang w:val="lv-LV"/>
        </w:rPr>
        <w:t xml:space="preserve"> </w:t>
      </w:r>
      <w:r w:rsidRPr="00DD77B3">
        <w:rPr>
          <w:i/>
          <w:sz w:val="24"/>
          <w:lang w:val="lv-LV"/>
        </w:rPr>
        <w:t>system</w:t>
      </w:r>
      <w:r w:rsidRPr="00DD77B3">
        <w:rPr>
          <w:i/>
          <w:sz w:val="24"/>
          <w:lang w:val="lv-LV"/>
        </w:rPr>
        <w:t xml:space="preserve"> </w:t>
      </w:r>
      <w:r w:rsidRPr="00DD77B3">
        <w:rPr>
          <w:i/>
          <w:sz w:val="24"/>
          <w:lang w:val="lv-LV"/>
        </w:rPr>
        <w:t>inadequate</w:t>
      </w:r>
      <w:r w:rsidRPr="00DD77B3">
        <w:rPr>
          <w:i/>
          <w:sz w:val="24"/>
          <w:lang w:val="lv-LV"/>
        </w:rPr>
        <w:t xml:space="preserve"> </w:t>
      </w:r>
      <w:r w:rsidRPr="00DD77B3">
        <w:rPr>
          <w:i/>
          <w:sz w:val="24"/>
          <w:lang w:val="lv-LV"/>
        </w:rPr>
        <w:t>for</w:t>
      </w:r>
      <w:r w:rsidRPr="00DD77B3">
        <w:rPr>
          <w:i/>
          <w:sz w:val="24"/>
          <w:lang w:val="lv-LV"/>
        </w:rPr>
        <w:t xml:space="preserve"> </w:t>
      </w:r>
      <w:r w:rsidRPr="00DD77B3">
        <w:rPr>
          <w:i/>
          <w:sz w:val="24"/>
          <w:lang w:val="lv-LV"/>
        </w:rPr>
        <w:t>the</w:t>
      </w:r>
      <w:r w:rsidRPr="00DD77B3">
        <w:rPr>
          <w:i/>
          <w:sz w:val="24"/>
          <w:lang w:val="lv-LV"/>
        </w:rPr>
        <w:t xml:space="preserve"> </w:t>
      </w:r>
      <w:r w:rsidRPr="00DD77B3">
        <w:rPr>
          <w:i/>
          <w:sz w:val="24"/>
          <w:lang w:val="lv-LV"/>
        </w:rPr>
        <w:t>punishment</w:t>
      </w:r>
      <w:r w:rsidRPr="00DD77B3">
        <w:rPr>
          <w:i/>
          <w:sz w:val="24"/>
          <w:lang w:val="lv-LV"/>
        </w:rPr>
        <w:t xml:space="preserve"> </w:t>
      </w:r>
      <w:r w:rsidRPr="00DD77B3">
        <w:rPr>
          <w:i/>
          <w:sz w:val="24"/>
          <w:lang w:val="lv-LV"/>
        </w:rPr>
        <w:t>of</w:t>
      </w:r>
      <w:r w:rsidRPr="00DD77B3">
        <w:rPr>
          <w:i/>
          <w:sz w:val="24"/>
          <w:lang w:val="lv-LV"/>
        </w:rPr>
        <w:t xml:space="preserve"> </w:t>
      </w:r>
      <w:r w:rsidRPr="00DD77B3">
        <w:rPr>
          <w:i/>
          <w:sz w:val="24"/>
          <w:lang w:val="lv-LV"/>
        </w:rPr>
        <w:t>all</w:t>
      </w:r>
      <w:r w:rsidRPr="00DD77B3">
        <w:rPr>
          <w:i/>
          <w:sz w:val="24"/>
          <w:lang w:val="lv-LV"/>
        </w:rPr>
        <w:t xml:space="preserve"> non-</w:t>
      </w:r>
      <w:r w:rsidRPr="00DD77B3">
        <w:rPr>
          <w:i/>
          <w:sz w:val="24"/>
          <w:lang w:val="lv-LV"/>
        </w:rPr>
        <w:t>consensual</w:t>
      </w:r>
      <w:r w:rsidRPr="00DD77B3">
        <w:rPr>
          <w:i/>
          <w:sz w:val="24"/>
          <w:lang w:val="lv-LV"/>
        </w:rPr>
        <w:t xml:space="preserve"> </w:t>
      </w:r>
      <w:r w:rsidRPr="00DD77B3">
        <w:rPr>
          <w:i/>
          <w:sz w:val="24"/>
          <w:lang w:val="lv-LV"/>
        </w:rPr>
        <w:t>sexual</w:t>
      </w:r>
      <w:r w:rsidRPr="00DD77B3">
        <w:rPr>
          <w:i/>
          <w:sz w:val="24"/>
          <w:lang w:val="lv-LV"/>
        </w:rPr>
        <w:t xml:space="preserve"> </w:t>
      </w:r>
      <w:r w:rsidRPr="00DD77B3">
        <w:rPr>
          <w:i/>
          <w:sz w:val="24"/>
          <w:lang w:val="lv-LV"/>
        </w:rPr>
        <w:t>acts</w:t>
      </w:r>
      <w:r w:rsidRPr="00DD77B3">
        <w:rPr>
          <w:i/>
          <w:sz w:val="24"/>
          <w:lang w:val="lv-LV"/>
        </w:rPr>
        <w:t xml:space="preserve">, </w:t>
      </w:r>
      <w:r w:rsidRPr="00DD77B3">
        <w:rPr>
          <w:i/>
          <w:sz w:val="24"/>
          <w:lang w:val="lv-LV"/>
        </w:rPr>
        <w:t>exposing</w:t>
      </w:r>
      <w:r w:rsidRPr="00DD77B3">
        <w:rPr>
          <w:i/>
          <w:sz w:val="24"/>
          <w:lang w:val="lv-LV"/>
        </w:rPr>
        <w:t xml:space="preserve"> </w:t>
      </w:r>
      <w:r w:rsidRPr="00DD77B3">
        <w:rPr>
          <w:i/>
          <w:sz w:val="24"/>
          <w:lang w:val="lv-LV"/>
        </w:rPr>
        <w:t>rape</w:t>
      </w:r>
      <w:r w:rsidRPr="00DD77B3">
        <w:rPr>
          <w:i/>
          <w:sz w:val="24"/>
          <w:lang w:val="lv-LV"/>
        </w:rPr>
        <w:t xml:space="preserve"> </w:t>
      </w:r>
      <w:r w:rsidRPr="00DD77B3">
        <w:rPr>
          <w:i/>
          <w:sz w:val="24"/>
          <w:lang w:val="lv-LV"/>
        </w:rPr>
        <w:t>victim</w:t>
      </w:r>
      <w:r w:rsidRPr="00DD77B3">
        <w:rPr>
          <w:i/>
          <w:sz w:val="24"/>
          <w:lang w:val="lv-LV"/>
        </w:rPr>
        <w:t xml:space="preserve"> to </w:t>
      </w:r>
      <w:r w:rsidRPr="00DD77B3">
        <w:rPr>
          <w:i/>
          <w:sz w:val="24"/>
          <w:lang w:val="lv-LV"/>
        </w:rPr>
        <w:t>secondary</w:t>
      </w:r>
      <w:r w:rsidRPr="00DD77B3">
        <w:rPr>
          <w:i/>
          <w:sz w:val="24"/>
          <w:lang w:val="lv-LV"/>
        </w:rPr>
        <w:t xml:space="preserve"> </w:t>
      </w:r>
      <w:r w:rsidRPr="00DD77B3">
        <w:rPr>
          <w:i/>
          <w:sz w:val="24"/>
          <w:lang w:val="lv-LV"/>
        </w:rPr>
        <w:t>victimisation</w:t>
      </w:r>
      <w:r w:rsidRPr="00DD77B3">
        <w:rPr>
          <w:sz w:val="24"/>
          <w:lang w:val="lv-LV"/>
        </w:rPr>
        <w:t>, ziņu raksts, Eiropas Padome, Strasbūra, Francija, 2025. gada 24. aprīlis.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D77B3" w14:paraId="434DB52B"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D77B3" w14:paraId="0CF5CCD0"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D77B3" w14:paraId="76EAC0F6"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48187076">
    <w:abstractNumId w:val="9"/>
  </w:num>
  <w:num w:numId="2" w16cid:durableId="1683510231">
    <w:abstractNumId w:val="9"/>
  </w:num>
  <w:num w:numId="3" w16cid:durableId="2019624417">
    <w:abstractNumId w:val="7"/>
  </w:num>
  <w:num w:numId="4" w16cid:durableId="1452627467">
    <w:abstractNumId w:val="7"/>
  </w:num>
  <w:num w:numId="5" w16cid:durableId="1079405736">
    <w:abstractNumId w:val="6"/>
  </w:num>
  <w:num w:numId="6" w16cid:durableId="1743526850">
    <w:abstractNumId w:val="6"/>
  </w:num>
  <w:num w:numId="7" w16cid:durableId="560214667">
    <w:abstractNumId w:val="5"/>
  </w:num>
  <w:num w:numId="8" w16cid:durableId="1818573606">
    <w:abstractNumId w:val="5"/>
  </w:num>
  <w:num w:numId="9" w16cid:durableId="579019675">
    <w:abstractNumId w:val="4"/>
  </w:num>
  <w:num w:numId="10" w16cid:durableId="1584798948">
    <w:abstractNumId w:val="4"/>
  </w:num>
  <w:num w:numId="11" w16cid:durableId="480728776">
    <w:abstractNumId w:val="8"/>
  </w:num>
  <w:num w:numId="12" w16cid:durableId="404913398">
    <w:abstractNumId w:val="8"/>
  </w:num>
  <w:num w:numId="13" w16cid:durableId="1436946338">
    <w:abstractNumId w:val="3"/>
  </w:num>
  <w:num w:numId="14" w16cid:durableId="785005523">
    <w:abstractNumId w:val="3"/>
  </w:num>
  <w:num w:numId="15" w16cid:durableId="1318341519">
    <w:abstractNumId w:val="2"/>
  </w:num>
  <w:num w:numId="16" w16cid:durableId="1752969949">
    <w:abstractNumId w:val="2"/>
  </w:num>
  <w:num w:numId="17" w16cid:durableId="31856070">
    <w:abstractNumId w:val="1"/>
  </w:num>
  <w:num w:numId="18" w16cid:durableId="1844540336">
    <w:abstractNumId w:val="1"/>
  </w:num>
  <w:num w:numId="19" w16cid:durableId="466359190">
    <w:abstractNumId w:val="0"/>
  </w:num>
  <w:num w:numId="20" w16cid:durableId="874200441">
    <w:abstractNumId w:val="0"/>
  </w:num>
  <w:num w:numId="21" w16cid:durableId="571623853">
    <w:abstractNumId w:val="9"/>
  </w:num>
  <w:num w:numId="22" w16cid:durableId="1732536230">
    <w:abstractNumId w:val="7"/>
  </w:num>
  <w:num w:numId="23" w16cid:durableId="2048214462">
    <w:abstractNumId w:val="6"/>
  </w:num>
  <w:num w:numId="24" w16cid:durableId="1990860697">
    <w:abstractNumId w:val="5"/>
  </w:num>
  <w:num w:numId="25" w16cid:durableId="278099820">
    <w:abstractNumId w:val="4"/>
  </w:num>
  <w:num w:numId="26" w16cid:durableId="309529066">
    <w:abstractNumId w:val="8"/>
  </w:num>
  <w:num w:numId="27" w16cid:durableId="882253767">
    <w:abstractNumId w:val="3"/>
  </w:num>
  <w:num w:numId="28" w16cid:durableId="2137989132">
    <w:abstractNumId w:val="2"/>
  </w:num>
  <w:num w:numId="29" w16cid:durableId="238560095">
    <w:abstractNumId w:val="1"/>
  </w:num>
  <w:num w:numId="30" w16cid:durableId="1422872013">
    <w:abstractNumId w:val="0"/>
  </w:num>
  <w:num w:numId="31" w16cid:durableId="1749108588">
    <w:abstractNumId w:val="9"/>
  </w:num>
  <w:num w:numId="32" w16cid:durableId="476992560">
    <w:abstractNumId w:val="7"/>
  </w:num>
  <w:num w:numId="33" w16cid:durableId="438329602">
    <w:abstractNumId w:val="6"/>
  </w:num>
  <w:num w:numId="34" w16cid:durableId="897672741">
    <w:abstractNumId w:val="5"/>
  </w:num>
  <w:num w:numId="35" w16cid:durableId="1170873593">
    <w:abstractNumId w:val="4"/>
  </w:num>
  <w:num w:numId="36" w16cid:durableId="1496606549">
    <w:abstractNumId w:val="8"/>
  </w:num>
  <w:num w:numId="37" w16cid:durableId="1226452212">
    <w:abstractNumId w:val="3"/>
  </w:num>
  <w:num w:numId="38" w16cid:durableId="57361883">
    <w:abstractNumId w:val="2"/>
  </w:num>
  <w:num w:numId="39" w16cid:durableId="1665468851">
    <w:abstractNumId w:val="1"/>
  </w:num>
  <w:num w:numId="40" w16cid:durableId="1963000443">
    <w:abstractNumId w:val="0"/>
  </w:num>
  <w:num w:numId="41" w16cid:durableId="279385962">
    <w:abstractNumId w:val="10"/>
  </w:num>
  <w:num w:numId="42" w16cid:durableId="713777050">
    <w:abstractNumId w:val="10"/>
  </w:num>
  <w:num w:numId="43" w16cid:durableId="1654027003">
    <w:abstractNumId w:val="10"/>
  </w:num>
  <w:num w:numId="44" w16cid:durableId="12134220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3E0E"/>
    <w:rsid w:val="00002272"/>
    <w:rsid w:val="00064002"/>
    <w:rsid w:val="000677B9"/>
    <w:rsid w:val="000831BA"/>
    <w:rsid w:val="000A42CC"/>
    <w:rsid w:val="000D4495"/>
    <w:rsid w:val="000E7DD9"/>
    <w:rsid w:val="0010095E"/>
    <w:rsid w:val="00125B37"/>
    <w:rsid w:val="00187494"/>
    <w:rsid w:val="001F32AE"/>
    <w:rsid w:val="00246093"/>
    <w:rsid w:val="002767FF"/>
    <w:rsid w:val="002B18FE"/>
    <w:rsid w:val="002B5493"/>
    <w:rsid w:val="00343214"/>
    <w:rsid w:val="00361C00"/>
    <w:rsid w:val="00362F8C"/>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1F3D"/>
    <w:rsid w:val="006037C0"/>
    <w:rsid w:val="006631B6"/>
    <w:rsid w:val="00673E0E"/>
    <w:rsid w:val="00680577"/>
    <w:rsid w:val="006F74FA"/>
    <w:rsid w:val="00731ADD"/>
    <w:rsid w:val="00734777"/>
    <w:rsid w:val="00747932"/>
    <w:rsid w:val="00751A4A"/>
    <w:rsid w:val="00756632"/>
    <w:rsid w:val="00762C74"/>
    <w:rsid w:val="00786EC0"/>
    <w:rsid w:val="007D1690"/>
    <w:rsid w:val="007E0B08"/>
    <w:rsid w:val="007E22AD"/>
    <w:rsid w:val="00817416"/>
    <w:rsid w:val="00842779"/>
    <w:rsid w:val="00865F67"/>
    <w:rsid w:val="00881A7B"/>
    <w:rsid w:val="008840E5"/>
    <w:rsid w:val="00887B3E"/>
    <w:rsid w:val="008C2AC6"/>
    <w:rsid w:val="008E2DCA"/>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14FF"/>
    <w:rsid w:val="00C23CD4"/>
    <w:rsid w:val="00C607A9"/>
    <w:rsid w:val="00C61C0C"/>
    <w:rsid w:val="00C941CB"/>
    <w:rsid w:val="00CC2357"/>
    <w:rsid w:val="00CF071A"/>
    <w:rsid w:val="00D058B8"/>
    <w:rsid w:val="00D56C11"/>
    <w:rsid w:val="00D834A0"/>
    <w:rsid w:val="00D872DF"/>
    <w:rsid w:val="00D91E21"/>
    <w:rsid w:val="00DA7FCD"/>
    <w:rsid w:val="00DC190A"/>
    <w:rsid w:val="00DC4163"/>
    <w:rsid w:val="00DD77B3"/>
    <w:rsid w:val="00E365E1"/>
    <w:rsid w:val="00E7698E"/>
    <w:rsid w:val="00E820A4"/>
    <w:rsid w:val="00EB006A"/>
    <w:rsid w:val="00EB4772"/>
    <w:rsid w:val="00ED169E"/>
    <w:rsid w:val="00ED4235"/>
    <w:rsid w:val="00F04346"/>
    <w:rsid w:val="00F075DC"/>
    <w:rsid w:val="00F149E9"/>
    <w:rsid w:val="00F5134D"/>
    <w:rsid w:val="00F62DB1"/>
    <w:rsid w:val="00F74202"/>
    <w:rsid w:val="00F87713"/>
    <w:rsid w:val="00FB4360"/>
    <w:rsid w:val="00FD0C70"/>
  </w:rsids>
  <w:docVars>
    <w:docVar w:name="dvdocse" w:val="A10-0047/2026"/>
    <w:docVar w:name="dvlangue" w:val="LV"/>
    <w:docVar w:name="dvnumam" w:val="0"/>
    <w:docVar w:name="dvpe" w:val="774.376"/>
    <w:docVar w:name="dvrapporteur" w:val="Referenti: "/>
    <w:docVar w:name="dvtitre" w:val="Eiropas Parlamenta 2026. gada XX. XXX  rezolūcija par ES nozīmīgiem tiesību aktiem, kas vērsti pret izvarošanu un pamatojas uz piekrišanas principu(2025/2040(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2A3AE90"/>
  <w15:chartTrackingRefBased/>
  <w15:docId w15:val="{DC92FB1C-447A-40C2-9A5C-DB1704509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601F3D"/>
    <w:pPr>
      <w:widowControl/>
      <w:spacing w:after="240"/>
      <w:ind w:left="566" w:hanging="566"/>
    </w:pPr>
    <w:rPr>
      <w:szCs w:val="24"/>
      <w:lang w:eastAsia="en-US"/>
    </w:rPr>
  </w:style>
  <w:style w:type="paragraph" w:customStyle="1" w:styleId="Normal12">
    <w:name w:val="Normal12"/>
    <w:basedOn w:val="Normal"/>
    <w:rsid w:val="00601F3D"/>
    <w:pPr>
      <w:widowControl/>
      <w:spacing w:after="240"/>
    </w:pPr>
    <w:rPr>
      <w:szCs w:val="24"/>
      <w:lang w:eastAsia="en-US"/>
    </w:rPr>
  </w:style>
  <w:style w:type="paragraph" w:customStyle="1" w:styleId="NormalHanging">
    <w:name w:val="NormalHanging"/>
    <w:basedOn w:val="Normal"/>
    <w:rsid w:val="00601F3D"/>
    <w:pPr>
      <w:widowControl/>
      <w:spacing w:after="240"/>
      <w:ind w:left="566" w:hanging="566"/>
    </w:pPr>
    <w:rPr>
      <w:szCs w:val="24"/>
      <w:lang w:eastAsia="en-US"/>
    </w:rPr>
  </w:style>
  <w:style w:type="paragraph" w:customStyle="1" w:styleId="NormalBold12a">
    <w:name w:val="NormalBold12a"/>
    <w:basedOn w:val="Normal"/>
    <w:rsid w:val="00601F3D"/>
    <w:pPr>
      <w:widowControl/>
      <w:spacing w:after="240"/>
    </w:pPr>
    <w:rPr>
      <w:b/>
      <w:szCs w:val="24"/>
      <w:lang w:eastAsia="en-US"/>
    </w:rPr>
  </w:style>
  <w:style w:type="character" w:styleId="Hyperlink">
    <w:name w:val="Hyperlink"/>
    <w:basedOn w:val="DefaultParagraphFont"/>
    <w:rsid w:val="00601F3D"/>
    <w:rPr>
      <w:color w:val="0000FF"/>
      <w:u w:val="single"/>
    </w:rPr>
  </w:style>
  <w:style w:type="paragraph" w:styleId="Revision">
    <w:name w:val="Revision"/>
    <w:hidden/>
    <w:uiPriority w:val="99"/>
    <w:semiHidden/>
    <w:rsid w:val="00DC190A"/>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ir/2024/1385/oj" TargetMode="External" /><Relationship Id="rId2" Type="http://schemas.openxmlformats.org/officeDocument/2006/relationships/hyperlink" Target="http://data.europa.eu/eli/dir/2012/29/oj" TargetMode="External" /><Relationship Id="rId3" Type="http://schemas.openxmlformats.org/officeDocument/2006/relationships/hyperlink" Target="http://data.europa.eu/eli/dir/2011/9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7258</Words>
  <Characters>49399</Characters>
  <Application>Microsoft Office Word</Application>
  <DocSecurity>0</DocSecurity>
  <Lines>411</Lines>
  <Paragraphs>113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2026-06-05T09:21:00Z</dcterms:created>
  <dcterms:modified xsi:type="dcterms:W3CDTF">2026-06-05T09:21:00Z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A10-0047/2026</vt:lpwstr>
  </property>
  <property fmtid="{D5CDD505-2E9C-101B-9397-08002B2CF9AE}" pid="4" name="&lt;Type&gt;">
    <vt:lpwstr>RR</vt:lpwstr>
  </property>
</Properties>
</file>