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D9D17D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4B81" w:rsidP="0010095E" w14:paraId="23566B0E" w14:textId="25A891DF">
            <w:pPr>
              <w:pStyle w:val="EPName"/>
            </w:pPr>
            <w:r w:rsidRPr="00AE4B81">
              <w:t>Európsky parlament</w:t>
            </w:r>
          </w:p>
          <w:p w:rsidR="00751A4A" w:rsidRPr="00AE4B81" w:rsidP="005F1B17" w14:paraId="4555C7B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4B81">
              <w:t>2024</w:t>
            </w:r>
            <w:r w:rsidRPr="00AE4B81" w:rsidR="00817416">
              <w:t>-202</w:t>
            </w:r>
            <w:r w:rsidRPr="00AE4B8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E4B81" w:rsidP="0010095E" w14:paraId="06DC545D" w14:textId="77777777">
            <w:pPr>
              <w:pStyle w:val="EPLogo"/>
            </w:pPr>
            <w:r w:rsidRPr="00AE4B8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4B81" w:rsidP="004C5D52" w14:paraId="1EA7E1A8" w14:textId="77777777">
      <w:pPr>
        <w:pStyle w:val="LineTop"/>
      </w:pPr>
    </w:p>
    <w:p w:rsidR="00680577" w:rsidRPr="00AE4B81" w:rsidP="00680577" w14:paraId="2988A201" w14:textId="08593976">
      <w:pPr>
        <w:pStyle w:val="EPBodyTA1"/>
      </w:pPr>
      <w:r w:rsidRPr="00AE4B81">
        <w:t>PRIJATÉ TEXTY</w:t>
      </w:r>
    </w:p>
    <w:p w:rsidR="00D058B8" w:rsidRPr="00AE4B81" w:rsidP="00D058B8" w14:paraId="79BBCE23" w14:textId="77777777">
      <w:pPr>
        <w:pStyle w:val="LineBottom"/>
      </w:pPr>
    </w:p>
    <w:p w:rsidR="00082745" w:rsidRPr="00AE4B81" w:rsidP="00082745" w14:paraId="1562DFE3" w14:textId="4A5321CA">
      <w:pPr>
        <w:pStyle w:val="ATHeading1"/>
      </w:pPr>
      <w:bookmarkStart w:id="0" w:name="TANumber"/>
      <w:r w:rsidRPr="00AE4B81">
        <w:t>P10_TA(2026)0</w:t>
      </w:r>
      <w:r w:rsidRPr="00AE4B81" w:rsidR="00E6550C">
        <w:t>120</w:t>
      </w:r>
      <w:bookmarkEnd w:id="0"/>
    </w:p>
    <w:p w:rsidR="00082745" w:rsidRPr="00AE4B81" w:rsidP="00082745" w14:paraId="0D14207B" w14:textId="77777777">
      <w:pPr>
        <w:pStyle w:val="ATHeading2"/>
      </w:pPr>
      <w:bookmarkStart w:id="1" w:name="title"/>
      <w:r w:rsidRPr="00AE4B81">
        <w:t>Význam právnych predpisov o trestnom čine znásilnenia založených na súhlase v EÚ</w:t>
      </w:r>
      <w:bookmarkEnd w:id="1"/>
    </w:p>
    <w:p w:rsidR="00082745" w:rsidRPr="00AE4B81" w:rsidP="00082745" w14:paraId="05401F44" w14:textId="77777777">
      <w:pPr>
        <w:rPr>
          <w:i/>
          <w:vanish/>
        </w:rPr>
      </w:pPr>
      <w:r>
        <w:rPr>
          <w:i/>
        </w:rPr>
        <w:fldChar w:fldCharType="begin"/>
      </w:r>
      <w:r w:rsidRPr="00AE4B81">
        <w:rPr>
          <w:i/>
        </w:rPr>
        <w:instrText xml:space="preserve"> TC"(</w:instrText>
      </w:r>
      <w:bookmarkStart w:id="2" w:name="DocNumber"/>
      <w:r w:rsidRPr="00AE4B81">
        <w:rPr>
          <w:i/>
        </w:rPr>
        <w:instrText>A10-0047/2026</w:instrText>
      </w:r>
      <w:bookmarkEnd w:id="2"/>
      <w:r w:rsidRPr="00AE4B81">
        <w:rPr>
          <w:i/>
        </w:rPr>
        <w:instrText xml:space="preserve"> - Spravodajcovia: Evin Incir, Joanna Scheuring-Wielgus)"\l3 \n&gt; \* MERGEFORMAT </w:instrText>
      </w:r>
      <w:r>
        <w:rPr>
          <w:i/>
        </w:rPr>
        <w:fldChar w:fldCharType="end"/>
      </w:r>
    </w:p>
    <w:p w:rsidR="00082745" w:rsidRPr="00AE4B81" w:rsidP="00082745" w14:paraId="2845F369" w14:textId="77777777">
      <w:pPr>
        <w:rPr>
          <w:vanish/>
        </w:rPr>
      </w:pPr>
      <w:bookmarkStart w:id="3" w:name="Commission"/>
      <w:r w:rsidRPr="00AE4B81">
        <w:rPr>
          <w:vanish/>
        </w:rPr>
        <w:t>Výbor pre občianske slobody, spravodlivosť a vnútorné veci, Výbor pre práva žien a rodovú rovnosť</w:t>
      </w:r>
      <w:bookmarkEnd w:id="3"/>
    </w:p>
    <w:p w:rsidR="00082745" w:rsidRPr="00AE4B81" w:rsidP="00082745" w14:paraId="5D8328C8" w14:textId="77777777">
      <w:pPr>
        <w:rPr>
          <w:vanish/>
        </w:rPr>
      </w:pPr>
      <w:bookmarkStart w:id="4" w:name="PE"/>
      <w:r w:rsidRPr="00AE4B81">
        <w:rPr>
          <w:vanish/>
        </w:rPr>
        <w:t>PE774.376</w:t>
      </w:r>
      <w:bookmarkEnd w:id="4"/>
    </w:p>
    <w:p w:rsidR="00082745" w:rsidRPr="00AE4B81" w:rsidP="00082745" w14:paraId="0A4DC0A8" w14:textId="77532D56">
      <w:pPr>
        <w:pStyle w:val="ATHeading3"/>
      </w:pPr>
      <w:bookmarkStart w:id="5" w:name="Sujet"/>
      <w:r w:rsidRPr="00AE4B81">
        <w:t>Uznesenie Európskeho parlamentu z</w:t>
      </w:r>
      <w:r w:rsidRPr="00AE4B81" w:rsidR="002917A4">
        <w:t> 2</w:t>
      </w:r>
      <w:r w:rsidRPr="00AE4B81" w:rsidR="00AB2216">
        <w:t>8</w:t>
      </w:r>
      <w:r w:rsidRPr="00AE4B81" w:rsidR="002917A4">
        <w:t>. apríla</w:t>
      </w:r>
      <w:r w:rsidRPr="00AE4B81">
        <w:t xml:space="preserve"> 2026 o význame právnych predpisov o trestnom čine znásilnenia založených na súhlase v EÚ</w:t>
      </w:r>
      <w:bookmarkEnd w:id="5"/>
      <w:r w:rsidRPr="00AE4B81">
        <w:t xml:space="preserve"> </w:t>
      </w:r>
      <w:bookmarkStart w:id="6" w:name="References"/>
      <w:r w:rsidRPr="00AE4B81">
        <w:t>(2025/2040(INI))</w:t>
      </w:r>
      <w:bookmarkEnd w:id="6"/>
    </w:p>
    <w:p w:rsidR="002E0C27" w:rsidRPr="00AE4B81" w:rsidP="00E6550C" w14:paraId="63B8F712" w14:textId="77777777">
      <w:pPr>
        <w:pStyle w:val="Normal12"/>
        <w:spacing w:before="600"/>
      </w:pPr>
      <w:r w:rsidRPr="00AE4B81">
        <w:rPr>
          <w:i/>
          <w:iCs/>
        </w:rPr>
        <w:t>Európsky parlament</w:t>
      </w:r>
      <w:r w:rsidRPr="00AE4B81">
        <w:t>,</w:t>
      </w:r>
    </w:p>
    <w:p w:rsidR="002E0C27" w:rsidRPr="00AE4B81" w:rsidP="002E0C27" w14:paraId="49EB6BB8" w14:textId="4C74030E">
      <w:pPr>
        <w:pStyle w:val="NormalHanging"/>
      </w:pPr>
      <w:r w:rsidRPr="00AE4B81">
        <w:t>–</w:t>
      </w:r>
      <w:r w:rsidRPr="00AE4B81">
        <w:tab/>
        <w:t>so zreteľom na článok 2 a článok 3 ods. 2 a 3 Zmluvy o Európskej únii, na články 8, 10 a 19 Zmluvy o fungovaní Európskej únie (</w:t>
      </w:r>
      <w:r w:rsidRPr="00AE4B81" w:rsidR="002917A4">
        <w:t>ďalej len „</w:t>
      </w:r>
      <w:r w:rsidRPr="00AE4B81">
        <w:t>ZFEÚ</w:t>
      </w:r>
      <w:r w:rsidRPr="00AE4B81" w:rsidR="002917A4">
        <w:t>“</w:t>
      </w:r>
      <w:r w:rsidRPr="00AE4B81">
        <w:t>) a na článok 83 ods. 1 a článok 82 ods. 2 ZFEÚ, ktoré sa týkajú vzájomného uznávania rozsudkov a policajnej a justičnej spolupráce,</w:t>
      </w:r>
    </w:p>
    <w:p w:rsidR="002E0C27" w:rsidRPr="00AE4B81" w:rsidP="002E0C27" w14:paraId="6790472F" w14:textId="77777777">
      <w:pPr>
        <w:pStyle w:val="NormalHanging"/>
      </w:pPr>
      <w:r w:rsidRPr="00AE4B81">
        <w:t>–</w:t>
      </w:r>
      <w:r w:rsidRPr="00AE4B81">
        <w:tab/>
        <w:t>so zreteľom na článok 83 ods. 1 ZFEÚ, ktorý Európskemu parlamentu a Rade umožňuje ustanoviť minimálne pravidlá týkajúce sa vymedzenia trestných činov a sankcií v oblastiach obzvlášť závažnej trestnej činnosti s cezhraničným rozmerom vrátane rodovo motivovaného násilia,</w:t>
      </w:r>
    </w:p>
    <w:p w:rsidR="002E0C27" w:rsidRPr="00AE4B81" w:rsidP="002E0C27" w14:paraId="2507D202" w14:textId="77777777">
      <w:pPr>
        <w:pStyle w:val="NormalHanging"/>
      </w:pPr>
      <w:r w:rsidRPr="00AE4B81">
        <w:t>–</w:t>
      </w:r>
      <w:r w:rsidRPr="00AE4B81">
        <w:tab/>
        <w:t>so zreteľom na Chartu základných práv Európskej únie, najmä na jej článok 21, ktorý zakazuje diskrimináciu, jej článok 45, v ktorom je stanovené právo na voľný pohyb, a jej článok 47, v ktorom je stanovené právo na spravodlivý proces,</w:t>
      </w:r>
    </w:p>
    <w:p w:rsidR="002E0C27" w:rsidRPr="00AE4B81" w:rsidP="002E0C27" w14:paraId="38105AD6" w14:textId="2CEBAE1D">
      <w:pPr>
        <w:pStyle w:val="NormalHanging"/>
      </w:pPr>
      <w:r w:rsidRPr="00AE4B81">
        <w:t>–</w:t>
      </w:r>
      <w:r w:rsidRPr="00AE4B81">
        <w:tab/>
        <w:t xml:space="preserve">so zreteľom na Dohovor Rady Európy o predchádzaní násiliu na ženách a domácemu násiliu a o boji proti nemu (Istanbulský dohovor), ktorý EÚ ratifikovala v roku 2023, najmä na jeho článok 36, v ktorom sa požaduje </w:t>
      </w:r>
      <w:r w:rsidRPr="00AE4B81">
        <w:t>kriminalizácia</w:t>
      </w:r>
      <w:r w:rsidRPr="00AE4B81">
        <w:t xml:space="preserve"> sexuálnych činov bez súhlasu, a na správy o monitorovaní krajín vypracované Skupinou expertov pre opatrenia na boj proti násiliu na ženách a domácemu násiliu,</w:t>
      </w:r>
    </w:p>
    <w:p w:rsidR="002E0C27" w:rsidRPr="00AE4B81" w:rsidP="002E0C27" w14:paraId="6679A1DA" w14:textId="77777777">
      <w:pPr>
        <w:pStyle w:val="NormalHanging"/>
      </w:pPr>
      <w:r w:rsidRPr="00AE4B81">
        <w:t>–</w:t>
      </w:r>
      <w:r w:rsidRPr="00AE4B81">
        <w:tab/>
        <w:t>so zreteľom na články 21 a 3 Charty základných práv Európskej únie a na článok 2 Zmluvy o Európskej únii, v ktorom sa rodová rovnosť stanovuje ako základná hodnota Únie, ktorá sa má začleniť do všetkých politík a programov,</w:t>
      </w:r>
    </w:p>
    <w:p w:rsidR="002E0C27" w:rsidRPr="00AE4B81" w:rsidP="002E0C27" w14:paraId="6343076D" w14:textId="68835BDC">
      <w:pPr>
        <w:pStyle w:val="NormalHanging"/>
      </w:pPr>
      <w:r w:rsidRPr="00AE4B81">
        <w:t>–</w:t>
      </w:r>
      <w:r w:rsidRPr="00AE4B81">
        <w:tab/>
        <w:t>so zreteľom na druhú všeobecnú správu o činnosti Skupiny expertov pre opatrenia na boj proti násiliu na ženách a domácemu násiliu uverejnenú v apríli 2021,</w:t>
      </w:r>
    </w:p>
    <w:p w:rsidR="002E0C27" w:rsidRPr="00AE4B81" w:rsidP="002E0C27" w14:paraId="1D80DBA2" w14:textId="4CFF4C9E">
      <w:pPr>
        <w:pStyle w:val="NormalHanging"/>
      </w:pPr>
      <w:r w:rsidRPr="00AE4B81">
        <w:t>–</w:t>
      </w:r>
      <w:r w:rsidRPr="00AE4B81">
        <w:tab/>
        <w:t xml:space="preserve">so zreteľom na odporúčanie Výboru ministrov Rady Európy z 30. apríla 2002 </w:t>
      </w:r>
      <w:r w:rsidRPr="00AE4B81">
        <w:t>Rec</w:t>
      </w:r>
      <w:r w:rsidRPr="00AE4B81">
        <w:t>(2002)5 o ochrane žien pred násilím, v ktorom sa členské štáty Rady Európy vyzývajú, aby trestali akýkoľvek sexuálny čin spáchaný na osobách, ktoré s tým nesúhlasia, a to aj v prípade, že neprejavujú známky odporu,</w:t>
      </w:r>
    </w:p>
    <w:p w:rsidR="002E0C27" w:rsidRPr="00AE4B81" w:rsidP="002E0C27" w14:paraId="73769311" w14:textId="77777777">
      <w:pPr>
        <w:pStyle w:val="NormalHanging"/>
      </w:pPr>
      <w:r w:rsidRPr="00AE4B81">
        <w:t>–</w:t>
      </w:r>
      <w:r w:rsidRPr="00AE4B81">
        <w:tab/>
        <w:t>so zreteľom na smernicu Európskeho parlamentu a Rady (EÚ) 2024/1385 zo 14. mája 2024 o boji proti násiliu na ženách a domácemu násiliu</w:t>
      </w:r>
      <w:r>
        <w:rPr>
          <w:rStyle w:val="FootnoteReference"/>
        </w:rPr>
        <w:footnoteReference w:customMarkFollows="1" w:id="2"/>
        <w:t xml:space="preserve">1</w:t>
      </w:r>
      <w:r w:rsidRPr="00AE4B81">
        <w:t>,</w:t>
      </w:r>
    </w:p>
    <w:p w:rsidR="002E0C27" w:rsidRPr="00AE4B81" w:rsidP="002E0C27" w14:paraId="26F4DC61" w14:textId="77777777">
      <w:pPr>
        <w:pStyle w:val="NormalHanging"/>
      </w:pPr>
      <w:r w:rsidRPr="00AE4B81">
        <w:t>–</w:t>
      </w:r>
      <w:r w:rsidRPr="00AE4B81">
        <w:tab/>
        <w:t>so zreteľom na smernicu Európskeho parlamentu a Rady 2012/29/EÚ z 25. októbra 2012, ktorou sa stanovujú minimálne normy v oblasti práv, podpory a ochrany obetí trestných činov a ktorou sa nahrádza rámcové rozhodnutie Rady 2001/220/SVV</w:t>
      </w:r>
      <w:r>
        <w:rPr>
          <w:rStyle w:val="FootnoteReference"/>
        </w:rPr>
        <w:footnoteReference w:customMarkFollows="1" w:id="3"/>
        <w:t xml:space="preserve">2</w:t>
      </w:r>
      <w:r w:rsidRPr="00AE4B81">
        <w:t xml:space="preserve"> (smernica o právach obetí), ktorá poskytuje rámec pre právne predpisy zamerané na obete, a to aj v prípadoch sexuálneho násilia,</w:t>
      </w:r>
    </w:p>
    <w:p w:rsidR="002E0C27" w:rsidRPr="00AE4B81" w:rsidP="002E0C27" w14:paraId="1AB7299E" w14:textId="220C2B75">
      <w:pPr>
        <w:pStyle w:val="NormalHanging"/>
      </w:pPr>
      <w:r w:rsidRPr="00AE4B81">
        <w:t>–</w:t>
      </w:r>
      <w:r w:rsidRPr="00AE4B81">
        <w:tab/>
        <w:t>so zreteľom na návrh Komisie zo 6. februára 2024 na smernicu Európskeho parlamentu a Rady o boji proti sexuálnemu zneužívaniu a sexuálnemu vykorisťovaniu detí a proti materiálu obsahujúcemu sexuálne zneužívanie detí, ktorou sa nahrádza rámcové rozhodnutie Rady 2004/68/SVV (COM(2024)0060), ktorý obsahuje vymedzenie pojmu čin bez súhlasu, a na pozíciu Európskeho parlamentu prijatú 17. júna 2025 k tomuto návrhu</w:t>
      </w:r>
      <w:r>
        <w:rPr>
          <w:rStyle w:val="FootnoteReference"/>
        </w:rPr>
        <w:footnoteReference w:customMarkFollows="1" w:id="4"/>
        <w:t xml:space="preserve">3</w:t>
      </w:r>
      <w:r w:rsidRPr="00AE4B81">
        <w:t>,</w:t>
      </w:r>
    </w:p>
    <w:p w:rsidR="002E0C27" w:rsidRPr="00AE4B81" w:rsidP="002E0C27" w14:paraId="7FC44499" w14:textId="421EE91E">
      <w:pPr>
        <w:pStyle w:val="NormalHanging"/>
      </w:pPr>
      <w:r w:rsidRPr="00AE4B81">
        <w:t>–</w:t>
      </w:r>
      <w:r w:rsidRPr="00AE4B81">
        <w:tab/>
        <w:t>so zreteľom na uznesenie Európskeho parlamentu zo 16. septembra 2021 s odporúčaniami pre Komisiu o identifikácii rodovo motivovaného násilia ako novej oblasti trestnej činnosti uvedenej v článku 83 ods. 1 ZFEÚ</w:t>
      </w:r>
      <w:r>
        <w:rPr>
          <w:rStyle w:val="FootnoteReference"/>
        </w:rPr>
        <w:footnoteReference w:customMarkFollows="1" w:id="5"/>
        <w:t xml:space="preserve">4</w:t>
      </w:r>
      <w:r w:rsidRPr="00AE4B81">
        <w:t>,</w:t>
      </w:r>
    </w:p>
    <w:p w:rsidR="002E0C27" w:rsidRPr="00AE4B81" w:rsidP="002E0C27" w14:paraId="2788963F" w14:textId="77777777">
      <w:pPr>
        <w:pStyle w:val="NormalHanging"/>
      </w:pPr>
      <w:r w:rsidRPr="00AE4B81">
        <w:t>–</w:t>
      </w:r>
      <w:r w:rsidRPr="00AE4B81">
        <w:tab/>
        <w:t>so zreteľom na stratégiu EÚ pre rodovú rovnosť na roky 2020 – 2025, v ktorej sa vyzýva na posilnenie ochrany pred rodovo motivovaným násilím a na komplexnú sexuálnu výchovu podporujúcu informovanosť o súhlase,</w:t>
      </w:r>
    </w:p>
    <w:p w:rsidR="002E0C27" w:rsidRPr="00AE4B81" w:rsidP="002E0C27" w14:paraId="3DF8C1AF" w14:textId="77777777">
      <w:pPr>
        <w:pStyle w:val="NormalHanging"/>
      </w:pPr>
      <w:r w:rsidRPr="00AE4B81">
        <w:t>–</w:t>
      </w:r>
      <w:r w:rsidRPr="00AE4B81">
        <w:tab/>
        <w:t>so zreteľom na svoje uznesenie z 15. februára 2023 o návrhu rozhodnutia Rady o uzavretí Dohovoru Rady Európy o predchádzaní násiliu na ženách a domácemu násiliu a o boji proti nemu v mene Európskej únie</w:t>
      </w:r>
      <w:r>
        <w:rPr>
          <w:rStyle w:val="FootnoteReference"/>
        </w:rPr>
        <w:footnoteReference w:customMarkFollows="1" w:id="6"/>
        <w:t xml:space="preserve">5</w:t>
      </w:r>
      <w:r w:rsidRPr="00AE4B81">
        <w:t>,</w:t>
      </w:r>
    </w:p>
    <w:p w:rsidR="002E0C27" w:rsidRPr="00AE4B81" w:rsidP="002E0C27" w14:paraId="0B2B2567" w14:textId="661BC7ED">
      <w:pPr>
        <w:pStyle w:val="NormalHanging"/>
      </w:pPr>
      <w:r w:rsidRPr="00AE4B81">
        <w:t>–</w:t>
      </w:r>
      <w:r w:rsidRPr="00AE4B81">
        <w:tab/>
        <w:t xml:space="preserve">so zreteľom na rozsudok Európskeho súdu pre ľudské práva zo 4. decembra 2003 vo veci </w:t>
      </w:r>
      <w:r w:rsidRPr="00AE4B81">
        <w:rPr>
          <w:iCs/>
        </w:rPr>
        <w:t>M.C./Bulharsko</w:t>
      </w:r>
      <w:r w:rsidRPr="00AE4B81">
        <w:t xml:space="preserve"> (žiadosť č. 39272/98), v ktorom sa stanovila pozitívna povinnosť štátov prijímať trestnoprávne opatrenia s cieľom účinne vyšetrovať a stíhať trestný čin znásilnenia, a objasnilo, že vyžadovanie dôkazu o fyzickom odpore predstavuje riziko, že niektoré druhy znásilnenia zostanú nepotrestané, dospelo k záveru, že podľa článkov 3 a 8 Európskeho dohovoru o ľudských právach (</w:t>
      </w:r>
      <w:r w:rsidRPr="00AE4B81" w:rsidR="002917A4">
        <w:t>ďalej len „</w:t>
      </w:r>
      <w:r w:rsidRPr="00AE4B81">
        <w:t>EDĽP</w:t>
      </w:r>
      <w:r w:rsidRPr="00AE4B81" w:rsidR="002917A4">
        <w:t>“</w:t>
      </w:r>
      <w:r w:rsidRPr="00AE4B81">
        <w:t>) sa vyžaduje trestanie a účinné stíhanie akéhokoľvek sexuálneho činu bez súhlasu, a to aj v prípade absencie fyzického odporu,</w:t>
      </w:r>
    </w:p>
    <w:p w:rsidR="002E0C27" w:rsidRPr="00AE4B81" w:rsidP="002E0C27" w14:paraId="11469732" w14:textId="77777777">
      <w:pPr>
        <w:pStyle w:val="NormalHanging"/>
      </w:pPr>
      <w:r w:rsidRPr="00AE4B81">
        <w:t>–</w:t>
      </w:r>
      <w:r w:rsidRPr="00AE4B81">
        <w:tab/>
        <w:t xml:space="preserve">so zreteľom na rozsudok Európskeho súdu pre ľudské práva z 27. mája 2021 vo veci </w:t>
      </w:r>
      <w:r w:rsidRPr="00AE4B81">
        <w:rPr>
          <w:iCs/>
        </w:rPr>
        <w:t>J.L./Taliansko</w:t>
      </w:r>
      <w:r w:rsidRPr="00AE4B81">
        <w:t xml:space="preserve"> (žiadosť č. 5671/16), v ktorom sa konštatovalo, že spoliehanie sa na stereotypy a obviňovanie obetí počas súdnych konaní o znásilnení predstavuje podľa článku 8 EDĽP porušenie práva na rešpektovanie súkromného života,</w:t>
      </w:r>
    </w:p>
    <w:p w:rsidR="002E0C27" w:rsidRPr="00AE4B81" w:rsidP="002E0C27" w14:paraId="5C23042C" w14:textId="77777777">
      <w:pPr>
        <w:pStyle w:val="NormalHanging"/>
      </w:pPr>
      <w:r w:rsidRPr="00AE4B81">
        <w:t>–</w:t>
      </w:r>
      <w:r w:rsidRPr="00AE4B81">
        <w:tab/>
        <w:t xml:space="preserve">so zreteľom na </w:t>
      </w:r>
      <w:r w:rsidRPr="00AE4B81">
        <w:t>jogjakartské</w:t>
      </w:r>
      <w:r w:rsidRPr="00AE4B81">
        <w:t xml:space="preserve"> princípy prijaté v novembri 2006 a </w:t>
      </w:r>
      <w:r w:rsidRPr="00AE4B81">
        <w:t>jogjakartské</w:t>
      </w:r>
      <w:r w:rsidRPr="00AE4B81">
        <w:t xml:space="preserve"> princípy plus 10 prijaté v novembri 2017,</w:t>
      </w:r>
    </w:p>
    <w:p w:rsidR="002E0C27" w:rsidRPr="00AE4B81" w:rsidP="002E0C27" w14:paraId="4663EFDD" w14:textId="69BC0CD5">
      <w:pPr>
        <w:pStyle w:val="NormalHanging"/>
      </w:pPr>
      <w:r w:rsidRPr="00AE4B81">
        <w:t>–</w:t>
      </w:r>
      <w:r w:rsidRPr="00AE4B81">
        <w:tab/>
        <w:t>so zreteľom na prieskumy a správy Agentúry Európskej únie pre základné práva (</w:t>
      </w:r>
      <w:r w:rsidRPr="00AE4B81" w:rsidR="002917A4">
        <w:t>ďalej len „</w:t>
      </w:r>
      <w:r w:rsidRPr="00AE4B81">
        <w:t>FRA</w:t>
      </w:r>
      <w:r w:rsidRPr="00AE4B81" w:rsidR="002917A4">
        <w:t>“</w:t>
      </w:r>
      <w:r w:rsidRPr="00AE4B81">
        <w:t>) a Európskeho inštitútu pre rodovú rovnosť (</w:t>
      </w:r>
      <w:r w:rsidRPr="00AE4B81" w:rsidR="002917A4">
        <w:t>ďalej len „</w:t>
      </w:r>
      <w:r w:rsidRPr="00AE4B81">
        <w:t>EIGE</w:t>
      </w:r>
      <w:r w:rsidRPr="00AE4B81" w:rsidR="002917A4">
        <w:t>“</w:t>
      </w:r>
      <w:r w:rsidRPr="00AE4B81">
        <w:t>), ako je prieskum z roku 2014 o násilí páchanom na ženách, a najmä prieskum z roku 2024 o rodovo motivovanom násilí v EÚ, podľa ktorého 17,2 % žien v členských štátoch EÚ zažilo sexuálne násilie</w:t>
      </w:r>
      <w:r>
        <w:rPr>
          <w:rStyle w:val="FootnoteReference"/>
        </w:rPr>
        <w:footnoteReference w:customMarkFollows="1" w:id="7"/>
        <w:t xml:space="preserve">6</w:t>
      </w:r>
      <w:r w:rsidRPr="00AE4B81">
        <w:t>, a na správu z roku 2024 o LGBTIQ+ osobách v Európe,</w:t>
      </w:r>
    </w:p>
    <w:p w:rsidR="002E0C27" w:rsidRPr="00AE4B81" w:rsidP="002E0C27" w14:paraId="02F5D000" w14:textId="36E200A9">
      <w:pPr>
        <w:pStyle w:val="NormalHanging"/>
      </w:pPr>
      <w:r w:rsidRPr="00AE4B81">
        <w:t>–</w:t>
      </w:r>
      <w:r w:rsidRPr="00AE4B81">
        <w:tab/>
        <w:t>so zreteľom na správu o základných právach 2025, ktorú uverejnila agentúra FRA 10.</w:t>
      </w:r>
      <w:r w:rsidRPr="00AE4B81" w:rsidR="002917A4">
        <w:t> </w:t>
      </w:r>
      <w:r w:rsidRPr="00AE4B81">
        <w:t>júna 2025, najmä na stanovisko agentúry FRA č. 2 o účinnej ochrane žien, ktoré sú obeťami násilia</w:t>
      </w:r>
      <w:r>
        <w:rPr>
          <w:rStyle w:val="FootnoteReference"/>
        </w:rPr>
        <w:footnoteReference w:customMarkFollows="1" w:id="8"/>
        <w:t xml:space="preserve">7</w:t>
      </w:r>
      <w:r w:rsidRPr="00AE4B81">
        <w:t>,</w:t>
      </w:r>
    </w:p>
    <w:p w:rsidR="002E0C27" w:rsidRPr="00AE4B81" w:rsidP="002E0C27" w14:paraId="2B3933E4" w14:textId="77777777">
      <w:pPr>
        <w:pStyle w:val="NormalHanging"/>
      </w:pPr>
      <w:r w:rsidRPr="00AE4B81">
        <w:t>–</w:t>
      </w:r>
      <w:r w:rsidRPr="00AE4B81">
        <w:tab/>
        <w:t>so zreteľom na Všeobecnú deklaráciu ľudských práv a na Medzinárodný pakt o občianskych a politických právach,</w:t>
      </w:r>
    </w:p>
    <w:p w:rsidR="002E0C27" w:rsidRPr="00AE4B81" w:rsidP="002E0C27" w14:paraId="4C888BE5" w14:textId="77777777">
      <w:pPr>
        <w:pStyle w:val="NormalHanging"/>
      </w:pPr>
      <w:r w:rsidRPr="00AE4B81">
        <w:t>–</w:t>
      </w:r>
      <w:r w:rsidRPr="00AE4B81">
        <w:tab/>
        <w:t xml:space="preserve">so zreteľom na deklaráciu OSN s názvom </w:t>
      </w:r>
      <w:r w:rsidRPr="00AE4B81">
        <w:t>Beijing</w:t>
      </w:r>
      <w:r w:rsidRPr="00AE4B81">
        <w:t xml:space="preserve"> </w:t>
      </w:r>
      <w:r w:rsidRPr="00AE4B81">
        <w:t>Declaration</w:t>
      </w:r>
      <w:r w:rsidRPr="00AE4B81">
        <w:t xml:space="preserve"> and </w:t>
      </w:r>
      <w:r w:rsidRPr="00AE4B81">
        <w:t>Platform</w:t>
      </w:r>
      <w:r w:rsidRPr="00AE4B81">
        <w:t xml:space="preserve"> </w:t>
      </w:r>
      <w:r w:rsidRPr="00AE4B81">
        <w:t>for</w:t>
      </w:r>
      <w:r w:rsidRPr="00AE4B81">
        <w:t xml:space="preserve"> </w:t>
      </w:r>
      <w:r w:rsidRPr="00AE4B81">
        <w:t>Action</w:t>
      </w:r>
      <w:r w:rsidRPr="00AE4B81">
        <w:t xml:space="preserve"> (Pekinská deklarácia a Pekinská akčná platforma) z 15. septembra 1995 a na ďalšie výsledky jej hodnotiacich konferencií,</w:t>
      </w:r>
    </w:p>
    <w:p w:rsidR="002E0C27" w:rsidRPr="00AE4B81" w:rsidP="002E0C27" w14:paraId="2D6BA769" w14:textId="77777777">
      <w:pPr>
        <w:pStyle w:val="NormalHanging"/>
      </w:pPr>
      <w:r w:rsidRPr="00AE4B81">
        <w:t>–</w:t>
      </w:r>
      <w:r w:rsidRPr="00AE4B81">
        <w:tab/>
        <w:t>so zreteľom na Dohovor OSN o odstránení všetkých foriem diskriminácie žien z roku 1979 a na všeobecné odporúčanie č. 35 (2017) Výboru OSN pre odstránenie diskriminácie žien z 26. júla 2017 o rodovo motivovanom násilí páchanom na ženách,</w:t>
      </w:r>
    </w:p>
    <w:p w:rsidR="002E0C27" w:rsidRPr="00AE4B81" w:rsidP="002E0C27" w14:paraId="16022B1B" w14:textId="77777777">
      <w:pPr>
        <w:pStyle w:val="NormalHanging"/>
      </w:pPr>
      <w:r w:rsidRPr="00AE4B81">
        <w:t>–</w:t>
      </w:r>
      <w:r w:rsidRPr="00AE4B81">
        <w:tab/>
        <w:t>so zreteľom na program OSN Agenda 2030 pre udržateľný rozvoj, zásadu „na nikoho nezabudnúť“, a najmä na ciele udržateľného rozvoja č. 3, 4, 5, 10 a 16,</w:t>
      </w:r>
    </w:p>
    <w:p w:rsidR="002E0C27" w:rsidRPr="00AE4B81" w:rsidP="002E0C27" w14:paraId="6C3C7AFB" w14:textId="77777777">
      <w:pPr>
        <w:pStyle w:val="NormalHanging"/>
      </w:pPr>
      <w:r w:rsidRPr="00AE4B81">
        <w:t>–</w:t>
      </w:r>
      <w:r w:rsidRPr="00AE4B81">
        <w:tab/>
        <w:t>so zreteľom na oznámenie č. 34/2011 Výboru OSN pre odstránenie diskriminácie žien z 21. februára 2014, v ktorom sa štáty naliehavo vyzývajú, aby zrevidovali svoje právne predpisy o znásilnení tak, že odstránia požiadavky týkajúce sa použitia sily alebo dôkazu o penetrácii a že zavedú absenciu súhlasu ako ústredný prvok trestného činu,</w:t>
      </w:r>
    </w:p>
    <w:p w:rsidR="002E0C27" w:rsidRPr="00AE4B81" w:rsidP="002E0C27" w14:paraId="6746D6A8" w14:textId="77777777">
      <w:pPr>
        <w:pStyle w:val="NormalHanging"/>
      </w:pPr>
      <w:r w:rsidRPr="00AE4B81">
        <w:t>–</w:t>
      </w:r>
      <w:r w:rsidRPr="00AE4B81">
        <w:tab/>
        <w:t>so zreteľom na Rímsky štatút Medzinárodného trestného súdu, najmä na jeho článok 7 ods. 1 písm. g), v ktorom sa znásilnenie a iné formy sexuálneho násilia označujú za zločiny proti ľudskosti, ak boli spáchané ako súčasť rozsiahleho alebo systematického útoku namiereného proti akémukoľvek civilnému obyvateľstvu,</w:t>
      </w:r>
    </w:p>
    <w:p w:rsidR="002E0C27" w:rsidRPr="00AE4B81" w:rsidP="002E0C27" w14:paraId="23A5E564" w14:textId="77777777">
      <w:pPr>
        <w:pStyle w:val="NormalHanging"/>
      </w:pPr>
      <w:r w:rsidRPr="00AE4B81">
        <w:t>–</w:t>
      </w:r>
      <w:r w:rsidRPr="00AE4B81">
        <w:tab/>
        <w:t xml:space="preserve">so zreteľom na správu osobitnej spravodajkyne pre násilie páchané na ženách, jeho príčiny a dôsledky z 19. apríla 2021 s názvom Rape as a </w:t>
      </w:r>
      <w:r w:rsidRPr="00AE4B81">
        <w:t>grave</w:t>
      </w:r>
      <w:r w:rsidRPr="00AE4B81">
        <w:t xml:space="preserve">, </w:t>
      </w:r>
      <w:r w:rsidRPr="00AE4B81">
        <w:t>systematic</w:t>
      </w:r>
      <w:r w:rsidRPr="00AE4B81">
        <w:t xml:space="preserve"> and </w:t>
      </w:r>
      <w:r w:rsidRPr="00AE4B81">
        <w:t>widered</w:t>
      </w:r>
      <w:r w:rsidRPr="00AE4B81">
        <w:t xml:space="preserve"> </w:t>
      </w:r>
      <w:r w:rsidRPr="00AE4B81">
        <w:t>human</w:t>
      </w:r>
      <w:r w:rsidRPr="00AE4B81">
        <w:t xml:space="preserve"> </w:t>
      </w:r>
      <w:r w:rsidRPr="00AE4B81">
        <w:t>rights</w:t>
      </w:r>
      <w:r w:rsidRPr="00AE4B81">
        <w:t xml:space="preserve"> </w:t>
      </w:r>
      <w:r w:rsidRPr="00AE4B81">
        <w:t>violation</w:t>
      </w:r>
      <w:r w:rsidRPr="00AE4B81">
        <w:t xml:space="preserve">, a </w:t>
      </w:r>
      <w:r w:rsidRPr="00AE4B81">
        <w:t>crime</w:t>
      </w:r>
      <w:r w:rsidRPr="00AE4B81">
        <w:t xml:space="preserve"> and a </w:t>
      </w:r>
      <w:r w:rsidRPr="00AE4B81">
        <w:t>manifestation</w:t>
      </w:r>
      <w:r w:rsidRPr="00AE4B81">
        <w:t xml:space="preserve"> of </w:t>
      </w:r>
      <w:r w:rsidRPr="00AE4B81">
        <w:t>gender-based</w:t>
      </w:r>
      <w:r w:rsidRPr="00AE4B81">
        <w:t xml:space="preserve"> </w:t>
      </w:r>
      <w:r w:rsidRPr="00AE4B81">
        <w:t>violence</w:t>
      </w:r>
      <w:r w:rsidRPr="00AE4B81">
        <w:t xml:space="preserve"> </w:t>
      </w:r>
      <w:r w:rsidRPr="00AE4B81">
        <w:t>against</w:t>
      </w:r>
      <w:r w:rsidRPr="00AE4B81">
        <w:t xml:space="preserve"> </w:t>
      </w:r>
      <w:r w:rsidRPr="00AE4B81">
        <w:t>women</w:t>
      </w:r>
      <w:r w:rsidRPr="00AE4B81">
        <w:t xml:space="preserve"> and </w:t>
      </w:r>
      <w:r w:rsidRPr="00AE4B81">
        <w:t>girls</w:t>
      </w:r>
      <w:r w:rsidRPr="00AE4B81">
        <w:t xml:space="preserve">, and </w:t>
      </w:r>
      <w:r w:rsidRPr="00AE4B81">
        <w:t>its</w:t>
      </w:r>
      <w:r w:rsidRPr="00AE4B81">
        <w:t xml:space="preserve"> </w:t>
      </w:r>
      <w:r w:rsidRPr="00AE4B81">
        <w:t>prevention</w:t>
      </w:r>
      <w:r w:rsidRPr="00AE4B81">
        <w:t xml:space="preserve"> (Znásilnenie ako závažné, systematické a rozsiahle porušovanie ľudských práv, trestný čin a prejav rodovo motivovaného násilia páchaného na ženách a dievčatách a jeho prevencia), ktorá bola predložená na 47. zasadnutí Rady OSN pre ľudské práva, ako aj na sprievodný rámec pre právne predpisy o znásilnení,</w:t>
      </w:r>
    </w:p>
    <w:p w:rsidR="002E0C27" w:rsidRPr="00AE4B81" w:rsidP="002E0C27" w14:paraId="2E5DF88F" w14:textId="77777777">
      <w:pPr>
        <w:pStyle w:val="NormalHanging"/>
      </w:pPr>
      <w:r w:rsidRPr="00AE4B81">
        <w:t>–</w:t>
      </w:r>
      <w:r w:rsidRPr="00AE4B81">
        <w:tab/>
        <w:t>zo zreteľom na článok 55 rokovacieho poriadku,</w:t>
      </w:r>
    </w:p>
    <w:p w:rsidR="002E0C27" w:rsidRPr="00AE4B81" w:rsidP="002E0C27" w14:paraId="66154782" w14:textId="77777777">
      <w:pPr>
        <w:pStyle w:val="NormalHanging"/>
      </w:pPr>
      <w:r w:rsidRPr="00AE4B81">
        <w:t>–</w:t>
      </w:r>
      <w:r w:rsidRPr="00AE4B81">
        <w:tab/>
        <w:t>so zreteľom na spoločné schôdze Výboru pre občianske slobody, spravodlivosť a vnútorné veci a Výboru pre práva žien a rodovú rovnosť podľa článku 59 rokovacieho poriadku,</w:t>
      </w:r>
    </w:p>
    <w:p w:rsidR="002E0C27" w:rsidRPr="00AE4B81" w:rsidP="002E0C27" w14:paraId="596543F4" w14:textId="77777777">
      <w:pPr>
        <w:pStyle w:val="NormalHanging"/>
      </w:pPr>
      <w:r w:rsidRPr="00AE4B81">
        <w:t>–</w:t>
      </w:r>
      <w:r w:rsidRPr="00AE4B81">
        <w:tab/>
        <w:t>so zreteľom na správu Výboru pre občianske slobody, spravodlivosť a vnútorné veci a Výboru pre práva žien a rodovú rovnosť (A10-0047/2026),</w:t>
      </w:r>
    </w:p>
    <w:p w:rsidR="002E0C27" w:rsidRPr="00AE4B81" w:rsidP="002E0C27" w14:paraId="1CECDFE7" w14:textId="77777777">
      <w:pPr>
        <w:pStyle w:val="NormalHanging"/>
      </w:pPr>
      <w:r w:rsidRPr="00AE4B81">
        <w:t>A.</w:t>
      </w:r>
      <w:r w:rsidRPr="00AE4B81">
        <w:tab/>
        <w:t xml:space="preserve">keďže činy sexuálneho násilia sú podľa medzinárodného práva v oblasti ľudských práv kriminalizované v čase vojny i v čase mieru; keďže v kontexte medzinárodného humanitárneho práva aj medzinárodného trestného práva sa znásilnenie označuje za potenciálny vojnový zločin, zločin proti ľudskosti alebo čin </w:t>
      </w:r>
      <w:r w:rsidRPr="00AE4B81">
        <w:t>prispievajúci</w:t>
      </w:r>
      <w:r w:rsidRPr="00AE4B81">
        <w:t xml:space="preserve"> ku genocíde, ak sú prítomné ďalšie požadované prvky týchto trestných činov; keďže táto klasifikácia je uvedená v Rímskom štatúte Medzinárodného trestného súdu (článok 8) a v Ženevských dohovoroch z roku 1949 a ich dodatkových protokoloch; keďže právny výklad znásilnenia ako vojnového zločinu podľa Medzinárodného trestného súdu zahŕňa absenciu súhlasu ako kľúčový prvok;</w:t>
      </w:r>
    </w:p>
    <w:p w:rsidR="002E0C27" w:rsidRPr="00AE4B81" w:rsidP="002E0C27" w14:paraId="465668D9" w14:textId="77777777">
      <w:pPr>
        <w:pStyle w:val="NormalHanging"/>
      </w:pPr>
      <w:r w:rsidRPr="00AE4B81">
        <w:t>B.</w:t>
      </w:r>
      <w:r w:rsidRPr="00AE4B81">
        <w:tab/>
        <w:t>keďže podľa Európskeho súdu pre ľudské práva definície založené na použití sily ako hlavného prvku skutkovej podstaty trestného činu neposkytujú obetiam sexuálneho násilia dostatočnú ochranu a ohrozujú účinnú ochranu sexuálnej autonómie jednotlivca;</w:t>
      </w:r>
    </w:p>
    <w:p w:rsidR="002E0C27" w:rsidRPr="00AE4B81" w:rsidP="002E0C27" w14:paraId="7C01350E" w14:textId="77777777">
      <w:pPr>
        <w:pStyle w:val="NormalHanging"/>
      </w:pPr>
      <w:r w:rsidRPr="00AE4B81">
        <w:t>C.</w:t>
      </w:r>
      <w:r w:rsidRPr="00AE4B81">
        <w:tab/>
        <w:t>keďže znásilnenie predstavuje porušenie celého radu ľudských práv vrátane práva na telesnú integritu, práva na autonómiu a sexuálnu autonómiu, práva na súkromie, práva na najvyššiu dosiahnuteľnú úroveň fyzického a duševného zdravia, práva žien na rovnosť pred zákonom a práva žiť bez násilia, diskriminácie, mučenia a iného krutého alebo neľudského zaobchádzania; keďže znásilnenie obetiam takisto bráni v plnom požívaní celého radu ďalších ľudských práv, ako je napríklad právo na život, dôstojnosť, telesnú a duševnú integritu, slobodu a osobnú bezpečnosť, právo na rovnosť v rodine a pred zákonom bez ohľadu na pohlavie a rodovú identitu a právo na ochranu pred diskrimináciou, mučením a iným krutým zaobchádzaním a ďalšie;</w:t>
      </w:r>
    </w:p>
    <w:p w:rsidR="002E0C27" w:rsidRPr="00AE4B81" w:rsidP="002E0C27" w14:paraId="555D4D53" w14:textId="77777777">
      <w:pPr>
        <w:pStyle w:val="NormalHanging"/>
      </w:pPr>
      <w:r w:rsidRPr="00AE4B81">
        <w:t>D.</w:t>
      </w:r>
      <w:r w:rsidRPr="00AE4B81">
        <w:tab/>
        <w:t xml:space="preserve">keďže rodovo motivované násilie zostáva jedným z najrozšírenejších a najmenej nahlasovaných porušení ľudských práv v Európe a vyžaduje si európsku reakciu; keďže súčasný medzinárodný právny rámec v oblasti ľudských práv uznáva znásilnenie ako porušenie ľudských práv a zároveň ako formu rodovo motivovaného násilia, ktoré postihuje prevažne ženy a dievčatá; keďže znásilnenie je jednou z </w:t>
      </w:r>
      <w:r w:rsidRPr="00AE4B81">
        <w:t>narozšírenejších</w:t>
      </w:r>
      <w:r w:rsidRPr="00AE4B81">
        <w:t xml:space="preserve"> a najbrutálnejších foriem rodovo motivovaného násilia, ktoré porušuje telesnú, psychickú a sexuálnu integritu a telesnú autonómiu osoby a má pre osoby, ktoré ho prežili, vážne a trvalé následky;</w:t>
      </w:r>
    </w:p>
    <w:p w:rsidR="002E0C27" w:rsidRPr="00AE4B81" w:rsidP="002E0C27" w14:paraId="776C5113" w14:textId="77777777">
      <w:pPr>
        <w:pStyle w:val="NormalHanging"/>
      </w:pPr>
      <w:r w:rsidRPr="00AE4B81">
        <w:t>E.</w:t>
      </w:r>
      <w:r w:rsidRPr="00AE4B81">
        <w:tab/>
        <w:t>keďže rodovo motivované násilie vážne obmedzuje účasť žien a dievčat na verejnom živote a ich prístup k spravodlivosti, vzdelaniu a ekonomickej nezávislosti, a preto predstavuje štrukturálnu prekážku pri dosahovaní skutočnej rodovej rovnosti; keďže obete znásilnenia znášajú vážne a dlhodobé následky vrátane sociálnych a ekonomických dôsledkov, ako je strata zamestnania, finančná závislosť, nestabilita bývania a znížená účasť na vzdelávaní alebo na pracovisku, ktoré znásobujú účinky násilia a upevňujú rodovú nerovnosť;</w:t>
      </w:r>
    </w:p>
    <w:p w:rsidR="002E0C27" w:rsidRPr="00AE4B81" w:rsidP="002E0C27" w14:paraId="116F43A3" w14:textId="77777777">
      <w:pPr>
        <w:pStyle w:val="NormalHanging"/>
      </w:pPr>
      <w:r w:rsidRPr="00AE4B81">
        <w:t>F.</w:t>
      </w:r>
      <w:r w:rsidRPr="00AE4B81">
        <w:tab/>
        <w:t xml:space="preserve">keďže podľa agentúry FRA a inštitútu EIGE 17,2 % žien v EÚ zažilo sexuálne násilie vrátane znásilnenia a iných neželaných sexuálnych činov a každá dvadsiata žena vo </w:t>
      </w:r>
      <w:r w:rsidRPr="00AE4B81">
        <w:t>veku od 15 rokov bola znásilnená s použitím sily</w:t>
      </w:r>
      <w:r>
        <w:rPr>
          <w:rStyle w:val="FootnoteReference"/>
        </w:rPr>
        <w:footnoteReference w:customMarkFollows="1" w:id="9"/>
        <w:t xml:space="preserve">8</w:t>
      </w:r>
      <w:r w:rsidRPr="00AE4B81">
        <w:t xml:space="preserve">; keďže podľa agentúry FRA v posledných rokoch vzrástlo násilie voči LGBTIQ+ osobám, pričom </w:t>
      </w:r>
      <w:r w:rsidRPr="00AE4B81">
        <w:t>transrodové</w:t>
      </w:r>
      <w:r w:rsidRPr="00AE4B81">
        <w:t xml:space="preserve"> ženy sú neúmerne viac vystavené fyzickému a sexuálnemu násiliu; keďže LGBTIQ+ osoby sa stávajú obeťami sexuálnym násilím aj z dôvodu svojho pohlavia, rodovej identity, rodového vyjadrenia a pohlavných znakov; keďže ročné náklady súvisiace s rodovo motivovaným násilím v EÚ sa odhadujú na 366 miliárd EUR;</w:t>
      </w:r>
    </w:p>
    <w:p w:rsidR="002E0C27" w:rsidRPr="00AE4B81" w:rsidP="002E0C27" w14:paraId="74826FE5" w14:textId="77777777">
      <w:pPr>
        <w:pStyle w:val="NormalHanging"/>
      </w:pPr>
      <w:r w:rsidRPr="00AE4B81">
        <w:t>G.</w:t>
      </w:r>
      <w:r w:rsidRPr="00AE4B81">
        <w:tab/>
        <w:t xml:space="preserve">keďže cezhraničný rozmer trestného činu znásilnenia vyplýva si osobitne vyžaduje, aby sa proti znásilneniu v EÚ bojovalo spoločne s cieľom zabezpečiť jednotnú ochranu a rovnaký prístup k spravodlivosti pre obete vo všetkých členských štátoch, a to so zreteľom na viaceré kľúčové prvky: potreba zaistiť minimálnu úroveň ochrany všetkých žien vo všetkých členských štátoch, potreba zabezpečiť minimálnu úroveň ochrany pri uplatňovaní slobody pohybu žien v celej Únii, keďže chýbajúce jednotné vymedzenie znásilnenia oslabuje právnu istotu obetí, zhoršuje ich prístup k spravodlivosti a môže tak brániť voľnému pohybu, a potreba a povinnosť zosúladiť právo EÚ s medzinárodnými normami, ako je Istanbulský dohovor, ktorý vyžaduje </w:t>
      </w:r>
      <w:r w:rsidRPr="00AE4B81">
        <w:t>kriminalizáciu</w:t>
      </w:r>
      <w:r w:rsidRPr="00AE4B81">
        <w:t xml:space="preserve"> znásilnenia na základe absencie súhlasu;</w:t>
      </w:r>
    </w:p>
    <w:p w:rsidR="002E0C27" w:rsidRPr="00AE4B81" w:rsidP="002E0C27" w14:paraId="4B0BA06C" w14:textId="77777777">
      <w:pPr>
        <w:pStyle w:val="NormalHanging"/>
      </w:pPr>
      <w:r w:rsidRPr="00AE4B81">
        <w:t>H.</w:t>
      </w:r>
      <w:r w:rsidRPr="00AE4B81">
        <w:tab/>
        <w:t xml:space="preserve">keďže súčasné právne prostredie v EÚ je naďalej roztrieštené a existujú v ňom rôzne súdne výklady a rozdielne vymedzenia znásilnenia, ktoré nie vždy odrážajú medzinárodné </w:t>
      </w:r>
      <w:r w:rsidRPr="00AE4B81">
        <w:t>ľudskoprávne</w:t>
      </w:r>
      <w:r w:rsidRPr="00AE4B81">
        <w:t xml:space="preserve"> normy alebo požiadavky Istanbulského dohovoru týkajúce sa súhlasu; keďže nedostatočne harmonizované právne vymedzenia pojmov naprieč členskými štátmi oslabujú práva obetí, sťažujú cezhraničnú spoluprácu a prispievajú k beztrestnosti páchateľov a nedostatočnej informovanosti o tom, čo predstavuje akt sexuálneho násilia; keďže viaceré členské štáty stále vymedzujú znásilnenie na základe použitia sily alebo hrozby, čím vylučujú mnohé obete z právnej ochrany; keďže to podčiarkuje, aké naliehavo potrebné je </w:t>
      </w:r>
      <w:r w:rsidRPr="00AE4B81">
        <w:t>celoúnijné</w:t>
      </w:r>
      <w:r w:rsidRPr="00AE4B81">
        <w:t xml:space="preserve"> vymedzenie znásilnenia na základe súhlasu; keďže zavedenie spoločného právneho vymedzenia pojmu znásilnenie, ktorého základom je absencia súhlasu, by uľahčilo lepšiu policajnú a justičnú spoluprácu, ako aj zber a porovnateľnosť údajov o znásilnení v EÚ;</w:t>
      </w:r>
    </w:p>
    <w:p w:rsidR="002E0C27" w:rsidRPr="00AE4B81" w:rsidP="002E0C27" w14:paraId="18162F5F" w14:textId="77777777">
      <w:pPr>
        <w:pStyle w:val="NormalHanging"/>
      </w:pPr>
      <w:r w:rsidRPr="00AE4B81">
        <w:t>I.</w:t>
      </w:r>
      <w:r w:rsidRPr="00AE4B81">
        <w:tab/>
        <w:t>keďže všetky členské štáty podpísali Istanbulský dohovor, ale päť ho ešte neratifikovalo</w:t>
      </w:r>
      <w:r>
        <w:rPr>
          <w:rStyle w:val="FootnoteReference"/>
        </w:rPr>
        <w:footnoteReference w:customMarkFollows="1" w:id="10"/>
        <w:t xml:space="preserve">9</w:t>
      </w:r>
      <w:r w:rsidRPr="00AE4B81">
        <w:t>; keďže len dva z týchto štátov nedávno zreformovali svoje právne predpisy tak, aby bol súhlas ústredným prvkom pri vymedzovaní trestného činu znásilnenia</w:t>
      </w:r>
      <w:r>
        <w:rPr>
          <w:rStyle w:val="FootnoteReference"/>
        </w:rPr>
        <w:footnoteReference w:customMarkFollows="1" w:id="11"/>
        <w:t xml:space="preserve">10</w:t>
      </w:r>
      <w:r w:rsidRPr="00AE4B81">
        <w:t>; keďže od nadobudnutia platnosti Istanbulského dohovoru 16 členských štátov zmenilo svoje právne predpisy tak, aby zahŕňali alebo jasnejšie vyjadrovali pojem súhlasu ako znak skutkovej podstaty trestného činu znásilnenia; keďže EÚ pristúpila k Istanbulskému dohovoru v roku 2023, pokiaľ ide o oblasti, ktoré patria do jej výlučných právomocí; keďže ustanovenie Istanbulského dohovoru o vymedzení znásilnenia na základe súhlasu bolo zlomovým bodom v právnej reforme, keďže došlo k posunu od tradičného prístupu, podľa ktorého vymedzenie znásilnenia predpokladá násilie; keďže agentúra FRA v svojej správe z roku 2025 uvádza, že členské štáty, ktoré ratifikovali Istanbulský dohovor, by mali sexuálne násilie kriminalizovať pomocou definícií znásilnenia a iných foriem sexuálneho násilia, ktoré sú založené na súhlase;</w:t>
      </w:r>
    </w:p>
    <w:p w:rsidR="002E0C27" w:rsidRPr="00AE4B81" w:rsidP="002E0C27" w14:paraId="262404B6" w14:textId="77777777">
      <w:pPr>
        <w:pStyle w:val="NormalHanging"/>
      </w:pPr>
      <w:r w:rsidRPr="00AE4B81">
        <w:t>J.</w:t>
      </w:r>
      <w:r w:rsidRPr="00AE4B81">
        <w:tab/>
        <w:t xml:space="preserve">keďže Európsky súd pre ľudské práva zohrával kľúčovú úlohu pri koncipovaní moderného chápania znásilnenia podľa práva v oblasti ľudských práv, najmä prostredníctvom svojho prelomového rozsudku z roku 2003 vo veci </w:t>
      </w:r>
      <w:r w:rsidRPr="00AE4B81">
        <w:rPr>
          <w:iCs/>
        </w:rPr>
        <w:t>MC/Bulharsko</w:t>
      </w:r>
      <w:r w:rsidRPr="00AE4B81">
        <w:t xml:space="preserve">, v ktorom stanovil pozitívnu povinnosť štátov prijať trestnoprávne ustanovenia v záujme účinného vyšetrovania a trestania znásilnenia, dospel k záveru, že pri požiadavke dokazovania fyzického odporu obete hrozí, že určité druhy znásilnenia zostanú nepotrestané a že nechráni sexuálnu autonómiu, ako sa vyžaduje podľa článkov 3 a 8 EDĽP, a rozhodol, že tieto články vyžadujú potrestanie a účinné stíhanie akéhokoľvek sexuálneho činu bez súhlasu, a to aj pri absencii fyzického odporu; keďže v následných rozsudkoch Európskeho súdu pre ľudské práva, napríklad vo veci </w:t>
      </w:r>
      <w:r w:rsidRPr="00AE4B81">
        <w:rPr>
          <w:iCs/>
        </w:rPr>
        <w:t>J.L./Taliansko</w:t>
      </w:r>
      <w:r w:rsidRPr="00AE4B81">
        <w:t xml:space="preserve"> (2021) a </w:t>
      </w:r>
      <w:r w:rsidRPr="00AE4B81">
        <w:rPr>
          <w:iCs/>
        </w:rPr>
        <w:t>X./Cyprus</w:t>
      </w:r>
      <w:r w:rsidRPr="00AE4B81">
        <w:t xml:space="preserve"> (2025</w:t>
      </w:r>
      <w:r>
        <w:rPr>
          <w:rStyle w:val="FootnoteReference"/>
        </w:rPr>
        <w:footnoteReference w:customMarkFollows="1" w:id="12"/>
        <w:t xml:space="preserve">11</w:t>
      </w:r>
      <w:r w:rsidRPr="00AE4B81">
        <w:t xml:space="preserve">), sa odsúdilo používanie argumentov a stereotypov obviňujúcich obete v súdnych konaniach, pričom sa konštatovalo, že takéto praktiky predstavujú porušenie práva na rešpektovanie súkromného života v zmysle článku 8 EDĽP, upevňujú predsudky a bránia prístupu osôb, ktoré prežili sexuálne násilie, k spravodlivosti; keďže Európsky súd pre ľudské práva vo svojom rozsudku vo veci </w:t>
      </w:r>
      <w:r w:rsidRPr="00AE4B81">
        <w:rPr>
          <w:iCs/>
        </w:rPr>
        <w:t>H.W./Francúzsko</w:t>
      </w:r>
      <w:r>
        <w:rPr>
          <w:rStyle w:val="FootnoteReference"/>
        </w:rPr>
        <w:footnoteReference w:customMarkFollows="1" w:id="13"/>
        <w:t xml:space="preserve">12</w:t>
      </w:r>
      <w:r w:rsidRPr="00AE4B81">
        <w:t xml:space="preserve"> (2025) stanovil, že akýkoľvek sexuálny čin bez súhlasu predstavuje formu sexuálneho násilia; keďže Európsky súd pre ľudské práva vo svojom rozsudku vo veci </w:t>
      </w:r>
      <w:r w:rsidRPr="00AE4B81">
        <w:rPr>
          <w:iCs/>
        </w:rPr>
        <w:t>L. a iní/Francúzsko</w:t>
      </w:r>
      <w:r>
        <w:rPr>
          <w:rStyle w:val="FootnoteReference"/>
        </w:rPr>
        <w:footnoteReference w:customMarkFollows="1" w:id="14"/>
        <w:t xml:space="preserve">13</w:t>
      </w:r>
      <w:r w:rsidRPr="00AE4B81">
        <w:t xml:space="preserve"> interpretoval články 3 a 8 EDĽP tak, že zmluvné strany EDĽP musia mať trestnoprávne systémy, ktoré umožňujú trestanie sexuálnych činov bez súhlasu;</w:t>
      </w:r>
    </w:p>
    <w:p w:rsidR="002E0C27" w:rsidRPr="00AE4B81" w:rsidP="002E0C27" w14:paraId="4ED5929B" w14:textId="77777777">
      <w:pPr>
        <w:pStyle w:val="NormalHanging"/>
      </w:pPr>
      <w:r w:rsidRPr="00AE4B81">
        <w:t>K.</w:t>
      </w:r>
      <w:r w:rsidRPr="00AE4B81">
        <w:tab/>
        <w:t>keďže v Príručke OSN pre právne predpisy o násilí páchanom na ženách sa uvádza, že v právnych predpisoch musia byť stanovené priťažujúce okolnosti, medzi ktoré patrí napríklad vek osoby, ktorá prežila znásilnenie, vzťah medzi obeťou a páchateľom, použitie fyzického násilia alebo hrozba fyzického násilia, prítomnosť viacerých páchateľov a vážne fyzické alebo psychické následky útoku na obeť; keďže v príručke sa ďalej uvádza, že v právnych predpisoch by sa mal „osobitne kriminalizovať sexuálny útok vo vzťahu (t. j. znásilnenie medzi manželmi), a to buď stanovením, že ustanovenia o sexuálnom útoku sa uplatňujú „bez ohľadu na povahu vzťahu“ medzi páchateľom a obeťou, alebo stanovením, že „manželstvo ani iný vzťah nepredstavuje obranu proti obvineniu zo sexuálneho útoku podľa právnych predpisov“;</w:t>
      </w:r>
    </w:p>
    <w:p w:rsidR="002E0C27" w:rsidRPr="00AE4B81" w:rsidP="002E0C27" w14:paraId="72663200" w14:textId="1740284B">
      <w:pPr>
        <w:pStyle w:val="NormalHanging"/>
      </w:pPr>
      <w:r w:rsidRPr="00AE4B81">
        <w:t>L.</w:t>
      </w:r>
      <w:r w:rsidRPr="00AE4B81">
        <w:tab/>
        <w:t xml:space="preserve">keďže </w:t>
      </w:r>
      <w:r w:rsidRPr="00AE4B81" w:rsidR="002917A4">
        <w:t>Európsky p</w:t>
      </w:r>
      <w:r w:rsidRPr="00AE4B81">
        <w:t>arlament prijal 16. septembra 2021 uznesenie, v ktorom označil rodovo motivované násilie za novú oblasť trestnej činnosti uvedenú v článku 83 ods. 1 ZFEÚ; keďže v uvedenom uznesení boli členské štáty vyzvané, aby zmenili vymedzenie pojmu „znásilnenie“ vo svojom vnútroštátnom práve tak, aby bolo založené na absencii súhlasu, a zdôraznilo sa, že rodovo motivované násilie je vážne porušenie ľudských práv a dôstojnosti a že znásilnenie je formou rodovo motivovaného násilia;</w:t>
      </w:r>
    </w:p>
    <w:p w:rsidR="002E0C27" w:rsidRPr="00AE4B81" w:rsidP="002E0C27" w14:paraId="55992734" w14:textId="77777777">
      <w:pPr>
        <w:pStyle w:val="NormalHanging"/>
      </w:pPr>
      <w:r w:rsidRPr="00AE4B81">
        <w:t>M.</w:t>
      </w:r>
      <w:r w:rsidRPr="00AE4B81">
        <w:tab/>
        <w:t>keďže článok 83 ZFEÚ by sa mal uplatňovať ako právny základ legislatívnych návrhov týkajúcich sa trestného činu znásilnenia, pretože znásilnenie je mimoriadne závažný trestný čin s cezhraničným rozmerom a patrí do oblasti trestnej činnosti „sexuálneho vykorisťovania žien a detí“;</w:t>
      </w:r>
    </w:p>
    <w:p w:rsidR="002E0C27" w:rsidRPr="00AE4B81" w:rsidP="002E0C27" w14:paraId="6F81E3CF" w14:textId="77777777">
      <w:pPr>
        <w:pStyle w:val="NormalHanging"/>
      </w:pPr>
      <w:r w:rsidRPr="00AE4B81">
        <w:t>N.</w:t>
      </w:r>
      <w:r w:rsidRPr="00AE4B81">
        <w:tab/>
        <w:t>keďže pojem „sexuálne vykorisťovanie“ v článku 83 ods. 1 ZFEÚ sa neobmedzuje len na obchodovanie s ľuďmi, pretože takýto úzky výklad by nespravodlivo obmedzil „obchodovanie s ľuďmi a sexuálne vykorisťovanie žien a detí“ na trestné činy obchodovania s ľuďmi; keďže zo znenia a legislatívnej praxe, okrem iného zo smernice o boji proti sexuálnemu zneužívaniu detí</w:t>
      </w:r>
      <w:r>
        <w:rPr>
          <w:rStyle w:val="FootnoteReference"/>
        </w:rPr>
        <w:footnoteReference w:customMarkFollows="1" w:id="15"/>
        <w:t xml:space="preserve">14</w:t>
      </w:r>
      <w:r w:rsidRPr="00AE4B81">
        <w:t>, vyplýva, že „sexuálne vykorisťovanie“ zahŕňa širšiu škálu trestných činov vrátane sexuálneho zneužívania; keďže sexuálne vykorisťovanie sa bežne vzťahuje na nespravodlivé využívanie inej osoby na sexuálne účely vrátane zraniteľnosti obetí, čo je kľúčové pri trestnom čine znásilnenia;</w:t>
      </w:r>
    </w:p>
    <w:p w:rsidR="002E0C27" w:rsidRPr="00AE4B81" w:rsidP="002E0C27" w14:paraId="650D67F2" w14:textId="77777777">
      <w:pPr>
        <w:pStyle w:val="NormalHanging"/>
      </w:pPr>
      <w:r w:rsidRPr="00AE4B81">
        <w:t>O.</w:t>
      </w:r>
      <w:r w:rsidRPr="00AE4B81">
        <w:tab/>
        <w:t>keďže v článku 36 Istanbulského dohovoru sa stanovuje povinnosť kriminalizovať všetky sexuálne činy bez súhlasu a uvádza, že „súhlas sa musí udeliť dobrovoľne v dôsledku slobodnej vôle posudzovanej v kontexte okolitých okolností“; keďže táto zásada je v súlade s rozsudkami Európskeho súdu pre ľudské práva a s vnútroštátnou judikatúrou;</w:t>
      </w:r>
    </w:p>
    <w:p w:rsidR="002E0C27" w:rsidRPr="00AE4B81" w:rsidP="002E0C27" w14:paraId="4E59908C" w14:textId="77777777">
      <w:pPr>
        <w:pStyle w:val="NormalHanging"/>
      </w:pPr>
      <w:r w:rsidRPr="00AE4B81">
        <w:t>P.</w:t>
      </w:r>
      <w:r w:rsidRPr="00AE4B81">
        <w:tab/>
        <w:t>keďže súhlas je dobrovoľná dohoda o určitej sexuálnej aktivite a možno ho kedykoľvek odvolať;</w:t>
      </w:r>
    </w:p>
    <w:p w:rsidR="002E0C27" w:rsidRPr="00AE4B81" w:rsidP="002E0C27" w14:paraId="5D0B1855" w14:textId="77777777">
      <w:pPr>
        <w:pStyle w:val="NormalHanging"/>
      </w:pPr>
      <w:r w:rsidRPr="00AE4B81">
        <w:t>Q.</w:t>
      </w:r>
      <w:r w:rsidRPr="00AE4B81">
        <w:tab/>
        <w:t>keďže mnohé členské štáty</w:t>
      </w:r>
      <w:r>
        <w:rPr>
          <w:rStyle w:val="FootnoteReference"/>
        </w:rPr>
        <w:footnoteReference w:customMarkFollows="1" w:id="16"/>
        <w:t xml:space="preserve">15</w:t>
      </w:r>
      <w:r w:rsidRPr="00AE4B81">
        <w:t xml:space="preserve"> a niekoľko ďalších európskych krajín</w:t>
      </w:r>
      <w:r>
        <w:rPr>
          <w:rStyle w:val="FootnoteReference"/>
        </w:rPr>
        <w:footnoteReference w:customMarkFollows="1" w:id="17"/>
        <w:t xml:space="preserve">16</w:t>
      </w:r>
      <w:r w:rsidRPr="00AE4B81">
        <w:t xml:space="preserve"> už zaviedlo do svojich trestných poriadkov vymedzenia znásilnenia založené na súhlase, čo viedlo k účinnejšiemu predchádzaniu, nahlasovaniu a stíhaniu trestných činov sexuálneho zneužívania a zvýšilo informovanosť verejnosti;</w:t>
      </w:r>
    </w:p>
    <w:p w:rsidR="002E0C27" w:rsidRPr="00AE4B81" w:rsidP="002E0C27" w14:paraId="0DB16E0B" w14:textId="13567102">
      <w:pPr>
        <w:pStyle w:val="NormalHanging"/>
      </w:pPr>
      <w:r w:rsidRPr="00AE4B81">
        <w:t>R.</w:t>
      </w:r>
      <w:r w:rsidRPr="00AE4B81">
        <w:tab/>
        <w:t xml:space="preserve">keďže </w:t>
      </w:r>
      <w:r w:rsidRPr="00AE4B81" w:rsidR="002917A4">
        <w:t>Európsky p</w:t>
      </w:r>
      <w:r w:rsidRPr="00AE4B81">
        <w:t xml:space="preserve">arlament v rámci svojho mandátu a vo svojej pozícii k smernici o boji proti násiliu na ženách a domácemu násiliu dôrazne podporuje zahrnutie vymedzenia trestného činu znásilnenia založeného na súhlase do textu, ako sa uvádza v návrhu Komisie; keďže Rada, žiaľ, zastávala názor, že </w:t>
      </w:r>
      <w:r w:rsidRPr="00AE4B81">
        <w:t>kriminalizácia</w:t>
      </w:r>
      <w:r w:rsidRPr="00AE4B81">
        <w:t xml:space="preserve"> znásilnenia by do uvedenej smernice nemala byť zahrnutá;</w:t>
      </w:r>
    </w:p>
    <w:p w:rsidR="002E0C27" w:rsidRPr="00AE4B81" w:rsidP="002E0C27" w14:paraId="6AD74475" w14:textId="77777777">
      <w:pPr>
        <w:pStyle w:val="NormalHanging"/>
      </w:pPr>
      <w:r w:rsidRPr="00AE4B81">
        <w:t>S.</w:t>
      </w:r>
      <w:r w:rsidRPr="00AE4B81">
        <w:tab/>
        <w:t xml:space="preserve">keďže v návrhu smernice o boji proti násiliu na ženách a domácemu násiliu, ktorý predložila Komisia, sa navrhuje </w:t>
      </w:r>
      <w:r w:rsidRPr="00AE4B81">
        <w:t>kriminalizácia</w:t>
      </w:r>
      <w:r w:rsidRPr="00AE4B81">
        <w:t xml:space="preserve"> znásilnenia na základe uznania toho, že sexuálne vykorisťovanie žien zahŕňa znásilnenie; keďže tento výklad je v súlade so záväzkom zmlúv týkajúcim sa rovnosti medzi ženami a mužmi; keďže článok 83 ods. 1 ZFEÚ je preto vhodným právnym základom na stanovenie minimálnych pravidiel EÚ týkajúcich sa vymedzenia pojmu znásilnenie;</w:t>
      </w:r>
    </w:p>
    <w:p w:rsidR="002E0C27" w:rsidRPr="00AE4B81" w:rsidP="002E0C27" w14:paraId="5F6A19A3" w14:textId="77777777">
      <w:pPr>
        <w:pStyle w:val="NormalHanging"/>
      </w:pPr>
      <w:r w:rsidRPr="00AE4B81">
        <w:t>T.</w:t>
      </w:r>
      <w:r w:rsidRPr="00AE4B81">
        <w:tab/>
        <w:t xml:space="preserve">keďže osôb, ktoré prežili znásilnenie, sa často pýtajú, či sa nebránili sexuálnemu útoku, pričom páchatelia tvrdia, že absencia súhlasu obetí svedčí o ich pasívnom súhlase; keďže v jednej švédskej štúdii 70 % obetí sexuálneho násilia uviedlo výraznú tonickú nehybnosť, známu aj ako „reakcia stuhnutia“; keďže najčastejšou reakciou obetí znásilnenia je reakcia známa ako „stuhnutie zo strachu“ alebo „tonická nehybnosť“, a nie aktívny fyzický odpor voči páchateľovi; keďže absencia odporu alebo „stuhnutie“ je bežná mimovoľná reakcia na ohrozenie a reflex prežitia, ktorá môže vyústiť do </w:t>
      </w:r>
      <w:r w:rsidRPr="00AE4B81">
        <w:t xml:space="preserve">nehybnosti (strnulá poloha, strata svalového tonusu, neschopnosť vykonávať dobrovoľné úkony) a </w:t>
      </w:r>
      <w:r w:rsidRPr="00AE4B81">
        <w:t>disociácie</w:t>
      </w:r>
      <w:r w:rsidRPr="00AE4B81">
        <w:t>, keď sa vedomie osôb odpojí od rušivých a bolestivých pocitov a emócií vznikajúcich v tele a tieto osoby stratia schopnosť konať; keďže túto skutočnosť nemožno ignorovať, ak sa má zabezpečiť prístup k spravodlivosti pre obete znásilnenia a podpora právneho a sociálneho prostredia, v ktorom sa znásilnenie už nebude tolerovať;</w:t>
      </w:r>
    </w:p>
    <w:p w:rsidR="002E0C27" w:rsidRPr="00AE4B81" w:rsidP="002E0C27" w14:paraId="04667A07" w14:textId="77777777">
      <w:pPr>
        <w:pStyle w:val="NormalHanging"/>
      </w:pPr>
      <w:r w:rsidRPr="00AE4B81">
        <w:t>U.</w:t>
      </w:r>
      <w:r w:rsidRPr="00AE4B81">
        <w:tab/>
        <w:t>keďže faktory, ako je nátlak, sila, vyhrážanie, finančná a psychologická závislosť, fyzický alebo psychický stav – ako napríklad tonická nehybnosť, stuhnutie, prekvapenie, stav strachu, zastrašovanie, bezvedomie, intoxikácia, vystavenie chemickým látkam, spánok, choroba, telesné zranenie, zdravotné postihnutie alebo iná obzvlášť zraniteľná situácia – alebo štrukturálna a prierezová diskriminácia môžu vytvárať zraniteľnosti a nebezpečné situácie a znemožniť slobodný súhlas, ktorý je kľúčový pri prípadoch znásilnenia;</w:t>
      </w:r>
    </w:p>
    <w:p w:rsidR="002E0C27" w:rsidRPr="00AE4B81" w:rsidP="002E0C27" w14:paraId="6A642306" w14:textId="77777777">
      <w:pPr>
        <w:pStyle w:val="NormalHanging"/>
      </w:pPr>
      <w:r w:rsidRPr="00AE4B81">
        <w:t>V.</w:t>
      </w:r>
      <w:r w:rsidRPr="00AE4B81">
        <w:tab/>
        <w:t xml:space="preserve">keďže trauma zo sexuálneho útoku môže ovplyvniť fungovanie pamäte, čo vedie k fragmentácii alebo strate spomienok na udalosti a k skresleniu časových postupností a sťažuje tak zapamätanie si poradia, v akom sa udalosti odohrali; keďže trauma zo znásilnenia je spojená s </w:t>
      </w:r>
      <w:r w:rsidRPr="00AE4B81">
        <w:t>posttraumatickou</w:t>
      </w:r>
      <w:r w:rsidRPr="00AE4B81">
        <w:t xml:space="preserve"> stresovou poruchou a ďalšími závažnými psychickými príznakmi vrátane zníženej koncentrácie, úzkosti, záchvatov paniky, depresie, traumatických spomienok a nočných môr;</w:t>
      </w:r>
    </w:p>
    <w:p w:rsidR="002E0C27" w:rsidRPr="00AE4B81" w:rsidP="002E0C27" w14:paraId="1EA09E22" w14:textId="77777777">
      <w:pPr>
        <w:pStyle w:val="NormalHanging"/>
      </w:pPr>
      <w:r w:rsidRPr="00AE4B81">
        <w:t>W.</w:t>
      </w:r>
      <w:r w:rsidRPr="00AE4B81">
        <w:tab/>
        <w:t xml:space="preserve">keďže spoliehanie sa na materiálne dôkazy o odpore, hrozbách alebo násilí upevňuje škodlivé mýty o znásilnení a stereotypy o tom, aké správanie sa očakáva od obetí, čo prispieva k sekundárnej </w:t>
      </w:r>
      <w:r w:rsidRPr="00AE4B81">
        <w:t>viktimizácii</w:t>
      </w:r>
      <w:r w:rsidRPr="00AE4B81">
        <w:t>, najmä v prípadoch, keď obete nezodpovedajú spoločensky vykonštruovaným predstavám o traume, odpore alebo viditeľných zraneniach; keďže tieto praktiky prispievajú k nedôvere v systémy presadzovania práva a súdnictva, čo vedie k nízkej miere nahlasovania a k beztrestnosti páchateľov;</w:t>
      </w:r>
    </w:p>
    <w:p w:rsidR="002E0C27" w:rsidRPr="00AE4B81" w:rsidP="002E0C27" w14:paraId="12DF48FC" w14:textId="77777777">
      <w:pPr>
        <w:pStyle w:val="NormalHanging"/>
      </w:pPr>
      <w:r w:rsidRPr="00AE4B81">
        <w:t>X.</w:t>
      </w:r>
      <w:r w:rsidRPr="00AE4B81">
        <w:tab/>
        <w:t>keďže sexuálna autonómia a telesná integrita sú nedotknuteľné práva a účelom právnych predpisov o znásilnení založených na súhlase je posilniť ich ochranu; keďže prechod na model právnych predpisov o znásilnení založených na súhlase má zásadný význam pre uznanie toho, že sexuálna autonómia a integrita môžu byť porušené aj v situáciách, keď nedochádza k fyzickému násiliu, napríklad pri nátlaku alebo zneužívaní moci;</w:t>
      </w:r>
    </w:p>
    <w:p w:rsidR="002E0C27" w:rsidRPr="00AE4B81" w:rsidP="002E0C27" w14:paraId="1AFF9BBA" w14:textId="77777777">
      <w:pPr>
        <w:pStyle w:val="NormalHanging"/>
      </w:pPr>
      <w:r w:rsidRPr="00AE4B81">
        <w:t>Y.</w:t>
      </w:r>
      <w:r w:rsidRPr="00AE4B81">
        <w:tab/>
        <w:t>keďže cieľom zdôrazňovania významu sexuálnej autonómie je podporovať rodovú rovnosť, a najmä napĺňanie práv žien a dievčat; keďže v právnych predpisoch o znásilnení založených na súhlase sa zdôrazňuje najmä právo žien rozhodovať o sebe a svojom tele;</w:t>
      </w:r>
    </w:p>
    <w:p w:rsidR="002E0C27" w:rsidRPr="00AE4B81" w:rsidP="002E0C27" w14:paraId="5B06008A" w14:textId="77777777">
      <w:pPr>
        <w:pStyle w:val="NormalHanging"/>
      </w:pPr>
      <w:r w:rsidRPr="00AE4B81">
        <w:t>Z.</w:t>
      </w:r>
      <w:r w:rsidRPr="00AE4B81">
        <w:tab/>
        <w:t>keďže súhlas by mal byť ústredným prvkom právnych predpisov o znásilnení; keďže právne predpisy o znásilnení založené na súhlase sú potrebné na účinnejšie pokrytie situácií, v ktorých dochádza k sexuálnemu činu tak náhle, že obeť nemá možnosť vyjadriť svoju vôľu alebo sa brániť pred začatím činu; keďže právne predpisy o znásilnení založené na súhlase sú nevyhnutné aj na lepšie riešenie situácií, v ktorých obeť nie je zo strachu schopná postaviť sa proti činu;</w:t>
      </w:r>
    </w:p>
    <w:p w:rsidR="002E0C27" w:rsidRPr="00AE4B81" w:rsidP="002E0C27" w14:paraId="104FA366" w14:textId="77777777">
      <w:pPr>
        <w:pStyle w:val="NormalHanging"/>
      </w:pPr>
      <w:r w:rsidRPr="00AE4B81">
        <w:t>AA.</w:t>
      </w:r>
      <w:r w:rsidRPr="00AE4B81">
        <w:tab/>
        <w:t xml:space="preserve">keďže z dôkazov vyplýva, že väčšinu znásilnení páchajú známi alebo intímni partneri a že k nim dochádza v interiéri, ale obete takýchto prípadov sa v systéme trestného súdnictva často stretávajú s podozrievavosťou a nedôverou, najmä v jurisdikciách, kde </w:t>
      </w:r>
      <w:r w:rsidRPr="00AE4B81">
        <w:t>sa stále uplatňujú zastarané požiadavky na dokazovanie, čím sa upevňujú mýty, že znásilnenia zvyčajne páchajú cudzí ľudia na verejných miestach a že obete znásilnenie vyprovokovali alebo si ho vymysleli; keďže takéto mýty sú ďalej umocňované neprimeraným zobrazovaním v médiách, verejnou diskusiou a nedostatočnou informovanosťou verejnosti;</w:t>
      </w:r>
    </w:p>
    <w:p w:rsidR="002E0C27" w:rsidRPr="00AE4B81" w:rsidP="002E0C27" w14:paraId="5A3C3DCB" w14:textId="77777777">
      <w:pPr>
        <w:pStyle w:val="NormalHanging"/>
      </w:pPr>
      <w:r w:rsidRPr="00AE4B81">
        <w:t>AB.</w:t>
      </w:r>
      <w:r w:rsidRPr="00AE4B81">
        <w:tab/>
        <w:t xml:space="preserve">keďže všeobecne akceptované mýty a presvedčenia o znásilnení a sexuálnom útoku sú škodlivé pre vymedzenie súhlasu a znásilnenia a ďalej ohrozujú blaho obetí, ich ochotu nahlásiť trestný čin, ochranu pred sekundárnou </w:t>
      </w:r>
      <w:r w:rsidRPr="00AE4B81">
        <w:t>viktimizáciou</w:t>
      </w:r>
      <w:r w:rsidRPr="00AE4B81">
        <w:t>, a navyše bránia trestnému stíhaniu a zamedzujú prístup k spravodlivosti; keďže tieto zaužívané názory a mýty sú jedným z faktorov, ktoré prispievajú k tomu, že naďalej existuje beztrestnosť znásilnenia, a bránia vypracovaniu vhodných právnych predpisov;</w:t>
      </w:r>
    </w:p>
    <w:p w:rsidR="002E0C27" w:rsidRPr="00AE4B81" w:rsidP="002E0C27" w14:paraId="541B885C" w14:textId="77777777">
      <w:pPr>
        <w:pStyle w:val="NormalHanging"/>
      </w:pPr>
      <w:r w:rsidRPr="00AE4B81">
        <w:t>AC.</w:t>
      </w:r>
      <w:r w:rsidRPr="00AE4B81">
        <w:tab/>
        <w:t>keďže miera sexuálneho násilia je naďalej výrazne podceňovaná a zľahčovaná, pričom prevažná väčšina sexuálnych trestných činov zostáva neodhalená; keďže mnohé nahlásené znásilnenia nie sú nikdy stíhané a prevažná väčšina stíhaných prípadov sa neskončí odsúdením; keďže to prehlbuje nedôveru žien v systém, vedie k nízkej miere nahlasovania a udržiava kultúru beztrestnosti, čo vedie k normalizácii sexuálneho násilia vrátane znásilnenia; keďže rozšírená beztrestnosť v prípadoch znásilnenia prispieva k prevládajúcemu komplexnému súboru presvedčení a sociálnych noriem, ktoré podnecujú sexuálnu agresiu mužov a podporujú násilie páchané na ženách, čím sa vytvára prostredie, v ktorom je sexuálne násilie normalizované a ospravedlňuje sa pretrvávajúcimi rodovými nerovnosťami a škodlivými postojmi k pohlaviu a sexualite; keďže je neprijateľné, aby spáchanie znásilnenia, pri ktorom nedochádza k fyzickému násiliu, nemalo žiadne dôsledky; keďže dôsledné stíhanie všetkých foriem znásilnenia je nevyhnutné na udržanie dôvery verejnosti v justičné systémy a je kľúčové pre predchádzanie sexuálnemu násiliu; keďže právne predpisy o znásilnení založené na súhlase majú zásadný význam pri zohľadňovaní a zmene postojov k sexuálnym trestným činom a pri zvyšovaní informovanosti v celej Únii, a v konečnom dôsledku aj pri znižovaní počtu sexuálnych trestných činov; keďže právne predpisy založené na súhlase môžu viesť k zásadnému posunu, pričom sa absencia jasného nesúhlasu so sexuálnym činom nahradí potrebou získať súhlas;</w:t>
      </w:r>
    </w:p>
    <w:p w:rsidR="002E0C27" w:rsidRPr="00AE4B81" w:rsidP="002E0C27" w14:paraId="3F4B15AD" w14:textId="556E6577">
      <w:pPr>
        <w:pStyle w:val="NormalHanging"/>
      </w:pPr>
      <w:r w:rsidRPr="00AE4B81">
        <w:t>AD.</w:t>
      </w:r>
      <w:r w:rsidRPr="00AE4B81">
        <w:tab/>
        <w:t>keďže vo vysvetľujúcej správe k Istanbulskému dohovoru sa v súvislosti s jeho článkom 36 ods. 2 objasňuje, že trestné stíhanie sexuálneho násilia vrátane znásilnenia „si bude vyžadovať posúdenie dôkazov v závislosti od kontextu, aby sa v každom jednotlivom prípade zistilo, či obeť slobodne súhlasila s vykonaným sexuálnym činom</w:t>
      </w:r>
      <w:r w:rsidRPr="00AE4B81" w:rsidR="002917A4">
        <w:t>;</w:t>
      </w:r>
      <w:r w:rsidRPr="00AE4B81">
        <w:t xml:space="preserve"> </w:t>
      </w:r>
      <w:r w:rsidRPr="00AE4B81" w:rsidR="002917A4">
        <w:t>p</w:t>
      </w:r>
      <w:r w:rsidRPr="00AE4B81">
        <w:t>ri takomto posúdení sa musí zohľadňovať široká škála reakcií obetí na sexuálne násilie a znásilnenie a nesmie byť založené na domnienkach typického správania v takýchto situáciách</w:t>
      </w:r>
      <w:r w:rsidRPr="00AE4B81" w:rsidR="002917A4">
        <w:t>;</w:t>
      </w:r>
      <w:r w:rsidRPr="00AE4B81">
        <w:t xml:space="preserve"> </w:t>
      </w:r>
      <w:r w:rsidRPr="00AE4B81" w:rsidR="002917A4">
        <w:t>r</w:t>
      </w:r>
      <w:r w:rsidRPr="00AE4B81">
        <w:t>ovnako dôležité je zabezpečiť, aby výklad právnych predpisov o znásilnení a trestné stíhanie v prípadoch znásilnenia neboli ovplyvnené rodovými stereotypmi a mýtmi o mužskej a ženskej sexualite“;</w:t>
      </w:r>
    </w:p>
    <w:p w:rsidR="002E0C27" w:rsidRPr="00AE4B81" w:rsidP="002E0C27" w14:paraId="3E8B6909" w14:textId="07377CB2">
      <w:pPr>
        <w:pStyle w:val="NormalHanging"/>
      </w:pPr>
      <w:r w:rsidRPr="00AE4B81">
        <w:t>AE.</w:t>
      </w:r>
      <w:r w:rsidRPr="00AE4B81">
        <w:tab/>
        <w:t xml:space="preserve">keďže Výbor OSN pre odstránenie diskriminácie žien vo svojom odporúčaní č. 34/2011 naliehavo vyzýva štáty, aby zrevidovali svoje právne predpisy týkajúce sa znásilnenia tým, že z nich odstránia požiadavku poskytnutia dôkazu penetrácie a zavedú absenciu súhlasu ako ústredný prvok trestného činu, a vo svojom všeobecnom odporúčaní č. 35 (2017) naliehavo vyzýva štáty, aby uznali rodovo motivované násilie ako formu diskriminácie a prijali právne reformy, ktoré zabezpečia odstránenie takéhoto násilia, a to aj </w:t>
      </w:r>
      <w:r w:rsidRPr="00AE4B81">
        <w:t>kriminalizáciou</w:t>
      </w:r>
      <w:r w:rsidRPr="00AE4B81">
        <w:t xml:space="preserve"> sexuálnych činov bez súhlasu a podpory prístupu všetkých žien a </w:t>
      </w:r>
      <w:r w:rsidRPr="00AE4B81">
        <w:t>dievčat, najmä tých, ktoré čelia vzájomne sa prelínajúcim formám diskriminácie, k spravodlivosti a službám;</w:t>
      </w:r>
    </w:p>
    <w:p w:rsidR="002E0C27" w:rsidRPr="00AE4B81" w:rsidP="002E0C27" w14:paraId="05495A49" w14:textId="77777777">
      <w:pPr>
        <w:pStyle w:val="NormalHanging"/>
      </w:pPr>
      <w:r w:rsidRPr="00AE4B81">
        <w:t>AF.</w:t>
      </w:r>
      <w:r w:rsidRPr="00AE4B81">
        <w:tab/>
        <w:t>keďže rodová rovnosť a nediskriminácia sú základnými hodnotami EÚ, základnými právami a kľúčovými zásadami Európskeho piliera sociálnych práv a základnými podmienkami pokroku; keďže diskriminácia na základe pohlavia, rodu a iných dôvodov je zakázaná podľa článku 21 Charty základných práv Európskej únie;</w:t>
      </w:r>
    </w:p>
    <w:p w:rsidR="002E0C27" w:rsidRPr="00AE4B81" w:rsidP="002E0C27" w14:paraId="6A195817" w14:textId="77777777">
      <w:pPr>
        <w:pStyle w:val="NormalHanging"/>
      </w:pPr>
      <w:r w:rsidRPr="00AE4B81">
        <w:t>AG.</w:t>
      </w:r>
      <w:r w:rsidRPr="00AE4B81">
        <w:tab/>
        <w:t xml:space="preserve">keďže </w:t>
      </w:r>
      <w:r w:rsidRPr="00AE4B81">
        <w:t>prierezovosť</w:t>
      </w:r>
      <w:r w:rsidRPr="00AE4B81">
        <w:t xml:space="preserve"> je dôležitou usmerňujúcou zásadou zakotvenou v práve EÚ; keďže ženy čelia prierezovým nerovnostiam a diskriminácii, a to aj v súvislosti so svojou rasou, etnickým alebo sociálnym pôvodom, sexuálnou orientáciou, rodovou identitou a prejavom, náboženstvom alebo vierou a štatútom pobytu či zdravotným postihnutím; keďže rodovo motivované sexuálne násilie je jedným z najvýznamnejších problémov týkajúcich sa rodovej rovnosti a skutočný pokrok v tejto oblasti možno dosiahnuť len uplatňovaním prierezového prístupu; keďže uplatňovanie prierezového prístupu umožní odstrániť štrukturálne prekážky rodovej rovnosti a zhromaždiť dôkazy na vytvorenie referenčných ukazovateľov a vytýčiť cestu k strategickým a účinným politikám v boji proti systémovej diskriminácii, vylúčeniu a sociálnym nerovnostiam;</w:t>
      </w:r>
    </w:p>
    <w:p w:rsidR="002E0C27" w:rsidRPr="00AE4B81" w:rsidP="002E0C27" w14:paraId="695565AF" w14:textId="77777777">
      <w:pPr>
        <w:pStyle w:val="NormalHanging"/>
      </w:pPr>
      <w:r w:rsidRPr="00AE4B81">
        <w:t>AH.</w:t>
      </w:r>
      <w:r w:rsidRPr="00AE4B81">
        <w:tab/>
        <w:t>keďže vzhľadom na štrukturálnu povahu rodovej nerovnosti a rodovo motivovaného násilia môže byť súhlas udelený pod nátlakom alebo sociálnym tlakom, čo poukazuje na potrebu prístupu, ktorý zahŕňa nielen individuálnu autonómiu, ale aj dynamiku sociálnej moci, rodové normy a nerovnomerné rozdelenie moci medzi mužmi a ženami;</w:t>
      </w:r>
    </w:p>
    <w:p w:rsidR="002E0C27" w:rsidRPr="00AE4B81" w:rsidP="002E0C27" w14:paraId="0C2AEA08" w14:textId="77777777">
      <w:pPr>
        <w:pStyle w:val="NormalHanging"/>
      </w:pPr>
      <w:r w:rsidRPr="00AE4B81">
        <w:t>AI.</w:t>
      </w:r>
      <w:r w:rsidRPr="00AE4B81">
        <w:tab/>
        <w:t>keďže rodovo motivované násilie vrátane sexuálneho násilia je zároveň príčinou aj dôsledkom štrukturálnych nerovností a mocenských asymetrií, ktoré sú zakorenené v rodových stereotypoch a spoločenských normách; keďže boj proti takémuto násiliu si vyžaduje spochybnenie týchto noriem a realizáciu komplexných právnych, sociálnych a vzdelávacích reforiem;</w:t>
      </w:r>
    </w:p>
    <w:p w:rsidR="002E0C27" w:rsidRPr="00AE4B81" w:rsidP="002E0C27" w14:paraId="6560E742" w14:textId="77777777">
      <w:pPr>
        <w:pStyle w:val="NormalHanging"/>
      </w:pPr>
      <w:r w:rsidRPr="00AE4B81">
        <w:t>AJ.</w:t>
      </w:r>
      <w:r w:rsidRPr="00AE4B81">
        <w:tab/>
        <w:t xml:space="preserve">keďže hlboko zakorenené rodové stereotypy týkajúce sa ženskej sexuality a morálky ďalej upevňujú prevládajúci komplexný súbor presvedčení a sociálnych noriem, ktoré podnecujú sexuálnu agresiu mužov a podporujú násilie páchané na ženách, čím sa vytvára prostredie, v ktorom je sexuálne násilie normalizované a ospravedlňované pretrvávajúcimi rodovými nerovnosťami a škodlivými postojmi k rodu a sexualite; keďže to vedie k </w:t>
      </w:r>
      <w:r w:rsidRPr="00AE4B81">
        <w:t>stigmatizácii</w:t>
      </w:r>
      <w:r w:rsidRPr="00AE4B81">
        <w:t xml:space="preserve"> určitých žien a iných ľudí, ako aj k diskriminačnému zaobchádzaniu s nimi, pretože porušili rodovo podmienené spoločenské a sexuálne normy alebo sa nestotožnili s rodovými úlohami;</w:t>
      </w:r>
    </w:p>
    <w:p w:rsidR="002E0C27" w:rsidRPr="00AE4B81" w:rsidP="002E0C27" w14:paraId="5194AB36" w14:textId="77777777">
      <w:pPr>
        <w:pStyle w:val="NormalHanging"/>
      </w:pPr>
      <w:r w:rsidRPr="00AE4B81">
        <w:t>AK.</w:t>
      </w:r>
      <w:r w:rsidRPr="00AE4B81">
        <w:tab/>
        <w:t xml:space="preserve">keďže k znásilneniu vrátane prvkov, ktoré môžu tomuto trestnému činu predchádzať, ako je napríklad </w:t>
      </w:r>
      <w:r w:rsidRPr="00AE4B81">
        <w:t>grooming</w:t>
      </w:r>
      <w:r w:rsidRPr="00AE4B81">
        <w:t xml:space="preserve"> a online podvody, môže dochádzať v cezhraničnom kontexte; keďže k násiliu páchanom na ženách a dievčatách dochádza v online aj </w:t>
      </w:r>
      <w:r w:rsidRPr="00AE4B81">
        <w:t>offline</w:t>
      </w:r>
      <w:r w:rsidRPr="00AE4B81">
        <w:t xml:space="preserve"> priestore a jeho súčasťou je sexuálne násilie podporované technológiami, obťažovanie, zdieľanie intímnych záberov bez súhlasu a nátlakovú kontrolu; keďže takéto formy zneužívania neúmerne postihujú ženy a marginalizované skupiny a v mnohých vnútroštátnych rámcoch nie sú dostatočne upravené;</w:t>
      </w:r>
    </w:p>
    <w:p w:rsidR="002E0C27" w:rsidRPr="00AE4B81" w:rsidP="002E0C27" w14:paraId="4F792775" w14:textId="77777777">
      <w:pPr>
        <w:pStyle w:val="NormalHanging"/>
      </w:pPr>
      <w:r w:rsidRPr="00AE4B81">
        <w:t>AL.</w:t>
      </w:r>
      <w:r w:rsidRPr="00AE4B81">
        <w:tab/>
        <w:t xml:space="preserve">keďže obete znásilnenia potrebujú okamžitú, multidisciplinárnu, dostupnú a komplexnú lekársku starostlivosť vrátane klinického manažmentu znásilnenia, sexuálnej a reprodukčnej zdravotnej starostlivosti vrátane núdzovej antikoncepcie, </w:t>
      </w:r>
      <w:r w:rsidRPr="00AE4B81">
        <w:t>postexpozičnej</w:t>
      </w:r>
      <w:r w:rsidRPr="00AE4B81">
        <w:t xml:space="preserve"> profylaxie, liečby sexuálne prenosných infekcií a prístupu k bezpečnému a legálnemu </w:t>
      </w:r>
      <w:r w:rsidRPr="00AE4B81">
        <w:t xml:space="preserve">umelému prerušeniu tehotenstva a </w:t>
      </w:r>
      <w:r w:rsidRPr="00AE4B81">
        <w:t>posttraumatickej</w:t>
      </w:r>
      <w:r w:rsidRPr="00AE4B81">
        <w:t xml:space="preserve"> podpory a musia mať aj možnosť dlhodobej podpory vrátane psychologického poradenstva; keďže v niektorých členských štátoch nie je zabezpečený prístup k niektorým základným službám zdravotnej starostlivosti;</w:t>
      </w:r>
    </w:p>
    <w:p w:rsidR="00032909" w:rsidRPr="00AE4B81" w:rsidP="002E0C27" w14:paraId="75660522" w14:textId="71903CBF">
      <w:pPr>
        <w:pStyle w:val="NormalHanging"/>
      </w:pPr>
      <w:r w:rsidRPr="00AE4B81">
        <w:t>AM.</w:t>
      </w:r>
      <w:r w:rsidRPr="00AE4B81">
        <w:tab/>
        <w:t>keďže kultúra znásilnenia je vymedzená ako štrukturálny a rozšírený systém postojov, správania, hodnôt a sociálnych noriem, ktoré normalizujú a zľahčujú sexuálne násilie, oslabujú súhlas, udržiavajú mýty o znásilnení a podporujú spoločenskú normalizáciu takéhoto násilia;</w:t>
      </w:r>
    </w:p>
    <w:p w:rsidR="002E0C27" w:rsidRPr="00AE4B81" w:rsidP="002E0C27" w14:paraId="75EBA278" w14:textId="45776D8A">
      <w:pPr>
        <w:pStyle w:val="NormalHanging"/>
      </w:pPr>
      <w:r w:rsidRPr="00AE4B81">
        <w:t>AN</w:t>
      </w:r>
      <w:r w:rsidRPr="00AE4B81">
        <w:t>.</w:t>
      </w:r>
      <w:r w:rsidRPr="00AE4B81">
        <w:tab/>
        <w:t xml:space="preserve">keďže vysoká miera sekundárnej </w:t>
      </w:r>
      <w:r w:rsidRPr="00AE4B81">
        <w:t>viktimizácie</w:t>
      </w:r>
      <w:r w:rsidRPr="00AE4B81">
        <w:t xml:space="preserve"> poukazuje nielen na vážne nedostatky justičných systémov, ale aj zastaraných zákonov, ktoré nie sú založené na súhlase, pokiaľ ide o poskytnutie prístupu k spravodlivosti osobám, ktoré prežili znásilnenie</w:t>
      </w:r>
      <w:r>
        <w:rPr>
          <w:rStyle w:val="FootnoteReference"/>
        </w:rPr>
        <w:footnoteReference w:customMarkFollows="1" w:id="18"/>
        <w:t xml:space="preserve">17</w:t>
      </w:r>
      <w:r w:rsidRPr="00AE4B81">
        <w:t>, o čom svedčí nízka miera nahlasovania zo strany obetí, nedostatočná pomoc zodpovedajúca ich potrebám, obmedzená dostupnosť prístupných postupov a nízka miera odsúdení v prípadoch znásilnenia, čo poukazuje na systémové nedostatky v spôsobe, akým orgány presadzovania práva a justičné systémy riešia prípady znásilnenia, čo zas v spoločnosti vyvoláva rozšírenú kultúru beztrestnosti za trestný čin znásilnenia a predstavuje vážne narušenie rodovej rovnosti;</w:t>
      </w:r>
    </w:p>
    <w:p w:rsidR="002E0C27" w:rsidRPr="00AE4B81" w:rsidP="002E0C27" w14:paraId="6BC4D62B" w14:textId="0E488733">
      <w:pPr>
        <w:pStyle w:val="NormalHanging"/>
      </w:pPr>
      <w:r w:rsidRPr="00AE4B81">
        <w:t>AO</w:t>
      </w:r>
      <w:r w:rsidRPr="00AE4B81">
        <w:t>.</w:t>
      </w:r>
      <w:r w:rsidRPr="00AE4B81">
        <w:tab/>
        <w:t xml:space="preserve">keďže sekundárna </w:t>
      </w:r>
      <w:r w:rsidRPr="00AE4B81">
        <w:t>viktimizácia</w:t>
      </w:r>
      <w:r w:rsidRPr="00AE4B81">
        <w:t xml:space="preserve"> nastáva vtedy, keď obeť utrpí ďalšiu ujmu nie v priamom dôsledku trestného činu znásilnenia, ale v dôsledku spôsobu, akým s ňou inštitúcie a iné osoby zaobchádzajú; keďže sekundárna </w:t>
      </w:r>
      <w:r w:rsidRPr="00AE4B81">
        <w:t>viktimizácia</w:t>
      </w:r>
      <w:r w:rsidRPr="00AE4B81">
        <w:t xml:space="preserve"> je spôsobená opakovaným vystavením obete páchateľovi, necitlivým zaobchádzaním, ako je opakovaný výsluch o tých istých udalostiach, obviňovaním obete, používaním nevhodného jazyka alebo necitlivými poznámkami zo strany všetkých, ktorí prichádzajú do kontaktu s obeťami, lekárskymi zásahmi a súdnymi konaniami, ktoré sú okrem iného zdĺhavé, a inými inštitucionálnymi postupmi; keďže sekundárna </w:t>
      </w:r>
      <w:r w:rsidRPr="00AE4B81">
        <w:t>viktimizácia</w:t>
      </w:r>
      <w:r w:rsidRPr="00AE4B81">
        <w:t xml:space="preserve"> oslabuje práva obetí, zamedzuje ich prístup k spravodlivosti a prehlbuje ich traumu, okrem iného privodením </w:t>
      </w:r>
      <w:r w:rsidRPr="00AE4B81">
        <w:t>posttraumatickej</w:t>
      </w:r>
      <w:r w:rsidRPr="00AE4B81">
        <w:t xml:space="preserve"> stresovej poruchy, depresie a úzkosti, čím bráni ich zotaveniu;</w:t>
      </w:r>
    </w:p>
    <w:p w:rsidR="002E0C27" w:rsidRPr="00AE4B81" w:rsidP="002E0C27" w14:paraId="79592422" w14:textId="0F776328">
      <w:pPr>
        <w:pStyle w:val="NormalHanging"/>
      </w:pPr>
      <w:r w:rsidRPr="00AE4B81">
        <w:t>AP</w:t>
      </w:r>
      <w:r w:rsidRPr="00AE4B81">
        <w:t>.</w:t>
      </w:r>
      <w:r w:rsidRPr="00AE4B81">
        <w:tab/>
        <w:t xml:space="preserve">keďže traumatický charakter znásilnenia a jeho dlhodobý vplyv na fyzické a psychické zdravie, bezpečnosť, telesnú integritu, pohodu a spoločenský život obetí si vyžaduje, aby predovšetkým orgány presadzovania práva a súdne orgány mali dobre vyškolených a špecializovaných zamestnancov, ktorých reakcia bude koordinovaná a zohľadňovať rodové hľadisko a traumu pri riešení prípadov znásilnenia, aby sa zabránilo sekundárnej </w:t>
      </w:r>
      <w:r w:rsidRPr="00AE4B81">
        <w:t>viktimizácii</w:t>
      </w:r>
      <w:r w:rsidRPr="00AE4B81">
        <w:t xml:space="preserve">; keďže odborná príprava odborníkov v oblasti práva a presadzovania práva je v členských štátoch naďalej nejednotná a nedostatočná; keďže účinné zavádzanie vymedzení znásilnenia založených na súhlase do práva závisí od schopnosti príslušníkov polície, prokurátorov a súdnych orgánov správne vykladať a uplatňovať tieto ustanovenia a zabezpečiť tak, aby sa dôraz naďalej kládol na absenciu dobrovoľne udeleného súhlasu, a nie na dôkazy odporu alebo fyzického násilia; keďže prenesenie </w:t>
      </w:r>
      <w:r w:rsidRPr="00AE4B81">
        <w:t>dôkazného bremena na obete, ktorú majú preukázať absenciu súhlasu, posilňuje škodlivé stereotypy o znásilnení;</w:t>
      </w:r>
    </w:p>
    <w:p w:rsidR="002E0C27" w:rsidRPr="00AE4B81" w:rsidP="002E0C27" w14:paraId="6BCC1792" w14:textId="7223AEC6">
      <w:pPr>
        <w:pStyle w:val="NormalHanging"/>
      </w:pPr>
      <w:r w:rsidRPr="00AE4B81">
        <w:t>A</w:t>
      </w:r>
      <w:r w:rsidRPr="00AE4B81" w:rsidR="008A2805">
        <w:t>Q</w:t>
      </w:r>
      <w:r w:rsidRPr="00AE4B81">
        <w:t>.</w:t>
      </w:r>
      <w:r w:rsidRPr="00AE4B81">
        <w:tab/>
        <w:t xml:space="preserve">keďže komplexná sexuálna a vzťahová výchova založená na súhlase je kľúčová pri obmedzovaní mylných informácií a mýtov o znásilnení a sexualite, riešení rodových noriem a prevencii všetkých foriem rodovo motivovaného násilia vrátane znásilnenia; keďže zásadne dôležitým prvkom prevencie je zapojenie mužov a chlapcov do presadzovania rodovej rovnosti, stierania škodlivých rodových stereotypov a nezdravých a škodlivých vzorov </w:t>
      </w:r>
      <w:r w:rsidRPr="00AE4B81">
        <w:t>maskulinity</w:t>
      </w:r>
      <w:r w:rsidRPr="00AE4B81">
        <w:t xml:space="preserve"> a spochybňovania vnímania sexu ako niečoho, na čo existuje nárok; keďže prechod na kultúru založenú na súhlase je kľúčom k zaisteniu prostredia vzájomného rešpektu a bezpečnosti, kde sú v centre pozornosti zdravé sociálne interakcie; keďže poskytovanie rodovo citlivej, komplexnej a vekovo primeranej výchovy v oblasti sexuality, súhlasu a vzťahov je kľúčovým nástrojom na predchádzanie znásilneniu a sexuálnemu násiliu, ako aj na riešenie základných príčin;</w:t>
      </w:r>
    </w:p>
    <w:p w:rsidR="002E0C27" w:rsidRPr="00AE4B81" w:rsidP="002E0C27" w14:paraId="0FB1398C" w14:textId="5DF4D970">
      <w:pPr>
        <w:pStyle w:val="NormalHanging"/>
      </w:pPr>
      <w:r w:rsidRPr="00AE4B81">
        <w:t>AR</w:t>
      </w:r>
      <w:r w:rsidRPr="00AE4B81">
        <w:t>.</w:t>
      </w:r>
      <w:r w:rsidRPr="00AE4B81">
        <w:tab/>
        <w:t>keďže v rámci cieľa udržateľného rozvoja č. 5 Agendy 2030 pre udržateľný rozvoj sa vyzýva na dosiahnutie rodovej rovnosti a posilnenie postavenia všetkých žien a dievčat a v rámci cieľa udržateľného rozvoja č. 16 sa vyzýva na podporu mierových a inkluzívnych spoločností, prístupu k spravodlivosti a účinným a zodpovedným inštitúciám;</w:t>
      </w:r>
    </w:p>
    <w:p w:rsidR="002E0C27" w:rsidRPr="00AE4B81" w:rsidP="002E0C27" w14:paraId="1CF96CEE" w14:textId="1546931A">
      <w:pPr>
        <w:pStyle w:val="NormalHanging"/>
      </w:pPr>
      <w:r w:rsidRPr="00AE4B81">
        <w:t>AS</w:t>
      </w:r>
      <w:r w:rsidRPr="00AE4B81">
        <w:t>.</w:t>
      </w:r>
      <w:r w:rsidRPr="00AE4B81">
        <w:tab/>
        <w:t>keďže v Agende 2030 pre udržateľný rozvoj a v duchu zásady „na nikoho nezabudnúť“, a najmä v cieľoch udržateľného rozvoja č. 3, 4, 5, 10 a 16 sa vyzýva na odstránenie sexuálneho násilia, dosiahnutie rodovej rovnosti, prístupu k spravodlivosti, inkluzívneho vzdelávania a rešpektu a ochranu telesnej a duševnej integrity všetkých jednotlivcov;</w:t>
      </w:r>
    </w:p>
    <w:p w:rsidR="002E0C27" w:rsidRPr="00AE4B81" w:rsidP="002E0C27" w14:paraId="27D49B5D" w14:textId="4F86181F">
      <w:pPr>
        <w:pStyle w:val="NormalHanging"/>
      </w:pPr>
      <w:r w:rsidRPr="00AE4B81">
        <w:t>AT</w:t>
      </w:r>
      <w:r w:rsidRPr="00AE4B81">
        <w:t>.</w:t>
      </w:r>
      <w:r w:rsidRPr="00AE4B81">
        <w:tab/>
        <w:t xml:space="preserve">keďže nedostatky členských štátov pri riešení štrukturálnych a normatívnych faktorov, ktoré vedú k beztrestnosti páchateľov, sú napádané pri pochodoch, protestoch a zo strany hnutí občianskej spoločnosti, ako napríklad hnutie #MeToo, ktoré v súvislosti so znásilnením prelamujú mlčanie a sú katalyzátormi legislatívnych zmien v niektorých členských štátoch; keďže medzi prípady, ktoré vyvolali rozsiahle protesty, patrí „Wolf </w:t>
      </w:r>
      <w:r w:rsidRPr="00AE4B81">
        <w:t>Pack</w:t>
      </w:r>
      <w:r w:rsidRPr="00AE4B81">
        <w:t xml:space="preserve">“ v Španielsku a prípad </w:t>
      </w:r>
      <w:r w:rsidRPr="00AE4B81">
        <w:t>Gisèle</w:t>
      </w:r>
      <w:r w:rsidRPr="00AE4B81">
        <w:t xml:space="preserve"> </w:t>
      </w:r>
      <w:r w:rsidRPr="00AE4B81">
        <w:t>Pelicotovej</w:t>
      </w:r>
      <w:r w:rsidRPr="00AE4B81">
        <w:t xml:space="preserve"> vo Francúzsku, ktoré poukazujú na nedostatočné vymedzenie znásilnenia, ktoré je založené na sile, a nie na súhlase;</w:t>
      </w:r>
    </w:p>
    <w:p w:rsidR="002E0C27" w:rsidRPr="00AE4B81" w:rsidP="002E0C27" w14:paraId="2258FB67" w14:textId="77777777">
      <w:pPr>
        <w:pStyle w:val="NormalHanging12a"/>
      </w:pPr>
      <w:r w:rsidRPr="00AE4B81">
        <w:t>1.</w:t>
      </w:r>
      <w:r w:rsidRPr="00AE4B81">
        <w:tab/>
        <w:t xml:space="preserve">vyzýva Komisiu, aby v súlade s článkom 36 Istanbulského dohovoru bezodkladne navrhla právne predpisy, ktorými sa stanoví </w:t>
      </w:r>
      <w:r w:rsidRPr="00AE4B81">
        <w:t>celoúnijné</w:t>
      </w:r>
      <w:r w:rsidRPr="00AE4B81">
        <w:t xml:space="preserve"> vymedzenie znásilnenia založené na dobrovoľne udelenom a informovanom súhlase, ktorý možno odvolať;</w:t>
      </w:r>
    </w:p>
    <w:p w:rsidR="002E0C27" w:rsidRPr="00AE4B81" w:rsidP="002E0C27" w14:paraId="4AB1763C" w14:textId="77777777">
      <w:pPr>
        <w:pStyle w:val="NormalHanging12a"/>
      </w:pPr>
      <w:r w:rsidRPr="00AE4B81">
        <w:t>2.</w:t>
      </w:r>
      <w:r w:rsidRPr="00AE4B81">
        <w:tab/>
        <w:t>vyzýva členské štáty, ktoré stále používajú vymedzenie znásilnenia založené na predpoklade násilia, aby začali legislatívne zmeny s cieľom zosúladiť vymedzenie s najnovšími medzinárodnými normami a poskytovali obetiam a osobám, ktoré prežili znásilnenie, potrebnú a primeranú podporu a ochranu;</w:t>
      </w:r>
    </w:p>
    <w:p w:rsidR="002E0C27" w:rsidRPr="00AE4B81" w:rsidP="002E0C27" w14:paraId="1511B125" w14:textId="77777777">
      <w:pPr>
        <w:pStyle w:val="NormalHanging12a"/>
      </w:pPr>
      <w:r w:rsidRPr="00AE4B81">
        <w:t>3.</w:t>
      </w:r>
      <w:r w:rsidRPr="00AE4B81">
        <w:tab/>
        <w:t xml:space="preserve">víta skutočnosť, že rastie počet členských štátov, ktoré v súlade s článkom 36 Istanbulského dohovoru zaviedli vymedzenie sexuálneho násilia založené na súhlase, a vyzýva Komisiu, aby nabádala k </w:t>
      </w:r>
      <w:r w:rsidRPr="00AE4B81">
        <w:t>ratifikáciii</w:t>
      </w:r>
      <w:r w:rsidRPr="00AE4B81">
        <w:t xml:space="preserve"> Istanbulského dohovoru tie členské štáty, ktoré tak ešte neurobili;</w:t>
      </w:r>
    </w:p>
    <w:p w:rsidR="002E0C27" w:rsidRPr="00AE4B81" w:rsidP="002E0C27" w14:paraId="62C587A5" w14:textId="77777777">
      <w:pPr>
        <w:pStyle w:val="NormalHanging12a"/>
      </w:pPr>
      <w:r w:rsidRPr="00AE4B81">
        <w:t>4.</w:t>
      </w:r>
      <w:r w:rsidRPr="00AE4B81">
        <w:tab/>
        <w:t xml:space="preserve">opakuje, že právne predpisy, ktoré kriminalizujú znásilnenie na základe absencie súhlasu, sú medzinárodnou normou v oblasti ľudských práv stanovenou v Istanbulskom </w:t>
      </w:r>
      <w:r w:rsidRPr="00AE4B81">
        <w:t>dohovore; pripomína, že členské štáty sú povinné dodržiavať medzinárodné normy v oblasti ľudských práv, a vyzýva ich, aby urobili ešte viac s cieľom chrániť a podporovať obete znásilnenia a odstraňovať všetky prejavy prevládajúceho komplexného súboru presvedčení a sociálnych noriem, ktoré podnecujú sexuálnu agresiu mužov a podporujú násilie na ženách, čím vzniká prostredie, v ktorom sa sexuálne násilie normalizuje a ospravedlňuje pretrvávajúcimi rodovými nerovnosťami a škodlivými postojmi k rodu a sexualite;</w:t>
      </w:r>
    </w:p>
    <w:p w:rsidR="002E0C27" w:rsidRPr="00AE4B81" w:rsidP="002E0C27" w14:paraId="4EF1AF6A" w14:textId="77777777">
      <w:pPr>
        <w:pStyle w:val="NormalHanging12a"/>
      </w:pPr>
      <w:r w:rsidRPr="00AE4B81">
        <w:t>5.</w:t>
      </w:r>
      <w:r w:rsidRPr="00AE4B81">
        <w:tab/>
        <w:t>opakuje, že právne predpisy založené na absencii súhlasu sú jediným vhodným a komplexným rámcom, ktorý zohľadňuje traumu a je založený na dôkazoch, a ktorý umožňuje osobám, ktoré prežili znásilnenie, prístup k spravodlivosti; konštatuje, že právne predpisy o znásilnení založené na súhlase majú pozitívne výsledky, pokiaľ ide o prístup obetí k spravodlivosti, vrátane vyššej miery nahlasovania a odsúdení a poskytujú obetiam lepšie vyhliadky na zotavenie a emocionálnu pohodu;</w:t>
      </w:r>
    </w:p>
    <w:p w:rsidR="002E0C27" w:rsidRPr="00AE4B81" w:rsidP="002E0C27" w14:paraId="28E3539F" w14:textId="77777777">
      <w:pPr>
        <w:pStyle w:val="NormalHanging12a"/>
      </w:pPr>
      <w:r w:rsidRPr="00AE4B81">
        <w:t>6.</w:t>
      </w:r>
      <w:r w:rsidRPr="00AE4B81">
        <w:tab/>
        <w:t xml:space="preserve">znovu vyzýva Komisiu, aby na základe článku 83 ods. 1 tretieho </w:t>
      </w:r>
      <w:r w:rsidRPr="00AE4B81">
        <w:t>pododseku</w:t>
      </w:r>
      <w:r w:rsidRPr="00AE4B81">
        <w:t xml:space="preserve"> ZFEÚ predložila návrh rozhodnutia Rady, v ktorom bude rodovo motivované násilie označené ako nová oblasť trestných činov EÚ, s cieľom zaručiť spoločný prístup k účinnému boju proti všetkým formám rodovo motivovaného násilia, ktoré predstavuje jedno z najrozšírenejších porušení základných práv v EÚ;</w:t>
      </w:r>
    </w:p>
    <w:p w:rsidR="002E0C27" w:rsidRPr="00AE4B81" w:rsidP="002E0C27" w14:paraId="340BB3A2" w14:textId="77777777">
      <w:pPr>
        <w:pStyle w:val="NormalHanging12a"/>
      </w:pPr>
      <w:r w:rsidRPr="00AE4B81">
        <w:t>7.</w:t>
      </w:r>
      <w:r w:rsidRPr="00AE4B81">
        <w:tab/>
        <w:t>zdôrazňuje, že len jasný, potvrdzujúci, dobrovoľne udelený a jednoznačne vyjadrený súhlas je platný, že mlčanie, nedostatok verbálneho alebo fyzického odporu alebo absenciu „nie“ nemožno vykladať ako súhlas a že predchádzajúci súhlas, sexuálne správanie v minulosti ani akýkoľvek minulý či súčasný vzťah s páchateľom vrátane manželského alebo iného partnerského statusu neznamená trvalý alebo budúci súhlas s akýmikoľvek sexuálnymi činmi; zdôrazňuje, že súhlas možno odvolať kedykoľvek pred sexuálnym činom alebo počas neho; konštatuje, že súhlas možno vyjadriť akýmkoľvek spôsobom, pokiaľ sa v súlade s článkom 36 Istanbulského dohovoru udeľuje dobrovoľne na základe slobodnej vôle osoby a posudzuje v kontexte súvisiacich okolností;</w:t>
      </w:r>
    </w:p>
    <w:p w:rsidR="002E0C27" w:rsidRPr="00AE4B81" w:rsidP="002E0C27" w14:paraId="3FF72285" w14:textId="77777777">
      <w:pPr>
        <w:pStyle w:val="NormalHanging12a"/>
      </w:pPr>
      <w:r w:rsidRPr="00AE4B81">
        <w:t>8.</w:t>
      </w:r>
      <w:r w:rsidRPr="00AE4B81">
        <w:tab/>
        <w:t>zdôrazňuje, že súhlas sa musí posudzovať v kontexte súvisiacich okolností, pričom uznáva, že súhlas nemôže byť daný v prípade násilia, hrozby, prekvapenia alebo podvodu, zneužitia moci – vrátane kontroly a nátlaku – fyzického alebo duševného stavu, ako je strach, zastrašovanie, bezvedomie či stuhnutie spôsobené strachom alebo traumou, intoxikáciou, omámením psychotropnými látkami, v dôsledku spánku, choroby, telesného zranenia, zdravotného postihnutia alebo inak obzvlášť zraniteľnej situácie, alebo vzhľadom na vek; berie na vedomie, že takéto stavy môžu znemožniť udelenie dobrovoľného a informovaného súhlasu;</w:t>
      </w:r>
    </w:p>
    <w:p w:rsidR="002E0C27" w:rsidRPr="00AE4B81" w:rsidP="002E0C27" w14:paraId="06F42BE6" w14:textId="77777777">
      <w:pPr>
        <w:pStyle w:val="NormalHanging12a"/>
      </w:pPr>
      <w:r w:rsidRPr="00AE4B81">
        <w:t>9.</w:t>
      </w:r>
      <w:r w:rsidRPr="00AE4B81">
        <w:tab/>
        <w:t xml:space="preserve">zdôrazňuje, že je dôležité uznať reakcie na traumu, ako je tonická nehybnosť alebo reakcia stuhnutia, čo je mimovoľná </w:t>
      </w:r>
      <w:r w:rsidRPr="00AE4B81">
        <w:t>neurobiologická</w:t>
      </w:r>
      <w:r w:rsidRPr="00AE4B81">
        <w:t xml:space="preserve"> reakcia na strach alebo ohrozenie, ktorá môže viesť k dočasnej paralýze alebo nehybnosti a strate rečových schopností, a reakcia zaliečania sa, čo je stratégia prežitia, ktorá spočíva v ukľudnení páchateľa v snahe vyhnúť sa eskalácii alebo ublíženiu; zdôrazňuje, že k takýmto reakciám na traumu dochádza počas znásilnenia a sexuálneho násilia, a preto sa musia odrážať v právnych predpisoch a súdnej praxi, aby sa zabezpečil prístup zohľadňujúci traumu, ktorý je zameraný na obete, a z právneho hľadiska sa tak uznalo, že absencia odporu neznamená súhlas;</w:t>
      </w:r>
    </w:p>
    <w:p w:rsidR="002E0C27" w:rsidRPr="00AE4B81" w:rsidP="002E0C27" w14:paraId="6044D964" w14:textId="77777777">
      <w:pPr>
        <w:pStyle w:val="NormalHanging12a"/>
      </w:pPr>
      <w:r w:rsidRPr="00AE4B81">
        <w:t>10.</w:t>
      </w:r>
      <w:r w:rsidRPr="00AE4B81">
        <w:tab/>
        <w:t>vyzýva Komisiu a členské štáty, aby vo všetkých politikách uplatňovali prierezový prístup, ktorý je zameraný na obete, s cieľom zaistiť prístup k spravodlivosti a dosiahnuť rodovú rovnosť, a aby tak uznali, že rodovo motivované násilie a diskriminácia vrátane sexuálneho násilia, ako je znásilnenie, často zhoršujú ďalšie faktory diskriminácie a rodových stereotypov, a že prelínanie týchto faktorov vytvára viacnásobné a jedinečné formy diskriminácie, ktoré si vyžadujú cielené a kontextovo špecifické opatrenia vrátane právnych predpisov na zabezpečenie rovnakej ochrany a podpory všetkých obetí a osôb, ktoré prežili znásilnenie;</w:t>
      </w:r>
    </w:p>
    <w:p w:rsidR="002E0C27" w:rsidRPr="00AE4B81" w:rsidP="002E0C27" w14:paraId="4C54AC11" w14:textId="77777777">
      <w:pPr>
        <w:pStyle w:val="NormalHanging12a"/>
      </w:pPr>
      <w:r w:rsidRPr="00AE4B81">
        <w:t>11.</w:t>
      </w:r>
      <w:r w:rsidRPr="00AE4B81">
        <w:tab/>
        <w:t>zdôrazňuje, že právne predpisy týkajúce sa znásilnenia založené na súhlase sa musia uplatňovať aj v digitálnom a virtuálnom prostredí, kde môže dochádzať k sexuálnym činom bez súhlasu, ako je simulované znásilnenie alebo vynútené sexuálne interakcie; zdôrazňuje, že takéto činy môžu mať pre osoby, ktoré prežili znásilnenie, vážne psychické následky, a preto musia byť právne uznané a zodpovedajúcim spôsobom trestne stíhané;</w:t>
      </w:r>
    </w:p>
    <w:p w:rsidR="002E0C27" w:rsidRPr="00AE4B81" w:rsidP="002E0C27" w14:paraId="6759E0BD" w14:textId="77777777">
      <w:pPr>
        <w:pStyle w:val="NormalHanging12a"/>
      </w:pPr>
      <w:r w:rsidRPr="00AE4B81">
        <w:t>12.</w:t>
      </w:r>
      <w:r w:rsidRPr="00AE4B81">
        <w:tab/>
        <w:t xml:space="preserve">vyzýva členské štáty, aby zabezpečili, že obete znásilnenia a osoby, ktoré prežili znásilnenie, budú mať tak dlho, ako to bude potrebné, plný prístup k okamžitej, komplexnej, bezpečnej, dôvernej a špecializovanej zdravotnej starostlivosti a zdravotníckym službám, ako je klinický manažment znásilnenia a zabezpečenie sexuálneho a reprodukčného zdravia a práv vrátane núdzovej antikoncepcie, </w:t>
      </w:r>
      <w:r w:rsidRPr="00AE4B81">
        <w:t>postexpozičnej</w:t>
      </w:r>
      <w:r w:rsidRPr="00AE4B81">
        <w:t xml:space="preserve"> profylaxie, liečby sexuálne prenosných infekcií a prístupu k bezpečnému a legálnemu umelému prerušeniu tehotenstva, čo sa doplní prístupom k dlhodobej starostlivosti o pacientov s traumou, psychologickej a psychosociálnej podpore a vhodným následným službám na podporu zotavenia; pripomína, že tieto služby majú zásadný význam pre osoby, ktoré prežili znásilnenie, a sú dôležité pre zaistenie čo najlepších zdravotných výsledkov a pomáhajú týmto osobám, aby znovu získali pocit telesnej autonómie;</w:t>
      </w:r>
    </w:p>
    <w:p w:rsidR="002E0C27" w:rsidRPr="00AE4B81" w:rsidP="002E0C27" w14:paraId="7E0FA752" w14:textId="77777777">
      <w:pPr>
        <w:pStyle w:val="NormalHanging12a"/>
      </w:pPr>
      <w:r w:rsidRPr="00AE4B81">
        <w:t>13.</w:t>
      </w:r>
      <w:r w:rsidRPr="00AE4B81">
        <w:tab/>
        <w:t>vyzýva Komisiu, aby zabezpečila, že členské štáty budú dodržiavať článok 26 smernice (EÚ) 2024/1385 o boji proti násiliu páchanému na ženách a domácemu násiliu, pokiaľ ide o poskytovanie špecializovanej pomoci obetiam sexuálneho násilia, ktorá bude prispôsobená ich špecifickým potrebám, bezplatná a jej geografické rozloženie a kapacita budú dostatočné; zdôrazňuje, že je potrebné, aby všetky obete znásilnenia a osoby, ktoré prežili sexuálne násilie, mali prístup k zdrojom, ako sú 24-hodinové krízové centrá, kde sa im môžu poskytnúť lekárska starostlivosť, psychologická podpora a právne poradenstvo bez toho, aby museli podať formálne oznámenie; ďalej vyzýva členské štáty, aby zabezpečili, že obete a osoby, ktoré prežili znásilnenie, budú mať prístup k právnej podpore;</w:t>
      </w:r>
    </w:p>
    <w:p w:rsidR="002E0C27" w:rsidRPr="00AE4B81" w:rsidP="002E0C27" w14:paraId="3992EDE0" w14:textId="77777777">
      <w:pPr>
        <w:pStyle w:val="NormalHanging12a"/>
      </w:pPr>
      <w:r w:rsidRPr="00AE4B81">
        <w:t>14.</w:t>
      </w:r>
      <w:r w:rsidRPr="00AE4B81">
        <w:tab/>
        <w:t>podporuje neustálu výmenu najlepších postupov medzi členskými štátmi s cieľom podporiť harmonizáciu noriem zaobchádzania a zabezpečiť konzistentnú, kvalifikovanú a kvalitnú podporu obetí sexuálneho násilia a osôb, ktoré prežili sexuálne násilie, a zaobchádzanie s nimi v celej EÚ;</w:t>
      </w:r>
    </w:p>
    <w:p w:rsidR="002E0C27" w:rsidRPr="00AE4B81" w:rsidP="002E0C27" w14:paraId="54BC723B" w14:textId="77777777">
      <w:pPr>
        <w:pStyle w:val="NormalHanging12a"/>
      </w:pPr>
      <w:r w:rsidRPr="00AE4B81">
        <w:t>15.</w:t>
      </w:r>
      <w:r w:rsidRPr="00AE4B81">
        <w:tab/>
        <w:t xml:space="preserve">dôrazne požaduje, aby boli vo všetkých fázach procesu nápravy k dispozícii verejné služby, najmä pokiaľ ide o poskytovanie základnej psychologickej a právnej podpory, ako aj pomoc pri hľadaní zamestnania; vyzýva členské štáty, aby dodržiavali Istanbulský dohovor tým, že obetiam a osobám, ktoré prežili znásilnenie, poskytnú ochranné a podporné opatrenia so zameraním na ľudské práva a bezpečnosť osôb, a tak sa zabránilo sekundárnej </w:t>
      </w:r>
      <w:r w:rsidRPr="00AE4B81">
        <w:t>viktimizácii</w:t>
      </w:r>
      <w:r w:rsidRPr="00AE4B81">
        <w:t>;</w:t>
      </w:r>
    </w:p>
    <w:p w:rsidR="002E0C27" w:rsidRPr="00AE4B81" w:rsidP="002E0C27" w14:paraId="5C7722B0" w14:textId="13414F95">
      <w:pPr>
        <w:pStyle w:val="NormalHanging12a"/>
      </w:pPr>
      <w:r w:rsidRPr="00AE4B81">
        <w:t>16.</w:t>
      </w:r>
      <w:r w:rsidRPr="00AE4B81">
        <w:tab/>
        <w:t xml:space="preserve">vyzýva členské štáty, aby zaistili </w:t>
      </w:r>
      <w:r w:rsidRPr="00AE4B81" w:rsidR="007A6C3A">
        <w:t xml:space="preserve">povinnú, </w:t>
      </w:r>
      <w:r w:rsidRPr="00AE4B81">
        <w:t xml:space="preserve">pravidelnú, vhodnú, účinnú a prispôsobenú odbornú prípravu odborníkov, ktorí pravdepodobne prídu do kontaktu s obeťami znásilnenia, vrátane príslušníkov orgánov presadzovania práva, zamestnancov súdneho lekárstva, súdnych zamestnancov, sudcov a prokurátorov, právnikov, zdravotníckych pracovníkov, zamestnancov sociálnych služieb, pedagogických a iných príslušných zamestnancov a odborníkov v prvej línii; zdôrazňuje, že táto odborná príprava by mala byť zameraná na predchádzanie sekundárnej </w:t>
      </w:r>
      <w:r w:rsidRPr="00AE4B81">
        <w:t>viktimizácii</w:t>
      </w:r>
      <w:r w:rsidRPr="00AE4B81">
        <w:t xml:space="preserve"> osôb, ktoré prežili znásilnenie, s cieľom zabrániť škodlivým rodovým stereotypom a identifikovať ich, odstrániť správanie a postoje obviňujúce obete a zaobchádzať s obeťami ohľaduplne vzhľadom na prežitú traumu, pohlavie, detský vek a zdravotné postihnutie v súlade s článkom 36 smernice (EÚ) 2024/1385 a bez toho, aby bola dotknutá nezávislosť súdnictva a rozdiely v organizácii súdnictva v celej EÚ; vyzýva Komisiu, aby rozšírila programy odbornej prípravy podporované EÚ v súlade s najlepšími súdnymi postupmi, a vyzýva členské štáty, aby zabezpečili, že služby v prvej línii budú mať dostatočnú kapacitu a zdroje na zaistenie účinnej reakcie na potreby obetí a osôb, ktoré prežili znásilnenie</w:t>
      </w:r>
      <w:r w:rsidRPr="00AE4B81" w:rsidR="007A6C3A">
        <w:rPr>
          <w:bCs/>
          <w:iCs/>
        </w:rPr>
        <w:t>, zabezpečením povinnej odbornej prípravy pre všetkých odborníkov pracujúcich v oblasti práva a zamestnancov orgánov presadzovania práva, ktorí prichádzajú do kontaktu s obeťami znásilnenia</w:t>
      </w:r>
      <w:r w:rsidRPr="00AE4B81">
        <w:t>;</w:t>
      </w:r>
    </w:p>
    <w:p w:rsidR="002E0C27" w:rsidRPr="00AE4B81" w:rsidP="002E0C27" w14:paraId="617AB14C" w14:textId="77777777">
      <w:pPr>
        <w:pStyle w:val="NormalHanging12a"/>
      </w:pPr>
      <w:r w:rsidRPr="00AE4B81">
        <w:t>17.</w:t>
      </w:r>
      <w:r w:rsidRPr="00AE4B81">
        <w:tab/>
        <w:t>vyzýva členské štáty, aby zabezpečili, že príslušní zdravotnícki pracovníci vrátane pediatrov, gynekológov, pôrodníkov, pôrodných asistentiek a pracovníkov psychologickej podpory absolvujú cielenú odbornú prípravu, aby mohli u osôb, ktoré prežili znásilnenie, identifikovať a prierezovo riešiť fyzické, duševné a sexuálne následky znásilnenia;</w:t>
      </w:r>
    </w:p>
    <w:p w:rsidR="002E0C27" w:rsidRPr="00AE4B81" w:rsidP="002E0C27" w14:paraId="3AF09803" w14:textId="77777777">
      <w:pPr>
        <w:pStyle w:val="NormalHanging12a"/>
      </w:pPr>
      <w:r w:rsidRPr="00AE4B81">
        <w:t>18.</w:t>
      </w:r>
      <w:r w:rsidRPr="00AE4B81">
        <w:tab/>
        <w:t xml:space="preserve">vyzýva členské štáty, aby zintenzívnili spoluprácu medzi orgánmi presadzovania práva, súdnymi orgánmi, občianskou spoločnosťou, komunitnými organizáciami, Európskym inštitútom pre rodovú rovnosť (EIGE) a ďalšími príslušnými špecializovanými aktérmi pri tvorbe školení týkajúcich sa najmä škodlivých rodových stereotypov, prierezovej diskriminácie a mylných predstáv, mýtov a stereotypov o znásilnení, ktoré naďalej bránia vykonávaniu právnych predpisov o znásilnení založených na súhlase; zdôrazňuje, príslušníci polície a sudcovia so širšími znalosťami a schopnosťou pochopiť a rešpektovať všetky osoby, ktoré prežili sexuálne násilie, prispievajú k zníženiu nedostatočného nahlasovania a minimalizujú opakovanú </w:t>
      </w:r>
      <w:r w:rsidRPr="00AE4B81">
        <w:t>viktimizáciu</w:t>
      </w:r>
      <w:r w:rsidRPr="00AE4B81">
        <w:t xml:space="preserve"> a zároveň vytvárajú bezpečnejšie prostredie pre osoby, ktoré prežili znásilnenie; ďalej vyzýva členské štáty, aby zabezpečili, že odborná príprava sudcov a odborníkov v oblasti práva a presadzovania práva bude v súlade s medzinárodnými normami v oblasti ľudských práv a judikatúrou týkajúcou sa znásilnenia;</w:t>
      </w:r>
    </w:p>
    <w:p w:rsidR="002E0C27" w:rsidRPr="00AE4B81" w:rsidP="002E0C27" w14:paraId="3B04780B" w14:textId="77777777">
      <w:pPr>
        <w:pStyle w:val="NormalHanging12a"/>
      </w:pPr>
      <w:r w:rsidRPr="00AE4B81">
        <w:t>19.</w:t>
      </w:r>
      <w:r w:rsidRPr="00AE4B81">
        <w:tab/>
        <w:t xml:space="preserve">vyzýva členské štáty, aby po konzultácii s organizáciami občianskej spoločnosti a špecializovanými službami pre ženy vypracovali a vydali špecializované a rodovo citlivé usmernenia pre príslušné orgány, a to aj pre sudcov zapojených do trestných a v relevantných prípadoch občianskoprávnych konaní súvisiacich s trestným činom znásilnenia; zdôrazňuje, že tieto usmernenia musia obsahovať pokyny k tomu, ako zaobchádzať s obeťami vzhľadom na traumu a rodové hľadisko, identifikovať rodové stereotypy a zabrániť im a zabezpečiť, aby boli obete, vrátane tých, ktoré zažívajú prierezovú diskrimináciu, rešpektované a chránené pred sekundárnou a </w:t>
      </w:r>
      <w:r w:rsidRPr="00AE4B81">
        <w:t>reviktimizáciou</w:t>
      </w:r>
      <w:r w:rsidRPr="00AE4B81">
        <w:t xml:space="preserve">; ďalej zdôrazňuje, že tieto usmernenia musia obsahovať pokyny, ako obete odkázať na špecializované podporné služby vrátane zdravotníckych služieb, aby sa s nimi primerane zaobchádzalo; žiada, aby sa tieto usmernenia pravidelne preskúmavali a aktualizovali v spolupráci s organizáciami občianskej spoločnosti a špecializovanými </w:t>
      </w:r>
      <w:r w:rsidRPr="00AE4B81">
        <w:t>službami pre ženy s cieľom zaistiť ich účinnosť a čo najlepšie výsledky pre obete, ako aj odstrániť systémové a štrukturálne nedostatky, ktoré umocňujú spoločenské vnímanie beztrestnosti za znásilnenie a umožňujú, aby páchatelia sexuálneho násilia boli nepotrestaní;</w:t>
      </w:r>
    </w:p>
    <w:p w:rsidR="002E0C27" w:rsidRPr="00AE4B81" w:rsidP="002E0C27" w14:paraId="357E0661" w14:textId="77777777">
      <w:pPr>
        <w:pStyle w:val="NormalHanging12a"/>
      </w:pPr>
      <w:r w:rsidRPr="00AE4B81">
        <w:t>20.</w:t>
      </w:r>
      <w:r w:rsidRPr="00AE4B81">
        <w:tab/>
        <w:t>konštatuje, že legislatívnu reformu musia dopĺňať vzdelávacie opatrenia zamerané na podporu zmeny správania a lepšie pochopenie významu súhlasu v sexuálnych vzťahoch; vyzýva Komisiu, aby v roku 2026 predložila usmernenia EÚ, ktoré budú dostupné vo všetkých 24 jazykoch EÚ, o rodovo citlivej, prierezovej a komplexnej sexuálnej a vzťahovej výchove založenej na súhlase, ktorej cieľom by malo byť spochybnenie rodových stereotypov, zdôraznenie štrukturálnej povahy rodovej nerovnosti a jej prítomnosti v sexualite a vzťahoch, podpora nenásilného správania a snaha o konečné odstránenie rodovo motivovaného násilia vrátane znásilnenia, nerovnosti a diskriminácie; ďalej vyzýva Komisiu, aby pozorne sledovala uplatňovanie týchto usmernení v členských štátoch a pred koncom súčasného funkčného obdobia uverejnila jeho hodnotenie; vyzýva preto členské štáty, aby do vnútroštátnych učebných osnov zahrnuli vekovo primeranú komplexnú sexuálnu a vzťahovú výchovu;</w:t>
      </w:r>
    </w:p>
    <w:p w:rsidR="002E0C27" w:rsidRPr="00AE4B81" w:rsidP="002E0C27" w14:paraId="3EC77C8C" w14:textId="77777777">
      <w:pPr>
        <w:pStyle w:val="NormalHanging12a"/>
      </w:pPr>
      <w:r w:rsidRPr="00AE4B81">
        <w:t>21.</w:t>
      </w:r>
      <w:r w:rsidRPr="00AE4B81">
        <w:tab/>
        <w:t xml:space="preserve">zdôrazňuje zásadnú úlohu verejných osvetových kampaní a preventívnych programov pri borení mýtov o znásilnení a presadzovaní kultúry súhlasu, najmä medzi mládežou, keďže v dôsledku pretrvávajúcej absencie sexuálnej výchovy sa šíria mylné informácie a upevňujú škodlivé stereotypy; vyzýva Komisiu, aby zorganizovala </w:t>
      </w:r>
      <w:r w:rsidRPr="00AE4B81">
        <w:t>celoúniové</w:t>
      </w:r>
      <w:r w:rsidRPr="00AE4B81">
        <w:t xml:space="preserve"> osvetové kampane, ktorých účelom bude vzdelávať verejnosť o problematike súhlasu, vzťahov, sexuálnej integrity a telesnej autonómie a bojovať proti mýtom o znásilnení; ďalej vyzýva Komisiu, aby rozvíjala kampane na boj proti </w:t>
      </w:r>
      <w:r w:rsidRPr="00AE4B81">
        <w:t>anti</w:t>
      </w:r>
      <w:r w:rsidRPr="00AE4B81">
        <w:t>-rodovému obsahu a online propagande nedobrovoľného celibátu (</w:t>
      </w:r>
      <w:r w:rsidRPr="00AE4B81">
        <w:t>incelovského</w:t>
      </w:r>
      <w:r w:rsidRPr="00AE4B81">
        <w:t xml:space="preserve"> hnutia), ktoré sú zacielené najmä na mladých mužov, normalizujú sexuálne násilie a upevňujú škodlivé rodové stereotypy, ktoré prispievajú k prevládajúcemu komplexnému súboru presvedčení a sociálnych noriem, ktoré podnecujú sexuálnu agresiu mužov a podporujú násilie páchané na ženách, čím sa vytvára prostredie, v ktorom je sexuálne násilie normalizované a ospravedlňované pretrvávajúcimi rodovými nerovnosťami a škodlivými postojmi k pohlaviu a sexualite;</w:t>
      </w:r>
    </w:p>
    <w:p w:rsidR="002E0C27" w:rsidRPr="00AE4B81" w:rsidP="002E0C27" w14:paraId="0601E160" w14:textId="77777777">
      <w:pPr>
        <w:pStyle w:val="NormalHanging12a"/>
      </w:pPr>
      <w:r w:rsidRPr="00AE4B81">
        <w:t>22.</w:t>
      </w:r>
      <w:r w:rsidRPr="00AE4B81">
        <w:tab/>
        <w:t>vyzýva Komisiu, aby zabezpečila, že členské štáty budú dodržiavať článok 35 smernice (EÚ) 2024/1385 o boji proti násiliu na ženách a domácemu násiliu tým, že budú prijímať a pravidelne organizovať na dôkazoch založené vzdelávacie iniciatívy o význame súhlasu, kampane na zvyšovanie informovanosti a opatrenia zamerané na podporu zmeny správania a porozumenie založené na uznaní dobrovoľne udeleného, vzájomného súhlasu, ktorý v plnej miere vychádza zo zásad telesnej autonómie a sexuálnej integrity; vyzýva Komisiu, aby pozorne monitorovala transpozíciu tejto smernice, a najmä jej článku 35, členskými štátmi;</w:t>
      </w:r>
    </w:p>
    <w:p w:rsidR="002E0C27" w:rsidRPr="00AE4B81" w:rsidP="002E0C27" w14:paraId="112FE38A" w14:textId="76B772CE">
      <w:pPr>
        <w:pStyle w:val="NormalHanging12a"/>
      </w:pPr>
      <w:r w:rsidRPr="00AE4B81">
        <w:t>23.</w:t>
      </w:r>
      <w:r w:rsidRPr="00AE4B81">
        <w:tab/>
        <w:t xml:space="preserve">vyzýva členské štáty, aby upravili svoje právne predpisy o premlčacích lehotách pre trestné činy znásilnenia vzhľadom na skutočnosť, že absencia súhlasu je ústredným prvkom tohto trestného činu a že mnohé obete sú schopné rozpoznať, pomenovať alebo nahlásiť skutočnosti so značným časovým odstupom, často v dôsledku traumy, strachu, sociálneho tlaku alebo nedostatočnej znalosti dynamiky súhlasu; zdôrazňuje preto potrebu predĺžiť premlčacie lehoty, aby sa zaručil účinný prístup k spravodlivosti v súlade so základnými právami; pripomína, že </w:t>
      </w:r>
      <w:r w:rsidRPr="00AE4B81" w:rsidR="002917A4">
        <w:t>Európsky p</w:t>
      </w:r>
      <w:r w:rsidRPr="00AE4B81">
        <w:t xml:space="preserve">arlament nedávno vyzval členské štáty, aby zabezpečili, že na trestné činy uvedené v článkoch 3 a 9 smernice o boji proti sexuálnemu zneužívaniu detí sa nebude vzťahovať žiadna premlčacia lehota; </w:t>
      </w:r>
      <w:r w:rsidRPr="00AE4B81">
        <w:t>zdôrazňuje, že príliš krátke premlčacie lehoty znemožňujú obetiam domáhať sa spravodlivosti a oslabujú ich ochranu; vyzýva členské štáty, aby sa zaoberali základnými príčinami nedostatočného nahlasovania a zabezpečili, aby premlčacie lehoty nebránili účinnému stíhaniu trestných činov znásilnenia;</w:t>
      </w:r>
    </w:p>
    <w:p w:rsidR="002E0C27" w:rsidRPr="00AE4B81" w:rsidP="002E0C27" w14:paraId="7538D96E" w14:textId="77777777">
      <w:pPr>
        <w:pStyle w:val="NormalHanging12a"/>
      </w:pPr>
      <w:r w:rsidRPr="00AE4B81">
        <w:t>24.</w:t>
      </w:r>
      <w:r w:rsidRPr="00AE4B81">
        <w:tab/>
        <w:t>vyzýva členské štáty, aby v súlade s vnútroštátnymi právnymi predpismi zabezpečili účinné odškodnenie, a to aj kompenzáciou všetkých obetí rodovo motivovaného násilia vrátane sexuálneho násilia; pripomína, že takéto odškodnenie by malo byť primerané, bezodkladné, celostné a primerané závažnosti utrpenej ujmy a malo by zohľadňovať riziká prierezovej diskriminácie;</w:t>
      </w:r>
    </w:p>
    <w:p w:rsidR="002E0C27" w:rsidRPr="00AE4B81" w:rsidP="002E0C27" w14:paraId="20FA48EC" w14:textId="77777777">
      <w:pPr>
        <w:pStyle w:val="NormalHanging12a"/>
      </w:pPr>
      <w:r w:rsidRPr="00AE4B81">
        <w:t>25.</w:t>
      </w:r>
      <w:r w:rsidRPr="00AE4B81">
        <w:tab/>
        <w:t>žiada, aby členské štáty prijali vhodné opatrenia na zabezpečenie toho, aby boli programy pre páchateľov trestných činov k dispozícii tým, ktorým boli odporučené alebo ktorí sa do nich prihlásili z vlastného podnetu, a to aj mimo systému trestnej justície, a aby bol k dispozícii okamžitý prístup k podpore, pričom uznáva úlohu týchto opatrení pri predchádzaní budúcemu rodovo motivovanému násiliu, prelomení mlčania o znásilnení a odstraňovaní prevládajúceho komplexného súboru presvedčení a sociálnych noriem, ktoré podnecujú sexuálnu agresiu mužov a podporujú násilie páchané na ženách, čím sa vytvára prostredie, v ktorom je sexuálne násilie normalizované a ospravedlňované pretrvávajúcimi rodovými nerovnosťami a škodlivými postojmi k pohlaviu a sexualite v našej spoločnosti;</w:t>
      </w:r>
    </w:p>
    <w:p w:rsidR="002E0C27" w:rsidRPr="00AE4B81" w:rsidP="002E0C27" w14:paraId="3CCC583B" w14:textId="77777777">
      <w:pPr>
        <w:pStyle w:val="NormalHanging12a"/>
      </w:pPr>
      <w:r w:rsidRPr="00AE4B81">
        <w:t>26.</w:t>
      </w:r>
      <w:r w:rsidRPr="00AE4B81">
        <w:tab/>
        <w:t>dôrazne podporuje občiansku spoločnosť a osoby, ktoré prežili znásilnenie, v prelomení mlčania v súvislosti so znásilnením; berie na vedomie, že tlak občianskej spoločnosti a osôb, ktoré prežili znásilnenie, bol hlavnou hnacou silou pri presadzovaní legislatívnych zmien v členských štátoch; pripomína význam práva na pokojné zhromažďovanie v úsilí o dosiahnutie spoločenských zmien a presadzovaní právnych predpisov o znásilnení založených na súhlase;</w:t>
      </w:r>
    </w:p>
    <w:p w:rsidR="002E0C27" w:rsidRPr="00AE4B81" w:rsidP="002E0C27" w14:paraId="0661A8C1" w14:textId="77777777">
      <w:pPr>
        <w:pStyle w:val="NormalHanging12a"/>
      </w:pPr>
      <w:r w:rsidRPr="00AE4B81">
        <w:t>27.</w:t>
      </w:r>
      <w:r w:rsidRPr="00AE4B81">
        <w:tab/>
        <w:t>uznáva kľúčovú úlohu, ktorú pri poskytovaní poradenstva a podpory obetiam zohrávajú mimovládne organizácie a špecializované služby pre ženy vrátane podporných centier pre ženy, zariadení núdzového bývania pre ženy, liniek pomoci, krízových centier pre obete znásilnenia, centier pomoci pre obete sexuálneho násilia a služieb primárnej prevencie; vyzýva Komisiu a členské štáty, aby poskytli primerané finančné prostriedky, ktoré zaistia zachovanie a rozvoj týchto služieb; požaduje posilnenie podpory pre tieto organizácie občianskej spoločnosti a obhajcov práv žien prostredníctvom zvýšenej a účelovo viazanej finančnej podpory v rozpočte EÚ;</w:t>
      </w:r>
    </w:p>
    <w:p w:rsidR="002E0C27" w:rsidRPr="00AE4B81" w:rsidP="002E0C27" w14:paraId="6B939501" w14:textId="77777777">
      <w:pPr>
        <w:pStyle w:val="NormalHanging12a"/>
      </w:pPr>
      <w:r w:rsidRPr="00AE4B81">
        <w:t>28.</w:t>
      </w:r>
      <w:r w:rsidRPr="00AE4B81">
        <w:tab/>
        <w:t>zdôrazňuje potrebu silných a udržateľných partnerstiev s miestnymi organizáciami a obhajcami práv žien, najmä v krajinách, kde je občiansky priestor ohrozený a kde silnie odpor voči rodovej rovnosti a sexuálnym a reprodukčným právam;</w:t>
      </w:r>
    </w:p>
    <w:p w:rsidR="002E0C27" w:rsidRPr="00AE4B81" w:rsidP="002E0C27" w14:paraId="17C83D9A" w14:textId="77777777">
      <w:pPr>
        <w:pStyle w:val="NormalHanging12a"/>
      </w:pPr>
      <w:r w:rsidRPr="00AE4B81">
        <w:t>29.</w:t>
      </w:r>
      <w:r w:rsidRPr="00AE4B81">
        <w:tab/>
        <w:t xml:space="preserve">zdôrazňuje, že je dôležité posilniť vykonávanie, presadzovanie a monitorovanie právnych predpisov týkajúcich sa sexuálneho násilia a znásilnenia, a vyzýva na vypracovanie </w:t>
      </w:r>
      <w:r w:rsidRPr="00AE4B81">
        <w:t>celoúnijných</w:t>
      </w:r>
      <w:r w:rsidRPr="00AE4B81">
        <w:t xml:space="preserve"> referenčných hodnôt a ukazovateľov na posúdenie účinnosti a vplyvu;</w:t>
      </w:r>
    </w:p>
    <w:p w:rsidR="002E0C27" w:rsidRPr="00AE4B81" w:rsidP="002E0C27" w14:paraId="77F008B2" w14:textId="77777777">
      <w:pPr>
        <w:pStyle w:val="NormalHanging12a"/>
      </w:pPr>
      <w:r w:rsidRPr="00AE4B81">
        <w:t>30.</w:t>
      </w:r>
      <w:r w:rsidRPr="00AE4B81">
        <w:tab/>
        <w:t xml:space="preserve">vyzdvihuje úlohu EÚ pri posilňovaní spolupráce s agentúrami OSN, ako sú OSN Ženy a Populačný fond OSN, a medzinárodnými partnermi vrátane Rady Európy, Organizácie pre hospodársku spoluprácu a rozvoj, Organizácie pre bezpečnosť a spoluprácu v Európe a Organizácie pre hospodársku spoluprácu a rozvoj, pri presadzovaní rodovej </w:t>
      </w:r>
      <w:r w:rsidRPr="00AE4B81">
        <w:t>rovnosti a boji proti sexuálnemu a rodovo motivovanému násiliu v rámci Agendy 2030 pre udržateľný rozvoj, Pekinskej akčnej platformy a akčného programu Medzinárodnej konferencie o populácii a rozvoji;</w:t>
      </w:r>
    </w:p>
    <w:p w:rsidR="002E0C27" w:rsidRPr="00AE4B81" w:rsidP="002E0C27" w14:paraId="4E8A8701" w14:textId="77777777">
      <w:pPr>
        <w:pStyle w:val="NormalHanging12a"/>
      </w:pPr>
      <w:r w:rsidRPr="00AE4B81">
        <w:t>31.</w:t>
      </w:r>
      <w:r w:rsidRPr="00AE4B81">
        <w:tab/>
        <w:t>podporuje pokračovanie dialógu a spolupráce medzi inštitúciami EÚ, členskými štátmi a občianskou spoločnosťou pri zabezpečovaní toho, aby sa sexuálne násilie neriešilo len ako individuálny čin spôsobujúci ujmu, ale aj ako prejav širšej rodovej nerovnosti a štrukturálnej diskriminácie;</w:t>
      </w:r>
    </w:p>
    <w:p w:rsidR="002E0C27" w:rsidRPr="00AE4B81" w:rsidP="002E0C27" w14:paraId="336A1266" w14:textId="77777777">
      <w:pPr>
        <w:pStyle w:val="NormalHanging12a"/>
      </w:pPr>
      <w:r w:rsidRPr="00AE4B81">
        <w:t>32.</w:t>
      </w:r>
      <w:r w:rsidRPr="00AE4B81">
        <w:tab/>
        <w:t>vyzýva členské štáty, aby zabezpečili, že zavedené systémy zberu údajov o rodovo motivovanom násilí budú zahŕňať zber, vypracovanie, tvorbu a šírenie štatistík o znásilnení, vrátane údajov rozčlenených okrem iného podľa pohlavia, vekovej skupiny (dieťa/dospelý), rasového a etnického pôvodu obete a páchateľa, ako aj podľa vzťahu medzi obeťou a páchateľom; žiada, aby inštitút EIGE a agentúra FRA podporovali proces monitorovania a ďalej prispievali k zberu údajov a výskumu všetkých foriem rodovo motivovaného násilia vrátane znásilnenia;</w:t>
      </w:r>
    </w:p>
    <w:p w:rsidR="00E805D2" w:rsidRPr="00AE4B81" w:rsidP="00E805D2" w14:paraId="07508F27" w14:textId="230EDC35">
      <w:pPr>
        <w:pStyle w:val="NormalHanging12a"/>
      </w:pPr>
      <w:r w:rsidRPr="00AE4B81">
        <w:t>33.</w:t>
      </w:r>
      <w:r w:rsidRPr="00AE4B81">
        <w:tab/>
        <w:t>poveruje svoju predsedníčku, aby postúpila toto uznesenie Rade a Komisii.</w:t>
      </w:r>
    </w:p>
    <w:p w:rsidR="00E365E1" w:rsidRPr="00AE4B81" w:rsidP="00082745" w14:paraId="1C788A8C" w14:textId="119BE59E"/>
    <w:sectPr w:rsidSect="00E805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05D2" w14:paraId="5F69444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05D2" w14:paraId="2D2989B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05D2" w14:paraId="08E61BA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82745" w:rsidRPr="00E805D2" w14:paraId="48B1E4C0" w14:textId="77777777">
      <w:r w:rsidRPr="00E805D2">
        <w:separator/>
      </w:r>
    </w:p>
  </w:footnote>
  <w:footnote w:type="continuationSeparator" w:id="1">
    <w:p w:rsidR="00082745" w:rsidRPr="00E805D2" w14:paraId="2EF2B5F7" w14:textId="77777777">
      <w:r w:rsidRPr="00E805D2">
        <w:continuationSeparator/>
      </w:r>
    </w:p>
  </w:footnote>
  <w:footnote w:id="2">
    <w:p w:rsidR="002E0C27" w:rsidRPr="00E805D2" w:rsidP="00E805D2" w14:paraId="187A2716" w14:textId="4B53CF57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Ú. v. EÚ L, 2024/1385, 24.5.2024, ELI: </w:t>
      </w:r>
      <w:hyperlink r:id="rId1" w:history="1">
        <w:r w:rsidRPr="002917A4">
          <w:rPr>
            <w:rStyle w:val="Hyperlink"/>
            <w:sz w:val="24"/>
            <w:lang w:val="sk-SK"/>
          </w:rPr>
          <w:t>http://data.europa.eu/eli/dir/2024/1385/oj</w:t>
        </w:r>
      </w:hyperlink>
      <w:r w:rsidRPr="00E805D2">
        <w:rPr>
          <w:sz w:val="24"/>
          <w:lang w:val="sk-SK"/>
        </w:rPr>
        <w:t>.</w:t>
      </w:r>
    </w:p>
  </w:footnote>
  <w:footnote w:id="3">
    <w:p w:rsidR="002E0C27" w:rsidRPr="00E805D2" w:rsidP="00E805D2" w14:paraId="213A2394" w14:textId="397764E8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2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Ú. v. EÚ L 315, 14.11.2012, s. 57, ELI: </w:t>
      </w:r>
      <w:hyperlink r:id="rId2" w:history="1">
        <w:r w:rsidRPr="002917A4">
          <w:rPr>
            <w:rStyle w:val="Hyperlink"/>
            <w:sz w:val="24"/>
            <w:lang w:val="sk-SK"/>
          </w:rPr>
          <w:t>http://data.europa.eu/eli/dir/2012/29/oj</w:t>
        </w:r>
      </w:hyperlink>
      <w:r w:rsidRPr="00E805D2">
        <w:rPr>
          <w:sz w:val="24"/>
          <w:lang w:val="sk-SK"/>
        </w:rPr>
        <w:t>.</w:t>
      </w:r>
    </w:p>
  </w:footnote>
  <w:footnote w:id="4">
    <w:p w:rsidR="002E0C27" w:rsidRPr="00E805D2" w:rsidP="00E805D2" w14:paraId="4E739B2A" w14:textId="2A5C0B84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3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Prijaté texty, P10_TA(2025)0116.</w:t>
      </w:r>
    </w:p>
  </w:footnote>
  <w:footnote w:id="5">
    <w:p w:rsidR="002E0C27" w:rsidRPr="00E805D2" w:rsidP="00E805D2" w14:paraId="44146F27" w14:textId="37C86F02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4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Ú. v. EÚ C 117, 11.3.2022, s. 88.</w:t>
      </w:r>
    </w:p>
  </w:footnote>
  <w:footnote w:id="6">
    <w:p w:rsidR="002E0C27" w:rsidRPr="00E805D2" w:rsidP="00E805D2" w14:paraId="5EF8FD4A" w14:textId="778F5BFC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5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Ú. v. EÚ C 283, 11.8.2023, s. 149.</w:t>
      </w:r>
    </w:p>
  </w:footnote>
  <w:footnote w:id="7">
    <w:p w:rsidR="002E0C27" w:rsidRPr="00E805D2" w:rsidP="00E805D2" w14:paraId="1119DCB9" w14:textId="20F659BD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6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FRA, EIGE a </w:t>
      </w:r>
      <w:r w:rsidRPr="00E805D2">
        <w:rPr>
          <w:sz w:val="24"/>
          <w:lang w:val="sk-SK"/>
        </w:rPr>
        <w:t>Eurostat</w:t>
      </w:r>
      <w:r w:rsidRPr="00E805D2">
        <w:rPr>
          <w:sz w:val="24"/>
          <w:lang w:val="sk-SK"/>
        </w:rPr>
        <w:t xml:space="preserve">, </w:t>
      </w:r>
      <w:r w:rsidRPr="00E805D2">
        <w:rPr>
          <w:i/>
          <w:sz w:val="24"/>
          <w:lang w:val="sk-SK"/>
        </w:rPr>
        <w:t xml:space="preserve">EU </w:t>
      </w:r>
      <w:r w:rsidRPr="00E805D2">
        <w:rPr>
          <w:i/>
          <w:sz w:val="24"/>
          <w:lang w:val="sk-SK"/>
        </w:rPr>
        <w:t>gender-based</w:t>
      </w:r>
      <w:r w:rsidRPr="00E805D2">
        <w:rPr>
          <w:i/>
          <w:sz w:val="24"/>
          <w:lang w:val="sk-SK"/>
        </w:rPr>
        <w:t xml:space="preserve"> </w:t>
      </w:r>
      <w:r w:rsidRPr="00E805D2">
        <w:rPr>
          <w:i/>
          <w:sz w:val="24"/>
          <w:lang w:val="sk-SK"/>
        </w:rPr>
        <w:t>violence</w:t>
      </w:r>
      <w:r w:rsidRPr="00E805D2">
        <w:rPr>
          <w:i/>
          <w:sz w:val="24"/>
          <w:lang w:val="sk-SK"/>
        </w:rPr>
        <w:t xml:space="preserve"> </w:t>
      </w:r>
      <w:r w:rsidRPr="00E805D2">
        <w:rPr>
          <w:i/>
          <w:sz w:val="24"/>
          <w:lang w:val="sk-SK"/>
        </w:rPr>
        <w:t>survey</w:t>
      </w:r>
      <w:r w:rsidRPr="00E805D2">
        <w:rPr>
          <w:i/>
          <w:sz w:val="24"/>
          <w:lang w:val="sk-SK"/>
        </w:rPr>
        <w:t xml:space="preserve"> – </w:t>
      </w:r>
      <w:r w:rsidRPr="00E805D2">
        <w:rPr>
          <w:i/>
          <w:sz w:val="24"/>
          <w:lang w:val="sk-SK"/>
        </w:rPr>
        <w:t>Key</w:t>
      </w:r>
      <w:r w:rsidRPr="00E805D2">
        <w:rPr>
          <w:i/>
          <w:sz w:val="24"/>
          <w:lang w:val="sk-SK"/>
        </w:rPr>
        <w:t xml:space="preserve"> </w:t>
      </w:r>
      <w:r w:rsidRPr="00E805D2">
        <w:rPr>
          <w:i/>
          <w:sz w:val="24"/>
          <w:lang w:val="sk-SK"/>
        </w:rPr>
        <w:t>results</w:t>
      </w:r>
      <w:r w:rsidRPr="00E805D2">
        <w:rPr>
          <w:sz w:val="24"/>
          <w:lang w:val="sk-SK"/>
        </w:rPr>
        <w:t>:</w:t>
      </w:r>
      <w:r w:rsidRPr="00E805D2">
        <w:rPr>
          <w:i/>
          <w:sz w:val="24"/>
          <w:lang w:val="sk-SK"/>
        </w:rPr>
        <w:t xml:space="preserve"> </w:t>
      </w:r>
      <w:r w:rsidRPr="00E805D2">
        <w:rPr>
          <w:i/>
          <w:sz w:val="24"/>
          <w:lang w:val="sk-SK"/>
        </w:rPr>
        <w:t>Experiences</w:t>
      </w:r>
      <w:r w:rsidRPr="00E805D2">
        <w:rPr>
          <w:i/>
          <w:sz w:val="24"/>
          <w:lang w:val="sk-SK"/>
        </w:rPr>
        <w:t xml:space="preserve"> of </w:t>
      </w:r>
      <w:r w:rsidRPr="00E805D2">
        <w:rPr>
          <w:i/>
          <w:sz w:val="24"/>
          <w:lang w:val="sk-SK"/>
        </w:rPr>
        <w:t>women</w:t>
      </w:r>
      <w:r w:rsidRPr="00E805D2">
        <w:rPr>
          <w:i/>
          <w:sz w:val="24"/>
          <w:lang w:val="sk-SK"/>
        </w:rPr>
        <w:t xml:space="preserve"> in </w:t>
      </w:r>
      <w:r w:rsidRPr="00E805D2">
        <w:rPr>
          <w:i/>
          <w:sz w:val="24"/>
          <w:lang w:val="sk-SK"/>
        </w:rPr>
        <w:t>the</w:t>
      </w:r>
      <w:r w:rsidRPr="00E805D2">
        <w:rPr>
          <w:i/>
          <w:sz w:val="24"/>
          <w:lang w:val="sk-SK"/>
        </w:rPr>
        <w:t xml:space="preserve"> EU-27</w:t>
      </w:r>
      <w:r w:rsidRPr="00E805D2">
        <w:rPr>
          <w:sz w:val="24"/>
          <w:lang w:val="sk-SK"/>
        </w:rPr>
        <w:t xml:space="preserve"> (Prieskum EÚ o rodovo motivovanom násilí – kľúčové výsledky: Skúsenosti žien v EÚ27), Úrad pre vydávanie publikácií Európskej únie, Luxemburg 2024, s. 14.</w:t>
      </w:r>
    </w:p>
  </w:footnote>
  <w:footnote w:id="8">
    <w:p w:rsidR="002E0C27" w:rsidRPr="00E805D2" w:rsidP="00E805D2" w14:paraId="28355AB5" w14:textId="3C288F68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7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Agentúra FRA, Správa o základných právach 2025, Úrad pre vydávanie publikácií Európskej únie, Luxemburg, 2025, s. 77.</w:t>
      </w:r>
    </w:p>
  </w:footnote>
  <w:footnote w:id="9">
    <w:p w:rsidR="002E0C27" w:rsidRPr="00E805D2" w:rsidP="00E805D2" w14:paraId="21E59FC2" w14:textId="0C249683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8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FRA a EIGE, </w:t>
      </w:r>
      <w:r w:rsidRPr="00E805D2">
        <w:rPr>
          <w:sz w:val="24"/>
          <w:lang w:val="sk-SK"/>
        </w:rPr>
        <w:t>Violence</w:t>
      </w:r>
      <w:r w:rsidRPr="00E805D2">
        <w:rPr>
          <w:sz w:val="24"/>
          <w:lang w:val="sk-SK"/>
        </w:rPr>
        <w:t xml:space="preserve"> </w:t>
      </w:r>
      <w:r w:rsidRPr="00E805D2">
        <w:rPr>
          <w:sz w:val="24"/>
          <w:lang w:val="sk-SK"/>
        </w:rPr>
        <w:t>against</w:t>
      </w:r>
      <w:r w:rsidRPr="00E805D2">
        <w:rPr>
          <w:sz w:val="24"/>
          <w:lang w:val="sk-SK"/>
        </w:rPr>
        <w:t xml:space="preserve"> </w:t>
      </w:r>
      <w:r w:rsidRPr="00E805D2">
        <w:rPr>
          <w:sz w:val="24"/>
          <w:lang w:val="sk-SK"/>
        </w:rPr>
        <w:t>women</w:t>
      </w:r>
      <w:r w:rsidRPr="00E805D2">
        <w:rPr>
          <w:sz w:val="24"/>
          <w:lang w:val="sk-SK"/>
        </w:rPr>
        <w:t xml:space="preserve">: </w:t>
      </w:r>
      <w:r w:rsidRPr="00E805D2">
        <w:rPr>
          <w:sz w:val="24"/>
          <w:lang w:val="sk-SK"/>
        </w:rPr>
        <w:t>an</w:t>
      </w:r>
      <w:r w:rsidRPr="00E805D2">
        <w:rPr>
          <w:sz w:val="24"/>
          <w:lang w:val="sk-SK"/>
        </w:rPr>
        <w:t xml:space="preserve"> EU-</w:t>
      </w:r>
      <w:r w:rsidRPr="00E805D2">
        <w:rPr>
          <w:sz w:val="24"/>
          <w:lang w:val="sk-SK"/>
        </w:rPr>
        <w:t>wide</w:t>
      </w:r>
      <w:r w:rsidRPr="00E805D2">
        <w:rPr>
          <w:sz w:val="24"/>
          <w:lang w:val="sk-SK"/>
        </w:rPr>
        <w:t xml:space="preserve"> </w:t>
      </w:r>
      <w:r w:rsidRPr="00E805D2">
        <w:rPr>
          <w:sz w:val="24"/>
          <w:lang w:val="sk-SK"/>
        </w:rPr>
        <w:t>survey</w:t>
      </w:r>
      <w:r w:rsidRPr="00E805D2">
        <w:rPr>
          <w:sz w:val="24"/>
          <w:lang w:val="sk-SK"/>
        </w:rPr>
        <w:t xml:space="preserve"> – </w:t>
      </w:r>
      <w:r w:rsidRPr="00E805D2">
        <w:rPr>
          <w:sz w:val="24"/>
          <w:lang w:val="sk-SK"/>
        </w:rPr>
        <w:t>Results</w:t>
      </w:r>
      <w:r w:rsidRPr="00E805D2">
        <w:rPr>
          <w:sz w:val="24"/>
          <w:lang w:val="sk-SK"/>
        </w:rPr>
        <w:t xml:space="preserve"> at a </w:t>
      </w:r>
      <w:r w:rsidRPr="00E805D2">
        <w:rPr>
          <w:sz w:val="24"/>
          <w:lang w:val="sk-SK"/>
        </w:rPr>
        <w:t>glance</w:t>
      </w:r>
      <w:r w:rsidRPr="00E805D2">
        <w:rPr>
          <w:sz w:val="24"/>
          <w:lang w:val="sk-SK"/>
        </w:rPr>
        <w:t xml:space="preserve"> (Násilie páchané na ženách: </w:t>
      </w:r>
      <w:r w:rsidRPr="00E805D2">
        <w:rPr>
          <w:sz w:val="24"/>
          <w:lang w:val="sk-SK"/>
        </w:rPr>
        <w:t>celoúnijný</w:t>
      </w:r>
      <w:r w:rsidRPr="00E805D2">
        <w:rPr>
          <w:sz w:val="24"/>
          <w:lang w:val="sk-SK"/>
        </w:rPr>
        <w:t xml:space="preserve"> prieskum – výsledky v skratke), Úrad pre vydávanie publikácií Európskej únie, Luxemburg, 2014, s. 20.</w:t>
      </w:r>
    </w:p>
  </w:footnote>
  <w:footnote w:id="10">
    <w:p w:rsidR="002E0C27" w:rsidRPr="00E805D2" w:rsidP="00E805D2" w14:paraId="012E8C54" w14:textId="3B36DE91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9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Bulharsko, Česko, Litva, Maďarsko a Slovensko.</w:t>
      </w:r>
    </w:p>
  </w:footnote>
  <w:footnote w:id="11">
    <w:p w:rsidR="002E0C27" w:rsidRPr="00E805D2" w:rsidP="00E805D2" w14:paraId="71CA247D" w14:textId="3BC21EB1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10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Bulharsko a Česko.</w:t>
      </w:r>
    </w:p>
  </w:footnote>
  <w:footnote w:id="12">
    <w:p w:rsidR="002E0C27" w:rsidRPr="00E805D2" w:rsidP="00E805D2" w14:paraId="72E6D588" w14:textId="6F99D474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11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Rozsudok Európskeho súdu pre ľudské práva z 27. februára 2025, </w:t>
      </w:r>
      <w:r w:rsidRPr="00E6550C">
        <w:rPr>
          <w:iCs/>
          <w:sz w:val="24"/>
          <w:lang w:val="sk-SK"/>
        </w:rPr>
        <w:t>X</w:t>
      </w:r>
      <w:r w:rsidRPr="002917A4">
        <w:rPr>
          <w:iCs/>
          <w:sz w:val="24"/>
          <w:lang w:val="sk-SK"/>
        </w:rPr>
        <w:t>/</w:t>
      </w:r>
      <w:r w:rsidRPr="00E6550C">
        <w:rPr>
          <w:iCs/>
          <w:sz w:val="24"/>
          <w:lang w:val="sk-SK"/>
        </w:rPr>
        <w:t>Cyprus</w:t>
      </w:r>
      <w:r w:rsidRPr="00E805D2">
        <w:rPr>
          <w:sz w:val="24"/>
          <w:lang w:val="sk-SK"/>
        </w:rPr>
        <w:t>, žiadosť č. 40733/22.</w:t>
      </w:r>
    </w:p>
  </w:footnote>
  <w:footnote w:id="13">
    <w:p w:rsidR="002E0C27" w:rsidRPr="00E805D2" w:rsidP="00E805D2" w14:paraId="1C9AAD08" w14:textId="51D633ED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12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Rozsudok Európskeho súdu pre ľudské práva z 23. januára 2025, </w:t>
      </w:r>
      <w:r w:rsidRPr="00E6550C">
        <w:rPr>
          <w:iCs/>
          <w:sz w:val="24"/>
          <w:lang w:val="sk-SK"/>
        </w:rPr>
        <w:t>HW</w:t>
      </w:r>
      <w:r w:rsidRPr="002917A4">
        <w:rPr>
          <w:iCs/>
          <w:sz w:val="24"/>
          <w:lang w:val="sk-SK"/>
        </w:rPr>
        <w:t>/</w:t>
      </w:r>
      <w:r w:rsidRPr="00E6550C">
        <w:rPr>
          <w:iCs/>
          <w:sz w:val="24"/>
          <w:lang w:val="sk-SK"/>
        </w:rPr>
        <w:t>Francúzsko</w:t>
      </w:r>
      <w:r w:rsidRPr="00E805D2">
        <w:rPr>
          <w:sz w:val="24"/>
          <w:lang w:val="sk-SK"/>
        </w:rPr>
        <w:t>, žiadosť č. 13805/21.</w:t>
      </w:r>
    </w:p>
  </w:footnote>
  <w:footnote w:id="14">
    <w:p w:rsidR="002E0C27" w:rsidRPr="00E805D2" w:rsidP="00E805D2" w14:paraId="74ECD1A9" w14:textId="1CD58C4F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13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Rozsudok Európskeho súdu pre ľudské práva z 24. apríla 2025, </w:t>
      </w:r>
      <w:r w:rsidRPr="00E6550C">
        <w:rPr>
          <w:iCs/>
          <w:sz w:val="24"/>
          <w:lang w:val="sk-SK"/>
        </w:rPr>
        <w:t>L a iní</w:t>
      </w:r>
      <w:r w:rsidRPr="002917A4">
        <w:rPr>
          <w:iCs/>
          <w:sz w:val="24"/>
          <w:lang w:val="sk-SK"/>
        </w:rPr>
        <w:t>/</w:t>
      </w:r>
      <w:r w:rsidRPr="00E6550C">
        <w:rPr>
          <w:iCs/>
          <w:sz w:val="24"/>
          <w:lang w:val="sk-SK"/>
        </w:rPr>
        <w:t>Francúzsko</w:t>
      </w:r>
      <w:r w:rsidRPr="00E805D2">
        <w:rPr>
          <w:sz w:val="24"/>
          <w:lang w:val="sk-SK"/>
        </w:rPr>
        <w:t>, žiadosti č. 46949/21, 24989/22 a 39759/22.</w:t>
      </w:r>
    </w:p>
  </w:footnote>
  <w:footnote w:id="15">
    <w:p w:rsidR="002E0C27" w:rsidRPr="00E805D2" w:rsidP="00E805D2" w14:paraId="3C3444B8" w14:textId="58DF4E3E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14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Smernica Európskeho parlamentu a Rady 2011/93/EÚ z 13. decembra 2011 o boji proti sexuálnemu zneužívaniu a sexuálnemu vykorisťovaniu detí a proti detskej pornografii, ktorou sa nahrádza rámcové rozhodnutie Rady 2004/68/SVV (Ú. v. EÚ L 335, 17.12.2011, s. 1, ELI: </w:t>
      </w:r>
      <w:hyperlink r:id="rId3" w:tgtFrame="http://data.europa.eu/eli/dir/2011/93/oj)" w:history="1">
        <w:r w:rsidRPr="00E805D2">
          <w:rPr>
            <w:rStyle w:val="Hyperlink"/>
            <w:sz w:val="24"/>
            <w:lang w:val="sk-SK"/>
          </w:rPr>
          <w:t>http://data.europa.eu/eli/dir/2011/93/oj)</w:t>
        </w:r>
      </w:hyperlink>
      <w:r w:rsidRPr="00E805D2">
        <w:rPr>
          <w:sz w:val="24"/>
          <w:lang w:val="sk-SK"/>
        </w:rPr>
        <w:t>.</w:t>
      </w:r>
    </w:p>
  </w:footnote>
  <w:footnote w:id="16">
    <w:p w:rsidR="002E0C27" w:rsidRPr="00E805D2" w:rsidP="00E805D2" w14:paraId="3C3D184B" w14:textId="10BB9B38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15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Belgicko, Cyprus, Dánsko, Fínsko, Francúzsko, Grécko, Holandsko, Chorvátsko, Írsko, Luxembursko, Malta, Nemecko, Poľsko, Portugalsko, Rakúsko, Slovinsko, Španielsko a Švédsko.</w:t>
      </w:r>
    </w:p>
  </w:footnote>
  <w:footnote w:id="17">
    <w:p w:rsidR="002E0C27" w:rsidRPr="00E805D2" w:rsidP="00E805D2" w14:paraId="0ED9B9BC" w14:textId="5F797B40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16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>Čierna Hora, Island, Nórsko, Ukrajina a Spojené kráľovstvo.</w:t>
      </w:r>
    </w:p>
  </w:footnote>
  <w:footnote w:id="18">
    <w:p w:rsidR="002E0C27" w:rsidRPr="00E805D2" w:rsidP="00E805D2" w14:paraId="51B71585" w14:textId="32FCDAB8">
      <w:pPr>
        <w:pStyle w:val="FootnoteText"/>
        <w:ind w:left="567" w:hanging="567"/>
        <w:rPr>
          <w:sz w:val="24"/>
          <w:lang w:val="sk-SK"/>
        </w:rPr>
      </w:pPr>
      <w:r w:rsidRPr="00E805D2">
        <w:rPr>
          <w:sz w:val="24"/>
          <w:vertAlign w:val="superscript"/>
          <w:lang w:val="sk-SK"/>
        </w:rPr>
        <w:t>17</w:t>
      </w:r>
      <w:r w:rsidRPr="00E805D2" w:rsidR="00E805D2">
        <w:rPr>
          <w:sz w:val="24"/>
          <w:vertAlign w:val="superscript"/>
          <w:lang w:val="sk-SK"/>
        </w:rPr>
        <w:t xml:space="preserve"> </w:t>
      </w:r>
      <w:r w:rsidRPr="00E805D2" w:rsidR="00E805D2">
        <w:rPr>
          <w:sz w:val="24"/>
          <w:vertAlign w:val="superscript"/>
          <w:lang w:val="sk-SK"/>
        </w:rPr>
        <w:tab/>
      </w:r>
      <w:r w:rsidRPr="00E805D2">
        <w:rPr>
          <w:sz w:val="24"/>
          <w:lang w:val="sk-SK"/>
        </w:rPr>
        <w:t xml:space="preserve">Rada Európy, vec </w:t>
      </w:r>
      <w:r w:rsidRPr="00E6550C">
        <w:rPr>
          <w:iCs/>
          <w:sz w:val="24"/>
          <w:lang w:val="sk-SK"/>
        </w:rPr>
        <w:t xml:space="preserve">L. a iní/ Francúzsko: </w:t>
      </w:r>
      <w:r w:rsidRPr="00E6550C">
        <w:rPr>
          <w:iCs/>
          <w:sz w:val="24"/>
          <w:lang w:val="sk-SK"/>
        </w:rPr>
        <w:t>criminal-law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system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inadequate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for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the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punishment</w:t>
      </w:r>
      <w:r w:rsidRPr="00E6550C">
        <w:rPr>
          <w:iCs/>
          <w:sz w:val="24"/>
          <w:lang w:val="sk-SK"/>
        </w:rPr>
        <w:t xml:space="preserve"> of </w:t>
      </w:r>
      <w:r w:rsidRPr="00E6550C">
        <w:rPr>
          <w:iCs/>
          <w:sz w:val="24"/>
          <w:lang w:val="sk-SK"/>
        </w:rPr>
        <w:t>all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non-consensual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sexual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acts</w:t>
      </w:r>
      <w:r w:rsidRPr="00E6550C">
        <w:rPr>
          <w:iCs/>
          <w:sz w:val="24"/>
          <w:lang w:val="sk-SK"/>
        </w:rPr>
        <w:t xml:space="preserve">, </w:t>
      </w:r>
      <w:r w:rsidRPr="00E6550C">
        <w:rPr>
          <w:iCs/>
          <w:sz w:val="24"/>
          <w:lang w:val="sk-SK"/>
        </w:rPr>
        <w:t>exposing</w:t>
      </w:r>
      <w:r w:rsidRPr="00E6550C">
        <w:rPr>
          <w:iCs/>
          <w:sz w:val="24"/>
          <w:lang w:val="sk-SK"/>
        </w:rPr>
        <w:t xml:space="preserve"> rape </w:t>
      </w:r>
      <w:r w:rsidRPr="00E6550C">
        <w:rPr>
          <w:iCs/>
          <w:sz w:val="24"/>
          <w:lang w:val="sk-SK"/>
        </w:rPr>
        <w:t>victim</w:t>
      </w:r>
      <w:r w:rsidRPr="00E6550C">
        <w:rPr>
          <w:iCs/>
          <w:sz w:val="24"/>
          <w:lang w:val="sk-SK"/>
        </w:rPr>
        <w:t xml:space="preserve"> to </w:t>
      </w:r>
      <w:r w:rsidRPr="00E6550C">
        <w:rPr>
          <w:iCs/>
          <w:sz w:val="24"/>
          <w:lang w:val="sk-SK"/>
        </w:rPr>
        <w:t>secondary</w:t>
      </w:r>
      <w:r w:rsidRPr="00E6550C">
        <w:rPr>
          <w:iCs/>
          <w:sz w:val="24"/>
          <w:lang w:val="sk-SK"/>
        </w:rPr>
        <w:t xml:space="preserve"> </w:t>
      </w:r>
      <w:r w:rsidRPr="00E6550C">
        <w:rPr>
          <w:iCs/>
          <w:sz w:val="24"/>
          <w:lang w:val="sk-SK"/>
        </w:rPr>
        <w:t>victimisation</w:t>
      </w:r>
      <w:r w:rsidRPr="002917A4">
        <w:rPr>
          <w:iCs/>
          <w:sz w:val="24"/>
          <w:lang w:val="sk-SK"/>
        </w:rPr>
        <w:t xml:space="preserve"> </w:t>
      </w:r>
      <w:r w:rsidRPr="00E805D2">
        <w:rPr>
          <w:sz w:val="24"/>
          <w:lang w:val="sk-SK"/>
        </w:rPr>
        <w:t xml:space="preserve">(trestnoprávny systém nedostatočný na trestanie všetkých sexuálnych činov bez súhlasu, vystavenie obete znásilnenia sekundárnej </w:t>
      </w:r>
      <w:r w:rsidRPr="00E805D2">
        <w:rPr>
          <w:sz w:val="24"/>
          <w:lang w:val="sk-SK"/>
        </w:rPr>
        <w:t>viktimizácii</w:t>
      </w:r>
      <w:r w:rsidRPr="00E805D2">
        <w:rPr>
          <w:sz w:val="24"/>
          <w:lang w:val="sk-SK"/>
        </w:rPr>
        <w:t>), spravodajský článok Rada Európy, Štrasburg, Francúzsko, 24. apríla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05D2" w14:paraId="53DDB07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05D2" w14:paraId="3722784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05D2" w14:paraId="20A4F55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8278059">
    <w:abstractNumId w:val="9"/>
  </w:num>
  <w:num w:numId="2" w16cid:durableId="1964994290">
    <w:abstractNumId w:val="9"/>
  </w:num>
  <w:num w:numId="3" w16cid:durableId="82535605">
    <w:abstractNumId w:val="7"/>
  </w:num>
  <w:num w:numId="4" w16cid:durableId="1859150025">
    <w:abstractNumId w:val="7"/>
  </w:num>
  <w:num w:numId="5" w16cid:durableId="2147315807">
    <w:abstractNumId w:val="6"/>
  </w:num>
  <w:num w:numId="6" w16cid:durableId="277880270">
    <w:abstractNumId w:val="6"/>
  </w:num>
  <w:num w:numId="7" w16cid:durableId="1245261439">
    <w:abstractNumId w:val="5"/>
  </w:num>
  <w:num w:numId="8" w16cid:durableId="1978951725">
    <w:abstractNumId w:val="5"/>
  </w:num>
  <w:num w:numId="9" w16cid:durableId="408960486">
    <w:abstractNumId w:val="4"/>
  </w:num>
  <w:num w:numId="10" w16cid:durableId="557278142">
    <w:abstractNumId w:val="4"/>
  </w:num>
  <w:num w:numId="11" w16cid:durableId="1325859169">
    <w:abstractNumId w:val="8"/>
  </w:num>
  <w:num w:numId="12" w16cid:durableId="1694921573">
    <w:abstractNumId w:val="8"/>
  </w:num>
  <w:num w:numId="13" w16cid:durableId="372652212">
    <w:abstractNumId w:val="3"/>
  </w:num>
  <w:num w:numId="14" w16cid:durableId="377752620">
    <w:abstractNumId w:val="3"/>
  </w:num>
  <w:num w:numId="15" w16cid:durableId="1536695099">
    <w:abstractNumId w:val="2"/>
  </w:num>
  <w:num w:numId="16" w16cid:durableId="358628507">
    <w:abstractNumId w:val="2"/>
  </w:num>
  <w:num w:numId="17" w16cid:durableId="1227305136">
    <w:abstractNumId w:val="1"/>
  </w:num>
  <w:num w:numId="18" w16cid:durableId="1867862945">
    <w:abstractNumId w:val="1"/>
  </w:num>
  <w:num w:numId="19" w16cid:durableId="1433478381">
    <w:abstractNumId w:val="0"/>
  </w:num>
  <w:num w:numId="20" w16cid:durableId="1181897233">
    <w:abstractNumId w:val="0"/>
  </w:num>
  <w:num w:numId="21" w16cid:durableId="212691022">
    <w:abstractNumId w:val="9"/>
  </w:num>
  <w:num w:numId="22" w16cid:durableId="1823544550">
    <w:abstractNumId w:val="7"/>
  </w:num>
  <w:num w:numId="23" w16cid:durableId="1367175918">
    <w:abstractNumId w:val="6"/>
  </w:num>
  <w:num w:numId="24" w16cid:durableId="1747872606">
    <w:abstractNumId w:val="5"/>
  </w:num>
  <w:num w:numId="25" w16cid:durableId="109402063">
    <w:abstractNumId w:val="4"/>
  </w:num>
  <w:num w:numId="26" w16cid:durableId="274599144">
    <w:abstractNumId w:val="8"/>
  </w:num>
  <w:num w:numId="27" w16cid:durableId="1943687503">
    <w:abstractNumId w:val="3"/>
  </w:num>
  <w:num w:numId="28" w16cid:durableId="1712612366">
    <w:abstractNumId w:val="2"/>
  </w:num>
  <w:num w:numId="29" w16cid:durableId="786043758">
    <w:abstractNumId w:val="1"/>
  </w:num>
  <w:num w:numId="30" w16cid:durableId="285433007">
    <w:abstractNumId w:val="0"/>
  </w:num>
  <w:num w:numId="31" w16cid:durableId="630019822">
    <w:abstractNumId w:val="9"/>
  </w:num>
  <w:num w:numId="32" w16cid:durableId="1434741973">
    <w:abstractNumId w:val="7"/>
  </w:num>
  <w:num w:numId="33" w16cid:durableId="1118597064">
    <w:abstractNumId w:val="6"/>
  </w:num>
  <w:num w:numId="34" w16cid:durableId="294601975">
    <w:abstractNumId w:val="5"/>
  </w:num>
  <w:num w:numId="35" w16cid:durableId="1376392410">
    <w:abstractNumId w:val="4"/>
  </w:num>
  <w:num w:numId="36" w16cid:durableId="1119687220">
    <w:abstractNumId w:val="8"/>
  </w:num>
  <w:num w:numId="37" w16cid:durableId="392237226">
    <w:abstractNumId w:val="3"/>
  </w:num>
  <w:num w:numId="38" w16cid:durableId="1217595020">
    <w:abstractNumId w:val="2"/>
  </w:num>
  <w:num w:numId="39" w16cid:durableId="867913598">
    <w:abstractNumId w:val="1"/>
  </w:num>
  <w:num w:numId="40" w16cid:durableId="1174686174">
    <w:abstractNumId w:val="0"/>
  </w:num>
  <w:num w:numId="41" w16cid:durableId="1443768049">
    <w:abstractNumId w:val="10"/>
  </w:num>
  <w:num w:numId="42" w16cid:durableId="2076463050">
    <w:abstractNumId w:val="10"/>
  </w:num>
  <w:num w:numId="43" w16cid:durableId="1941327742">
    <w:abstractNumId w:val="10"/>
  </w:num>
  <w:num w:numId="44" w16cid:durableId="807940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45"/>
    <w:rsid w:val="00002272"/>
    <w:rsid w:val="00032909"/>
    <w:rsid w:val="00064002"/>
    <w:rsid w:val="0006673B"/>
    <w:rsid w:val="000677B9"/>
    <w:rsid w:val="00082745"/>
    <w:rsid w:val="000831BA"/>
    <w:rsid w:val="000A42CC"/>
    <w:rsid w:val="000E7DD9"/>
    <w:rsid w:val="0010095E"/>
    <w:rsid w:val="00125B37"/>
    <w:rsid w:val="00187494"/>
    <w:rsid w:val="001A6B23"/>
    <w:rsid w:val="001F32AE"/>
    <w:rsid w:val="002767FF"/>
    <w:rsid w:val="002917A4"/>
    <w:rsid w:val="002B18FE"/>
    <w:rsid w:val="002B5493"/>
    <w:rsid w:val="002E0C2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D82"/>
    <w:rsid w:val="00545827"/>
    <w:rsid w:val="00560270"/>
    <w:rsid w:val="005C2568"/>
    <w:rsid w:val="005D78BC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C3A"/>
    <w:rsid w:val="007D1690"/>
    <w:rsid w:val="007E22AD"/>
    <w:rsid w:val="00817416"/>
    <w:rsid w:val="00842779"/>
    <w:rsid w:val="00865F67"/>
    <w:rsid w:val="00881A7B"/>
    <w:rsid w:val="008840E5"/>
    <w:rsid w:val="00887B3E"/>
    <w:rsid w:val="00890F2B"/>
    <w:rsid w:val="008A2805"/>
    <w:rsid w:val="008C2AC6"/>
    <w:rsid w:val="00930C23"/>
    <w:rsid w:val="0093193B"/>
    <w:rsid w:val="009509D8"/>
    <w:rsid w:val="00950B64"/>
    <w:rsid w:val="00981893"/>
    <w:rsid w:val="00A1687D"/>
    <w:rsid w:val="00A24E05"/>
    <w:rsid w:val="00A43E52"/>
    <w:rsid w:val="00A4678D"/>
    <w:rsid w:val="00A778C7"/>
    <w:rsid w:val="00AB2216"/>
    <w:rsid w:val="00AB441E"/>
    <w:rsid w:val="00AB6293"/>
    <w:rsid w:val="00AE0928"/>
    <w:rsid w:val="00AE4B81"/>
    <w:rsid w:val="00AF3B82"/>
    <w:rsid w:val="00B12E95"/>
    <w:rsid w:val="00B22876"/>
    <w:rsid w:val="00B558F0"/>
    <w:rsid w:val="00BD48FE"/>
    <w:rsid w:val="00BD7BD8"/>
    <w:rsid w:val="00BE6ADC"/>
    <w:rsid w:val="00C05BFE"/>
    <w:rsid w:val="00C07DE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ECE"/>
    <w:rsid w:val="00DF7102"/>
    <w:rsid w:val="00E365E1"/>
    <w:rsid w:val="00E50C62"/>
    <w:rsid w:val="00E6550C"/>
    <w:rsid w:val="00E805D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47/2026"/>
    <w:docVar w:name="dvlangue" w:val="SK"/>
    <w:docVar w:name="dvnumam" w:val="0"/>
    <w:docVar w:name="dvpe" w:val="774.376"/>
    <w:docVar w:name="dvrapporteur" w:val="Spravodajcovia: "/>
    <w:docVar w:name="dvtitre" w:val="Uznesenie Európskeho parlamentu z/zo xx. xxx 2026 o význame právnych predpisov o trestnom čine znásilnenia založených na súhlase v EÚ(2025/204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E2BD27"/>
  <w15:chartTrackingRefBased/>
  <w15:docId w15:val="{DB2270CD-30C9-41DB-8249-C51B2ECD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E0C2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2E0C27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2E0C27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rsid w:val="002E0C27"/>
    <w:rPr>
      <w:color w:val="0000FF"/>
      <w:u w:val="single"/>
    </w:rPr>
  </w:style>
  <w:style w:type="paragraph" w:styleId="Revision">
    <w:name w:val="Revision"/>
    <w:hidden/>
    <w:uiPriority w:val="99"/>
    <w:semiHidden/>
    <w:rsid w:val="002917A4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291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385/oj" TargetMode="External" /><Relationship Id="rId2" Type="http://schemas.openxmlformats.org/officeDocument/2006/relationships/hyperlink" Target="http://data.europa.eu/eli/dir/2012/29/oj" TargetMode="External" /><Relationship Id="rId3" Type="http://schemas.openxmlformats.org/officeDocument/2006/relationships/hyperlink" Target="http://data.europa.eu/eli/dir/2011/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7709</Words>
  <Characters>47944</Characters>
  <Application>Microsoft Office Word</Application>
  <DocSecurity>0</DocSecurity>
  <Lines>1498</Lines>
  <Paragraphs>1011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2026-06-05T08:28:00Z</dcterms:created>
  <dcterms:modified xsi:type="dcterms:W3CDTF">2026-06-05T08:28:00Z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A10-0047/2026</vt:lpwstr>
  </property>
  <property fmtid="{D5CDD505-2E9C-101B-9397-08002B2CF9AE}" pid="4" name="&lt;Type&gt;">
    <vt:lpwstr>RR</vt:lpwstr>
  </property>
</Properties>
</file>