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F0A83A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15239D" w:rsidP="0010095E" w14:paraId="30BCA2C2" w14:textId="77777777">
            <w:pPr>
              <w:pStyle w:val="EPName"/>
            </w:pPr>
            <w:r>
              <w:t>47</w:t>
            </w:r>
          </w:p>
          <w:p w:rsidR="00751A4A" w:rsidRPr="007257AE" w:rsidP="0010095E" w14:paraId="2A7F3EEC" w14:textId="7BC0DBC9">
            <w:pPr>
              <w:pStyle w:val="EPName"/>
            </w:pPr>
            <w:r w:rsidRPr="007257AE">
              <w:t>Evropský parlament</w:t>
            </w:r>
          </w:p>
          <w:p w:rsidR="00751A4A" w:rsidRPr="007257AE" w:rsidP="005F1B17" w14:paraId="6E9D9A5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57AE">
              <w:t>2024</w:t>
            </w:r>
            <w:r w:rsidRPr="007257AE" w:rsidR="00817416">
              <w:t>-202</w:t>
            </w:r>
            <w:r w:rsidRPr="007257A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257AE" w:rsidP="0010095E" w14:paraId="2F377EDC" w14:textId="77777777">
            <w:pPr>
              <w:pStyle w:val="EPLogo"/>
            </w:pPr>
            <w:r w:rsidRPr="007257A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57AE" w:rsidP="004C5D52" w14:paraId="516A882C" w14:textId="77777777">
      <w:pPr>
        <w:pStyle w:val="LineTop"/>
      </w:pPr>
    </w:p>
    <w:p w:rsidR="00680577" w:rsidRPr="007257AE" w:rsidP="00680577" w14:paraId="7EF6D16E" w14:textId="77777777">
      <w:pPr>
        <w:pStyle w:val="EPBodyTA1"/>
      </w:pPr>
      <w:r w:rsidRPr="007257AE">
        <w:t>PŘIJATÉ TEXTY</w:t>
      </w:r>
    </w:p>
    <w:p w:rsidR="00D058B8" w:rsidRPr="007257AE" w:rsidP="00D058B8" w14:paraId="5DCD53CF" w14:textId="77777777">
      <w:pPr>
        <w:pStyle w:val="LineBottom"/>
      </w:pPr>
    </w:p>
    <w:p w:rsidR="006859B2" w:rsidRPr="007257AE" w:rsidP="006859B2" w14:paraId="291506F0" w14:textId="65289AF9">
      <w:pPr>
        <w:pStyle w:val="ATHeading1"/>
      </w:pPr>
      <w:bookmarkStart w:id="0" w:name="TANumber"/>
      <w:r w:rsidRPr="007257AE">
        <w:t>P10_TA(2026)0</w:t>
      </w:r>
      <w:bookmarkEnd w:id="0"/>
      <w:r w:rsidR="00194AF8">
        <w:t>121</w:t>
      </w:r>
    </w:p>
    <w:p w:rsidR="006859B2" w:rsidRPr="007257AE" w:rsidP="006859B2" w14:paraId="26B7FDC1" w14:textId="0A46C54E">
      <w:pPr>
        <w:pStyle w:val="ATHeading2"/>
      </w:pPr>
      <w:r w:rsidRPr="007354BD">
        <w:t>Úloha diplomatické činnosti týkající se oceánů pro konkurenceschopnost rybolovu a akvakultury v EU</w:t>
      </w:r>
    </w:p>
    <w:p w:rsidR="006859B2" w:rsidRPr="007257AE" w:rsidP="006859B2" w14:paraId="7B8EA369" w14:textId="77777777">
      <w:pPr>
        <w:rPr>
          <w:i/>
          <w:vanish/>
        </w:rPr>
      </w:pPr>
      <w:r>
        <w:rPr>
          <w:i/>
        </w:rPr>
        <w:fldChar w:fldCharType="begin"/>
      </w:r>
      <w:r w:rsidRPr="007257AE">
        <w:rPr>
          <w:i/>
        </w:rPr>
        <w:instrText xml:space="preserve"> TC"(</w:instrText>
      </w:r>
      <w:bookmarkStart w:id="1" w:name="DocNumber"/>
      <w:r w:rsidRPr="007257AE">
        <w:rPr>
          <w:i/>
        </w:rPr>
        <w:instrText>A10-0043/2026</w:instrText>
      </w:r>
      <w:bookmarkEnd w:id="1"/>
      <w:r w:rsidRPr="007257AE">
        <w:rPr>
          <w:i/>
        </w:rPr>
        <w:instrText xml:space="preserve"> - Zpravodajka: Željana Zovko)"\l3 \n&gt; \* MERGEFORMAT </w:instrText>
      </w:r>
      <w:r>
        <w:rPr>
          <w:i/>
        </w:rPr>
        <w:fldChar w:fldCharType="end"/>
      </w:r>
    </w:p>
    <w:p w:rsidR="006859B2" w:rsidRPr="007257AE" w:rsidP="006859B2" w14:paraId="2A1FEC3B" w14:textId="77777777">
      <w:pPr>
        <w:rPr>
          <w:vanish/>
        </w:rPr>
      </w:pPr>
      <w:bookmarkStart w:id="2" w:name="Commission"/>
      <w:r w:rsidRPr="007257AE">
        <w:rPr>
          <w:vanish/>
        </w:rPr>
        <w:t>Výbor pro rybolov</w:t>
      </w:r>
      <w:bookmarkEnd w:id="2"/>
    </w:p>
    <w:p w:rsidR="006859B2" w:rsidRPr="007257AE" w:rsidP="006859B2" w14:paraId="25B65B4B" w14:textId="77777777">
      <w:pPr>
        <w:rPr>
          <w:vanish/>
        </w:rPr>
      </w:pPr>
      <w:bookmarkStart w:id="3" w:name="PE"/>
      <w:r w:rsidRPr="007257AE">
        <w:rPr>
          <w:vanish/>
        </w:rPr>
        <w:t>PE777.039</w:t>
      </w:r>
      <w:bookmarkEnd w:id="3"/>
    </w:p>
    <w:p w:rsidR="006859B2" w:rsidRPr="007257AE" w:rsidP="006859B2" w14:paraId="5FD90723" w14:textId="512CA92D">
      <w:pPr>
        <w:pStyle w:val="ATHeading3"/>
      </w:pPr>
      <w:bookmarkStart w:id="4" w:name="Sujet"/>
      <w:r w:rsidRPr="007257AE">
        <w:t>Usnesení Evropského parlamentu ze dne</w:t>
      </w:r>
      <w:r w:rsidR="007354BD">
        <w:t xml:space="preserve"> </w:t>
      </w:r>
      <w:r w:rsidR="008D28B9">
        <w:t>28</w:t>
      </w:r>
      <w:r w:rsidR="007354BD">
        <w:t>. dubna</w:t>
      </w:r>
      <w:r w:rsidRPr="007257AE">
        <w:t xml:space="preserve"> 2026 o úloze diplomatické činnosti týkající se oceánů pro konkurenceschopnost rybolovu a akvakultury v EU</w:t>
      </w:r>
      <w:bookmarkEnd w:id="4"/>
      <w:r w:rsidRPr="007257AE">
        <w:t xml:space="preserve"> </w:t>
      </w:r>
      <w:bookmarkStart w:id="5" w:name="References"/>
      <w:r w:rsidRPr="007257AE">
        <w:t>(2025/2054(INI))</w:t>
      </w:r>
      <w:bookmarkEnd w:id="5"/>
    </w:p>
    <w:p w:rsidR="001E5D78" w:rsidRPr="007257AE" w:rsidP="001E5D78" w14:paraId="63B92974" w14:textId="77777777">
      <w:pPr>
        <w:pStyle w:val="NormalHanging12a"/>
      </w:pPr>
      <w:r w:rsidRPr="007257AE">
        <w:rPr>
          <w:i/>
        </w:rPr>
        <w:t>Evropský parlament,</w:t>
      </w:r>
    </w:p>
    <w:p w:rsidR="001E5D78" w:rsidRPr="007257AE" w:rsidP="001E5D78" w14:paraId="51782134" w14:textId="77777777">
      <w:pPr>
        <w:pStyle w:val="NormalHanging12a"/>
      </w:pPr>
      <w:r w:rsidRPr="007257AE">
        <w:t>–</w:t>
      </w:r>
      <w:r w:rsidRPr="007257AE">
        <w:tab/>
        <w:t>s ohledem na Smlouvu o fungování Evropské unie, a zejména na článek 2, čl. 3. odst. 5, článek 43, 349 a 355 této smlouvy,</w:t>
      </w:r>
    </w:p>
    <w:p w:rsidR="001E5D78" w:rsidRPr="007257AE" w:rsidP="001E5D78" w14:paraId="089EAE79" w14:textId="77777777">
      <w:pPr>
        <w:pStyle w:val="NormalHanging12a"/>
      </w:pPr>
      <w:r w:rsidRPr="007257AE">
        <w:t>–</w:t>
      </w:r>
      <w:r w:rsidRPr="007257AE">
        <w:tab/>
        <w:t>s ohledem na společnou rybářskou politiku EU a její vnější rozměr,</w:t>
      </w:r>
    </w:p>
    <w:p w:rsidR="001E5D78" w:rsidRPr="007257AE" w:rsidP="001E5D78" w14:paraId="4A97FE9F" w14:textId="77777777">
      <w:pPr>
        <w:pStyle w:val="NormalHanging12a"/>
      </w:pPr>
      <w:r w:rsidRPr="007257AE">
        <w:t>–</w:t>
      </w:r>
      <w:r w:rsidRPr="007257AE">
        <w:tab/>
        <w:t>s ohledem na Dohodu o provedení ustanovení Úmluvy Organizace spojených národů o mořském právu ze dne 10. prosince 1982 o zachování a řízení tažných populací ryb a vysoce stěhovavých rybích populací,</w:t>
      </w:r>
    </w:p>
    <w:p w:rsidR="001E5D78" w:rsidRPr="007257AE" w:rsidP="001E5D78" w14:paraId="440FE91C" w14:textId="77777777">
      <w:pPr>
        <w:pStyle w:val="NormalHanging12a"/>
      </w:pPr>
      <w:r w:rsidRPr="007257AE">
        <w:rPr>
          <w:b/>
          <w:i/>
        </w:rPr>
        <w:t>–</w:t>
      </w:r>
      <w:r w:rsidRPr="007257AE">
        <w:rPr>
          <w:b/>
          <w:i/>
        </w:rPr>
        <w:tab/>
      </w:r>
      <w:r w:rsidRPr="007257AE">
        <w:t>s ohledem na Dohodu v rámci Úmluvy Organizace spojených národů o mořském právu o zachovávání a udržitelném využívání mořské biologické rozmanitosti v oblastech za hranicemi národní jurisdikce ze dne 19. června 2023 (dohoda o BBNJ),</w:t>
      </w:r>
    </w:p>
    <w:p w:rsidR="001E5D78" w:rsidRPr="007257AE" w:rsidP="001E5D78" w14:paraId="316EBEB9" w14:textId="77777777">
      <w:pPr>
        <w:pStyle w:val="NormalHanging12a"/>
        <w:rPr>
          <w:bCs/>
          <w:iCs/>
        </w:rPr>
      </w:pPr>
      <w:r w:rsidRPr="007257AE">
        <w:rPr>
          <w:b/>
          <w:i/>
        </w:rPr>
        <w:t>–</w:t>
      </w:r>
      <w:r w:rsidRPr="007257AE">
        <w:rPr>
          <w:b/>
          <w:i/>
        </w:rPr>
        <w:tab/>
      </w:r>
      <w:r w:rsidRPr="007257AE">
        <w:t>s ohledem na nařízení Evropského parlamentu a Rady (EU) 2025/2077 ze dne 8. října 2025, kterým se mění nařízení (EU) č. 1026/2012 o některých opatřeních za účelem zachování populací ryb ve vztahu k zemím, které umožňují neudržitelný rybolov</w:t>
      </w:r>
      <w:r>
        <w:rPr>
          <w:rStyle w:val="FootnoteReference"/>
          <w:bCs/>
          <w:iCs/>
        </w:rPr>
        <w:footnoteReference w:id="2"/>
      </w:r>
      <w:r w:rsidRPr="007257AE">
        <w:t>,</w:t>
      </w:r>
    </w:p>
    <w:p w:rsidR="001E5D78" w:rsidRPr="007257AE" w:rsidP="001E5D78" w14:paraId="00979A19" w14:textId="77777777">
      <w:pPr>
        <w:pStyle w:val="NormalHanging12a"/>
      </w:pPr>
      <w:r w:rsidRPr="007257AE">
        <w:t>–</w:t>
      </w:r>
      <w:r w:rsidRPr="007257AE">
        <w:tab/>
        <w:t>s ohledem na sdělení Komise ze dne 5. června 2025 nazvané „Evropský pakt pro oceány“ (COM(2025)0281) a na společné sdělení Komise a vysoké představitelky Unie pro zahraniční věci a bezpečnostní politiku ze dne 24. června 2022 nazvané „Směřování k udržitelné modré planetě – společné sdělení o agendě EU v oblasti mezinárodní správy oceánů“ (JOIN(2022)0028),</w:t>
      </w:r>
    </w:p>
    <w:p w:rsidR="001E5D78" w:rsidRPr="007257AE" w:rsidP="001E5D78" w14:paraId="52FF7138" w14:textId="77777777">
      <w:pPr>
        <w:pStyle w:val="NormalHanging12a"/>
        <w:rPr>
          <w:b/>
          <w:i/>
        </w:rPr>
      </w:pPr>
      <w:r w:rsidRPr="007257AE">
        <w:rPr>
          <w:b/>
          <w:i/>
        </w:rPr>
        <w:t>–</w:t>
      </w:r>
      <w:r w:rsidRPr="007257AE">
        <w:rPr>
          <w:b/>
          <w:i/>
        </w:rPr>
        <w:tab/>
      </w:r>
      <w:r w:rsidRPr="007257AE">
        <w:t xml:space="preserve">s ohledem na společné sdělení Komise a vysoké představitelky Unie pro zahraniční věci a bezpečnostní politiku ze dne 16. října 2025 nazvané „Pakt pro Středomoří – Jedno moře, jeden pakt, jedna budoucnost“ (JOIN(2025)0026), a zejména na oddíl II.6 tohoto </w:t>
      </w:r>
      <w:r w:rsidRPr="007257AE">
        <w:t>sdělení nazvaný „Podpora udržitelné modré ekonomiky“,</w:t>
      </w:r>
    </w:p>
    <w:p w:rsidR="001E5D78" w:rsidRPr="007257AE" w:rsidP="001E5D78" w14:paraId="2CA75DC5" w14:textId="77777777">
      <w:pPr>
        <w:pStyle w:val="NormalHanging12a"/>
        <w:rPr>
          <w:b/>
          <w:i/>
        </w:rPr>
      </w:pPr>
      <w:r w:rsidRPr="007257AE">
        <w:rPr>
          <w:b/>
          <w:i/>
        </w:rPr>
        <w:t>–</w:t>
      </w:r>
      <w:r w:rsidRPr="007257AE">
        <w:rPr>
          <w:b/>
          <w:i/>
        </w:rPr>
        <w:tab/>
      </w:r>
      <w:r w:rsidRPr="007257AE">
        <w:t>s ohledem na celosvětový rámec pro biologickou rozmanitost z Kchun-mingu a Montrealu,</w:t>
      </w:r>
    </w:p>
    <w:p w:rsidR="001E5D78" w:rsidRPr="007257AE" w:rsidP="001E5D78" w14:paraId="2BC50724" w14:textId="77777777">
      <w:pPr>
        <w:pStyle w:val="NormalHanging12a"/>
        <w:rPr>
          <w:b/>
          <w:i/>
        </w:rPr>
      </w:pPr>
      <w:r w:rsidRPr="007257AE">
        <w:rPr>
          <w:b/>
          <w:i/>
        </w:rPr>
        <w:t>–</w:t>
      </w:r>
      <w:r w:rsidRPr="007257AE">
        <w:rPr>
          <w:b/>
          <w:i/>
        </w:rPr>
        <w:tab/>
      </w:r>
      <w:r w:rsidRPr="007257AE">
        <w:t>s ohledem na Dohodu o prevenci neregulovaného rybolovu na volném moři ve střední části Severního ledového oceánu</w:t>
      </w:r>
      <w:r>
        <w:rPr>
          <w:rStyle w:val="FootnoteReference"/>
          <w:bCs/>
          <w:iCs/>
        </w:rPr>
        <w:footnoteReference w:id="3"/>
      </w:r>
      <w:r w:rsidRPr="007257AE">
        <w:t>,</w:t>
      </w:r>
    </w:p>
    <w:p w:rsidR="001E5D78" w:rsidRPr="007257AE" w:rsidP="001E5D78" w14:paraId="40AFA8E0" w14:textId="77777777">
      <w:pPr>
        <w:pStyle w:val="NormalHanging12a"/>
        <w:rPr>
          <w:b/>
          <w:i/>
        </w:rPr>
      </w:pPr>
      <w:r w:rsidRPr="007257AE">
        <w:rPr>
          <w:b/>
          <w:i/>
        </w:rPr>
        <w:t>–</w:t>
      </w:r>
      <w:r w:rsidRPr="007257AE">
        <w:rPr>
          <w:b/>
          <w:i/>
        </w:rPr>
        <w:tab/>
      </w:r>
      <w:r w:rsidRPr="007257AE">
        <w:t>s ohledem na Dohodu Světové obchodní organizace (WTO) o subvencích na rybolov, která byla schválena na konferenci ministrů dne 17. června 2022,</w:t>
      </w:r>
    </w:p>
    <w:p w:rsidR="001E5D78" w:rsidRPr="007257AE" w:rsidP="001E5D78" w14:paraId="2DEE6714" w14:textId="77777777">
      <w:pPr>
        <w:pStyle w:val="NormalHanging12a"/>
        <w:rPr>
          <w:b/>
          <w:i/>
        </w:rPr>
      </w:pPr>
      <w:r w:rsidRPr="007257AE">
        <w:rPr>
          <w:b/>
          <w:i/>
        </w:rPr>
        <w:t>–</w:t>
      </w:r>
      <w:r w:rsidRPr="007257AE">
        <w:rPr>
          <w:b/>
          <w:i/>
        </w:rPr>
        <w:tab/>
      </w:r>
      <w:r w:rsidRPr="007257AE">
        <w:t>s ohledem na zprávy Organizace pro výživu a zemědělství (FAO) nazvané „Přezkum stavu světových mořských rybolovných zdrojů v roce 2025“ a „Stav světového rybolovu a akvakultury v roce 2024“,</w:t>
      </w:r>
    </w:p>
    <w:p w:rsidR="001E5D78" w:rsidRPr="007257AE" w:rsidP="001E5D78" w14:paraId="2DF52B9B" w14:textId="77777777">
      <w:pPr>
        <w:pStyle w:val="NormalHanging12a"/>
      </w:pPr>
      <w:r w:rsidRPr="007257AE">
        <w:t>–</w:t>
      </w:r>
      <w:r w:rsidRPr="007257AE">
        <w:tab/>
        <w:t>s ohledem na svá předchozí usnesení o správě oceánů, rybolovu a modré ekonomice</w:t>
      </w:r>
    </w:p>
    <w:p w:rsidR="001E5D78" w:rsidRPr="007257AE" w:rsidP="001E5D78" w14:paraId="31969BC5" w14:textId="77777777">
      <w:pPr>
        <w:pStyle w:val="NormalHanging12a"/>
        <w:rPr>
          <w:b/>
          <w:i/>
        </w:rPr>
      </w:pPr>
      <w:r w:rsidRPr="007257AE">
        <w:rPr>
          <w:b/>
          <w:i/>
        </w:rPr>
        <w:t>–</w:t>
      </w:r>
      <w:r w:rsidRPr="007257AE">
        <w:rPr>
          <w:b/>
          <w:i/>
        </w:rPr>
        <w:tab/>
      </w:r>
      <w:r w:rsidRPr="007257AE">
        <w:t>s ohledem na své usnesení ze dne 17. října 2023 o dopadech čínských rybolovných činností na rybolov Unie a dalším postupu</w:t>
      </w:r>
      <w:r>
        <w:rPr>
          <w:rStyle w:val="FootnoteReference"/>
          <w:bCs/>
          <w:iCs/>
        </w:rPr>
        <w:footnoteReference w:id="4"/>
      </w:r>
      <w:r w:rsidRPr="007257AE">
        <w:t>,</w:t>
      </w:r>
    </w:p>
    <w:p w:rsidR="001E5D78" w:rsidRPr="007257AE" w:rsidP="001E5D78" w14:paraId="79E2B2D3" w14:textId="77777777">
      <w:pPr>
        <w:pStyle w:val="NormalHanging12a"/>
      </w:pPr>
      <w:r w:rsidRPr="007257AE">
        <w:t>–</w:t>
      </w:r>
      <w:r w:rsidRPr="007257AE">
        <w:tab/>
        <w:t>s ohledem na článek 55 jednacího řádu,</w:t>
      </w:r>
    </w:p>
    <w:p w:rsidR="001E5D78" w:rsidRPr="007257AE" w:rsidP="001E5D78" w14:paraId="08F335D4" w14:textId="77777777">
      <w:pPr>
        <w:pStyle w:val="NormalHanging12a"/>
      </w:pPr>
      <w:r w:rsidRPr="007257AE">
        <w:t>–</w:t>
      </w:r>
      <w:r w:rsidRPr="007257AE">
        <w:tab/>
        <w:t>s ohledem na zprávu Výboru pro rybolov (A10-0043/2026),</w:t>
      </w:r>
    </w:p>
    <w:p w:rsidR="001E5D78" w:rsidRPr="007257AE" w:rsidP="001E5D78" w14:paraId="7564AC27" w14:textId="77777777">
      <w:pPr>
        <w:pStyle w:val="NormalHanging12a"/>
      </w:pPr>
      <w:r w:rsidRPr="007257AE">
        <w:t>A.</w:t>
      </w:r>
      <w:r w:rsidRPr="007257AE">
        <w:tab/>
        <w:t>vzhledem k tomu, že oceány a moře pokrývají 71 % povrchu Země a více než 65 % území EU; vzhledem k tomu, že EU se díky svým nejvzdálenějším regionům nachází ve všech oceánech a spravuje největší společnou námořní oblast na světě, která zahrnuje 25 milionů km² výlučných ekonomických zón a pobřeží o délce více než 70 000 km; že 40 % obyvatel EU žije ve vzdálenosti 50 km od moře;</w:t>
      </w:r>
    </w:p>
    <w:p w:rsidR="001E5D78" w:rsidRPr="007257AE" w:rsidP="001E5D78" w14:paraId="322D3F77" w14:textId="77777777">
      <w:pPr>
        <w:pStyle w:val="NormalHanging12a"/>
        <w:rPr>
          <w:b/>
          <w:i/>
        </w:rPr>
      </w:pPr>
      <w:r w:rsidRPr="007257AE">
        <w:t>B.</w:t>
      </w:r>
      <w:r w:rsidRPr="007257AE">
        <w:tab/>
        <w:t>vzhledem k tomu, že rybářské loďstvo EU, které ztělesňuje přítomnost EU na mořích, čítá asi 69 000 plavidel, z nich 75 % je využíváno rybáři k drobnému a pobřežnímu rybolovu, a je jedním z nejudržitelnějších a nejpřísněji regulovaných rybářských loďstev na světě; že se potýká se snižujícími se kvótami, vysokými provozními náklady, administrativní a regulační zátěží, stárnoucím loďstvem a stárnutím rybářů, nedostatkem podnětů, které by do tohoto odvětví přilákaly novou generaci, a nekalou soutěží ze zemí mimo EU, které mají nižší standardy; vzhledem k tomu, že spravedlivá hospodářská soutěž a udržitelné řízení rybolovu jsou klíčovými prvky prosperujícího a ziskového odvětví, jak ukazuje výroční hospodářská zpráva o rybářském loďstvu EU za rok 2024;</w:t>
      </w:r>
    </w:p>
    <w:p w:rsidR="001E5D78" w:rsidRPr="007257AE" w:rsidP="001E5D78" w14:paraId="0CE89645" w14:textId="77777777">
      <w:pPr>
        <w:pStyle w:val="NormalHanging12a"/>
        <w:rPr>
          <w:b/>
          <w:i/>
        </w:rPr>
      </w:pPr>
      <w:r w:rsidRPr="007257AE">
        <w:t>C.</w:t>
      </w:r>
      <w:r w:rsidRPr="007257AE">
        <w:rPr>
          <w:b/>
          <w:i/>
        </w:rPr>
        <w:tab/>
      </w:r>
      <w:r w:rsidRPr="007257AE">
        <w:t>vzhledem k tomu, že pro rybáře z EU a ze zemí mimo EU neexistují rovné podmínky, což vedlo v posledních letech k významné ztrátě plavidel EU, která byla buď dočasně vyvezena, nebo prodána do zemí mimo EU; vzhledem k tomu, že pokud plavidlo EU opustí loviště v rámci regionální organizace pro řízení rybolovu, je nahrazeno plavidlem ze země mimo EU, na jehož provoz se vztahují nižší environmentální a sociální normy; vzhledem k tomu, že zároveň roste dovoz z těchto zemí na trh EU;</w:t>
      </w:r>
    </w:p>
    <w:p w:rsidR="001E5D78" w:rsidRPr="007257AE" w:rsidP="001E5D78" w14:paraId="51D986F8" w14:textId="77777777">
      <w:pPr>
        <w:pStyle w:val="NormalHanging12a"/>
        <w:rPr>
          <w:b/>
          <w:i/>
        </w:rPr>
      </w:pPr>
      <w:r w:rsidRPr="007257AE">
        <w:t>D</w:t>
      </w:r>
      <w:r w:rsidRPr="00341EAF">
        <w:rPr>
          <w:bCs/>
          <w:iCs/>
        </w:rPr>
        <w:t>.</w:t>
      </w:r>
      <w:r w:rsidRPr="007257AE">
        <w:rPr>
          <w:b/>
          <w:i/>
        </w:rPr>
        <w:tab/>
      </w:r>
      <w:r w:rsidRPr="007257AE">
        <w:t xml:space="preserve">vzhledem k tomu, že příspěvek odvětví rybolovu a akvakultury EU do hospodářství </w:t>
      </w:r>
      <w:r w:rsidRPr="007257AE">
        <w:t>Unie představuje přibližně 5,5 miliardy EUR ročně a že odvětví přímo zaměstnává téměř 193000 rybářů a producentů v akvakultuře v celé Evropě; že odvětví zpracování a konzervování ryb v EU má významný socioekonomický rozměr, který musí být rovněž zachován a posílen;</w:t>
      </w:r>
    </w:p>
    <w:p w:rsidR="001E5D78" w:rsidRPr="007257AE" w:rsidP="001E5D78" w14:paraId="211BB0E3" w14:textId="77777777">
      <w:pPr>
        <w:pStyle w:val="NormalHanging12a"/>
      </w:pPr>
      <w:r w:rsidRPr="007257AE">
        <w:t>E.</w:t>
      </w:r>
      <w:r w:rsidRPr="007257AE">
        <w:tab/>
        <w:t>vzhledem k tomu, že EU dováží 70 % svých mořských plodů, což vytváří strategickou závislost, podkopává soběstačnost a vystavuje odvětví rizikům nekalých praktik; vzhledem k tomu, že tento stav vyžaduje ustanovení o sledovatelnosti a transparentnosti, přísnější hraniční kontroly a harmonizaci celních mechanismů a automatických ochranných doložek a doložek o vzájemnosti, jakož i zřízení úřadu EU pro kontrolu dovozu s cílem zajistit, aby veškerý dovoz splňoval normy rovnocenné normám platným v EU;</w:t>
      </w:r>
    </w:p>
    <w:p w:rsidR="001E5D78" w:rsidRPr="007257AE" w:rsidP="001E5D78" w14:paraId="3E5DB14F" w14:textId="77777777">
      <w:pPr>
        <w:pStyle w:val="NormalHanging12a"/>
      </w:pPr>
      <w:r w:rsidRPr="007257AE">
        <w:t>F.</w:t>
      </w:r>
      <w:r w:rsidRPr="007257AE">
        <w:tab/>
        <w:t>vzhledem k tomu, že EU je smluvní stranou 18 regionálních organizací pro řízení rybolovu a čtyř regionálních úmluv pro mořské prostředí a zastává vedoucí úlohu v mnohostranných jednáních o pravidlech týkajících se řízení rybolovu a ochrany moří; vzhledem k tomu, že EU uznává, že regionální organizace pro řízení rybolovu jsou stavebními kameny mezinárodní správy oceánů pro řízení a zachování rybích populací a základními nástroji pro podporu mezinárodní diplomacie v oblasti oceánů, posílení spolupráce mezi pobřežními státy a státy provozujícími rybolov a zajištění udržitelné správy volného moře;</w:t>
      </w:r>
    </w:p>
    <w:p w:rsidR="001E5D78" w:rsidRPr="007257AE" w:rsidP="001E5D78" w14:paraId="2B67EA0F" w14:textId="77777777">
      <w:pPr>
        <w:pStyle w:val="NormalHanging12a"/>
        <w:rPr>
          <w:b/>
          <w:i/>
        </w:rPr>
      </w:pPr>
      <w:r w:rsidRPr="007257AE">
        <w:t>G.</w:t>
      </w:r>
      <w:r w:rsidRPr="007257AE">
        <w:rPr>
          <w:b/>
          <w:i/>
        </w:rPr>
        <w:tab/>
      </w:r>
      <w:r w:rsidRPr="007257AE">
        <w:t>vzhledem k tomu, že EU má 20 dohod o partnerství v oblasti udržitelného rybolovu; vzhledem k tomu, že ačkoli sedm z nich se neuplatňuje, dohody o partnerství v oblasti udržitelného rybolovu vytvářejí síť dohod s partnerskými zeměmi, která rovněž představuje platformu pro další spolupráci v souvislosti s globálním řízením rybolovu a mezinárodní správou oceánů;</w:t>
      </w:r>
    </w:p>
    <w:p w:rsidR="001E5D78" w:rsidRPr="007257AE" w:rsidP="001E5D78" w14:paraId="4C8B0A6E" w14:textId="77777777">
      <w:pPr>
        <w:pStyle w:val="NormalHanging12a"/>
      </w:pPr>
      <w:r w:rsidRPr="007257AE">
        <w:t>H.</w:t>
      </w:r>
      <w:r w:rsidRPr="007257AE">
        <w:tab/>
        <w:t>vzhledem k tomu, že acidifikace oceánů, odpad v mořích, nadměrný rybolov, znečištění plasty, invazivní druhy, degradace stanovišť a změna klimatu v důsledku rostoucích teplot moří a zvyšující se četnosti vln mořských veder představují významnou hrozbu pro mořskou biologickou rozmanitost, zatímco nezákonný, nehlášený a neregulovaný rybolov, nadměrný rybolov a stínové flotily ohrožují celosvětovou a unijní biologickou rozmanitost a rybolov a vytvářejí nekalou hospodářskou soutěž pro rybáře EU;</w:t>
      </w:r>
    </w:p>
    <w:p w:rsidR="001E5D78" w:rsidRPr="007257AE" w:rsidP="001E5D78" w14:paraId="0D1BF4A8" w14:textId="77777777">
      <w:pPr>
        <w:pStyle w:val="NormalHanging12a"/>
        <w:rPr>
          <w:b/>
          <w:i/>
        </w:rPr>
      </w:pPr>
      <w:r w:rsidRPr="007257AE">
        <w:t>I.</w:t>
      </w:r>
      <w:r w:rsidRPr="007257AE">
        <w:rPr>
          <w:b/>
          <w:i/>
        </w:rPr>
        <w:tab/>
      </w:r>
      <w:r w:rsidRPr="007257AE">
        <w:t>vzhledem k tomu, že stínové flotily a neprůhledné vlastnické struktury představují zřetelnou a zvýšenou hrozbu pro námořní bezpečnost, veřejné zdraví a bezpečnost v pobřežních oblastech, mimo jiné v důsledku zvýšeného rizika úniků ropy, náhodného vypouštění, vypouštění nebezpečného odpadu a dalších incidentů, které ohrožují lidské životy, živobytí a pobřežní ekosystémy;</w:t>
      </w:r>
    </w:p>
    <w:p w:rsidR="001E5D78" w:rsidRPr="007257AE" w:rsidP="001E5D78" w14:paraId="04858A95" w14:textId="77777777">
      <w:pPr>
        <w:pStyle w:val="NormalHanging12a"/>
        <w:rPr>
          <w:b/>
          <w:i/>
        </w:rPr>
      </w:pPr>
      <w:r w:rsidRPr="007257AE">
        <w:t>J.</w:t>
      </w:r>
      <w:r w:rsidRPr="007257AE">
        <w:rPr>
          <w:b/>
          <w:i/>
        </w:rPr>
        <w:tab/>
      </w:r>
      <w:r w:rsidRPr="007257AE">
        <w:t>vzhledem k tomu, že svoboda plavby a schopnost provádět činnost na moři jsou celosvětově stále více zpochybňovány a základní námořní infrastruktura čelí rostoucím rizikům;</w:t>
      </w:r>
    </w:p>
    <w:p w:rsidR="001E5D78" w:rsidRPr="007257AE" w:rsidP="001E5D78" w14:paraId="1222166D" w14:textId="77777777">
      <w:pPr>
        <w:pStyle w:val="NormalHanging12a"/>
      </w:pPr>
      <w:r w:rsidRPr="007257AE">
        <w:t>K.</w:t>
      </w:r>
      <w:r w:rsidRPr="007257AE">
        <w:rPr>
          <w:b/>
          <w:i/>
        </w:rPr>
        <w:tab/>
      </w:r>
      <w:r w:rsidRPr="007257AE">
        <w:t xml:space="preserve">vzhledem k tomu, že hybridní hrozby, kybernetické útoky a nedávné sabotáže překračují hranice, neboť zahrnují poškození potrubí a podmořských komunikačních kabelů, zásahy globálního polohového systému v Baltském a Černém moři a útoky na lodní trasy v Rudém moři; vzhledem k tomu, že řešení ohrožení námořní infrastruktury, námořních komunikačních tras a globálního obchodu hybridními hrozbami, kybernetickými útoky, pirátstvím a rostoucím geopolitickým napětím, a tím i ohrožení </w:t>
      </w:r>
      <w:r w:rsidRPr="007257AE">
        <w:t>námořní bezpečnosti, se stalo strategickou prioritou pro hospodářství, konektivitu a digitální suverenitu EU;</w:t>
      </w:r>
    </w:p>
    <w:p w:rsidR="001E5D78" w:rsidRPr="007257AE" w:rsidP="001E5D78" w14:paraId="40C31217" w14:textId="77777777">
      <w:pPr>
        <w:pStyle w:val="NormalHanging12a"/>
        <w:rPr>
          <w:b/>
          <w:i/>
        </w:rPr>
      </w:pPr>
      <w:r w:rsidRPr="007257AE">
        <w:t>L.</w:t>
      </w:r>
      <w:r w:rsidRPr="007257AE">
        <w:tab/>
        <w:t>vzhledem k tomu, že páté kolo jednání o budoucí globální smlouvě o plastech se konalo v srpnu 2025, aniž by došlo ke shodě;</w:t>
      </w:r>
    </w:p>
    <w:p w:rsidR="001E5D78" w:rsidRPr="007257AE" w:rsidP="001E5D78" w14:paraId="1699C291" w14:textId="77777777">
      <w:pPr>
        <w:pStyle w:val="NormalHanging12a"/>
      </w:pPr>
      <w:r w:rsidRPr="007257AE">
        <w:t>M.</w:t>
      </w:r>
      <w:r w:rsidRPr="007257AE">
        <w:tab/>
        <w:t>vzhledem k tomu, že brexit vnesl do správy rybolovu EU v severovýchodním Atlantiku nové komplikace, což má negativní dopad na strukturovanou a řádnou spolupráci v oblasti řízení rybolovu a správy oceánů, včetně přidělování kvót, přístupu k rybolovným oblastem a dynamiku obchodu;</w:t>
      </w:r>
    </w:p>
    <w:p w:rsidR="001E5D78" w:rsidRPr="007257AE" w:rsidP="001E5D78" w14:paraId="23C9EFB9" w14:textId="77777777">
      <w:pPr>
        <w:pStyle w:val="NormalHanging12a"/>
      </w:pPr>
      <w:r w:rsidRPr="007257AE">
        <w:t>N.</w:t>
      </w:r>
      <w:r w:rsidRPr="007257AE">
        <w:tab/>
        <w:t>vzhledem k tomu, že nařízení (EU) 2025/2077 posiluje schopnost EU bojovat proti neudržitelnému rybolovu prováděnému zeměmi mimo EU tím, že definuje jasná kritéria pro „nespolupráci“, která vycházejí z mezinárodního práva a nezávislých vědeckých důkazů, s cílem chránit sdílené populace ryb, posílit spolupráci v rámci regionálních organizací pro řízení rybolovu a zajistit rovné podmínky pro rybáře EU, na jejichž činnost se vztahují přísné normy udržitelnosti;</w:t>
      </w:r>
    </w:p>
    <w:p w:rsidR="001E5D78" w:rsidRPr="007257AE" w:rsidP="001E5D78" w14:paraId="14FE44C8" w14:textId="77777777">
      <w:pPr>
        <w:pStyle w:val="NormalHanging12a"/>
        <w:rPr>
          <w:bCs/>
          <w:iCs/>
        </w:rPr>
      </w:pPr>
      <w:r w:rsidRPr="007257AE">
        <w:t>O.</w:t>
      </w:r>
      <w:r w:rsidRPr="007257AE">
        <w:tab/>
        <w:t>vzhledem k tomu, že Evropský pakt pro oceány navrhuje šest klíčových priorit EU, včetně posílení diplomatické činnosti EU v oblasti oceánů, ochrany a obnovy zdraví oceánů, posílení námořní bezpečnosti a rozvoje výzkumu a znalostí v oblasti oceánů;</w:t>
      </w:r>
    </w:p>
    <w:p w:rsidR="001E5D78" w:rsidRPr="007257AE" w:rsidP="001E5D78" w14:paraId="79A16573" w14:textId="77777777">
      <w:pPr>
        <w:pStyle w:val="NormalHanging12a"/>
        <w:rPr>
          <w:b/>
          <w:bCs/>
          <w:i/>
        </w:rPr>
      </w:pPr>
      <w:r w:rsidRPr="007257AE">
        <w:rPr>
          <w:b/>
          <w:i/>
        </w:rPr>
        <w:t>Posílení diplomatické činnosti v oblasti oceánů</w:t>
      </w:r>
    </w:p>
    <w:p w:rsidR="001E5D78" w:rsidRPr="007257AE" w:rsidP="001E5D78" w14:paraId="3FBDE0D7" w14:textId="77777777">
      <w:pPr>
        <w:pStyle w:val="NormalHanging12a"/>
      </w:pPr>
      <w:r w:rsidRPr="007257AE">
        <w:t>1.</w:t>
      </w:r>
      <w:r w:rsidRPr="007257AE">
        <w:tab/>
        <w:t>zdůrazňuje, že EU by měla i nadále stát v čele agendy mezinárodní správy oceánů, neboť má jedinečné postavení vzhledem k velikosti své námořní oblasti, geostrategickému postavení nejvzdálenějších regionů ve všech oceánech, svému historickému vedoucímu postavení, hospodářskému významu a váze a vedoucímu postavení v oblasti práva a regulace; připomíná, že EU má největší výlučnou ekonomickou zónu na světě a je již nyní jedním z průkopníků v oblasti udržitelného řízení, ochrany, zachování a obnovy svých mořských stanovišť a zdrojů pro budoucí generace;</w:t>
      </w:r>
    </w:p>
    <w:p w:rsidR="001E5D78" w:rsidRPr="007257AE" w:rsidP="001E5D78" w14:paraId="72677FE1" w14:textId="77777777">
      <w:pPr>
        <w:pStyle w:val="NormalHanging12a"/>
        <w:rPr>
          <w:b/>
          <w:i/>
        </w:rPr>
      </w:pPr>
      <w:r w:rsidRPr="007257AE">
        <w:t>2.</w:t>
      </w:r>
      <w:r w:rsidRPr="007257AE">
        <w:tab/>
        <w:t>zdůrazňuje, že oceán je geopolitickým a hospodářským aktivem, které má zásadní význam pro konkurenceschopnost a kulturní identitu Evropy, a že diplomacie v oblasti oceánů je součástí mezinárodní správy oceánů; domnívá se, že tato skutečnost by se neměla omezovat pouze na geopolitické nebo bezpečnostní přístupy, ale měla by rovněž zohledňovat obecnou správu a řízení oceánů, které odrážejí environmentální, hospodářský, kulturní, sociální a územní rozměr moře a význam moře pro rybářské komunity a komunity pobřežních, ostrovních a nejvzdálenějších regionů;</w:t>
      </w:r>
    </w:p>
    <w:p w:rsidR="001E5D78" w:rsidRPr="007257AE" w:rsidP="001E5D78" w14:paraId="07A1CA89" w14:textId="77777777">
      <w:pPr>
        <w:pStyle w:val="NormalHanging12a"/>
      </w:pPr>
      <w:r w:rsidRPr="007257AE">
        <w:t>3.</w:t>
      </w:r>
      <w:r w:rsidRPr="007257AE">
        <w:tab/>
        <w:t xml:space="preserve">vyzývá k začlenění diplomacie v oblasti oceánů do vnější činnosti EU, včetně rozvojové a společné zahraniční a bezpečnostní politiky Unie s cílem bránit námořní řád založený na pravidlech prostřednictvím mnohostranné spolupráce v souladu s Úmluvou OSN o mořském právu; konstatuje, že posílená spolupráce mezi členskými státy a agenturami EU, zejména Evropskou agenturou pro námořní bezpečnost, Evropskou agenturou pro pohraniční a pobřežní stráž (Frontex), Evropskou agenturou pro kontrolu rybolovu, Evropskou agenturou pro životní prostředí a Agenturou EU pro kosmický program, by pomohla zajistit udržitelné využívání mořských zdrojů, podpořit environmentální, hospodářské a sociální normy EU, zejména v mezinárodních organizacích, včetně FAO, Mezinárodní organizace práce a WTO, a bojovat proti nezákonnému, nehlášenému </w:t>
      </w:r>
      <w:r w:rsidRPr="007257AE">
        <w:t>a neregulovanému rybolovu prostřednictvím přísnějších kontrol neregulovaného dovozu rybolovných produktů a přísnějších podmínek pro přístup do výlučných ekonomických zón;</w:t>
      </w:r>
    </w:p>
    <w:p w:rsidR="001E5D78" w:rsidRPr="007257AE" w:rsidP="001E5D78" w14:paraId="64E39D8B" w14:textId="77777777">
      <w:pPr>
        <w:pStyle w:val="NormalHanging12a"/>
        <w:rPr>
          <w:bCs/>
          <w:iCs/>
        </w:rPr>
      </w:pPr>
      <w:r w:rsidRPr="007257AE">
        <w:t>4.</w:t>
      </w:r>
      <w:r w:rsidRPr="007257AE">
        <w:tab/>
        <w:t>zdůrazňuje, že je důležité bojovat proti stínovým flotilám, pirátství, zastrašování a nepřátelským nebo násilným konáním zemí mimo EU, kterým jsou vystaveni rybáři a námořní infrastruktura EU, a to prostřednictvím zvláštních opatření, jako jsou námořní mise, satelitní sledování s využitím programu Copernicus a námořní drony; vyzývá k posílení vojenských, nevojenských a námořních misí EU za účelem sledování nezákonného, nehlášeného a neregulovaného rybolovu, nelegálního obchodování a stínových flotil a kontroly bezpečnosti plavidel; připomíná, že nelegální obchodování a stínové flotily zvyšují riziko závažných případů znečištění a ohrožují pobřežní oblasti a jejich obyvatelstvo; navrhuje vytvoření nouzového a nápravného nástroje EU, který by pomáhal při reakci na ekologické havárie spojené s těmito operacemi a při jejich nápravě;</w:t>
      </w:r>
    </w:p>
    <w:p w:rsidR="001E5D78" w:rsidRPr="007257AE" w:rsidP="001E5D78" w14:paraId="0B1FCB0B" w14:textId="77777777">
      <w:pPr>
        <w:pStyle w:val="NormalHanging12a"/>
      </w:pPr>
      <w:r w:rsidRPr="007257AE">
        <w:t>5.</w:t>
      </w:r>
      <w:r w:rsidRPr="007257AE">
        <w:tab/>
        <w:t>vítá cíl Evropského paktu pro oceány vypracovat integrovanou strategii, která sjednotí námořní politiky a vytvoří soudržnost napříč odvětvími, mimo jiné začleněním diplomacie v oblasti oceánů, modré ekonomiky, environmentální odpovědnosti, ochrany, průmyslové námořní strategie, rybolovu a produkce akvakultury, námořní bezpečnosti, obchodu a rozvojové politiky; zdůrazňuje, že díky kombinaci rozmístění námořních sil, ostrahy infrastruktury, pojištění a opatření ke stabilizaci trhu, posílené kybernetické obrany a důsledného vymáhání práva může EU udržet bezpečné a spolehlivé obchodní cesty a loviště, a tím posílit svou důvěryhodnost a vedoucí postavení v globálním řádu založeném na pravidlech; vyzývá k tomu, aby byly na úrovni EU pravidelně pořádány „summity oceánů“, kterých by se účastnili všichni příslušní ministři, Parlament a Komise, s cílem sledovat provádění Evropského paktu pro oceány a rozvíjet silnou a dynamickou mezinárodní správu oceánů a diplomacii v oblasti oceánů, které přispějí k širší agendě EU v oblasti oceánů a ke globálnímu řádu založenému na pravidlech;</w:t>
      </w:r>
    </w:p>
    <w:p w:rsidR="001E5D78" w:rsidRPr="007257AE" w:rsidP="001E5D78" w14:paraId="5DBD2DE6" w14:textId="77777777">
      <w:pPr>
        <w:pStyle w:val="NormalHanging12a"/>
      </w:pPr>
      <w:r w:rsidRPr="007257AE">
        <w:t>6.</w:t>
      </w:r>
      <w:r w:rsidRPr="007257AE">
        <w:tab/>
        <w:t>vítá Nový pakt pro Středomoří jako stěžejní iniciativu na posílení míru, stability a prosperity v regionu; bere na vědomí zejména důraz na podporu a zlepšování právních rámců týkajících se regionálních organizací pro řízení rybolovu a boj proti nezákonnému, nehlášenému a neregulovanému rybolovu ve Středomoří prostřednictvím budování kapacit, sledování, kontroly a dohledu; bere rovněž na vědomí cíl pomoci mobilizovat rozsáhlé regionální projekty, které vytvářejí příležitosti pro lidi a podniky; zdůrazňuje, že rybářské loďstvo ve Středomoří se skládá převážně z malých plavidel, která tvoří přibližně 80 % celkového loďstva EU v regionu, a že spolu s loďstvem sousedních zemí již nyní čelí mnoha výzvám, které ovlivňují atraktivitu a socioekonomickou udržitelnost odvětví; uznává, že je důležité podporovat regionální spolupráci v oblasti námořní bezpečnosti, ochrany životního prostředí a udržitelného rozvoje modré ekonomiky; vyzývá Komisi, aby v úzkém partnerství s Unií pro Středomoří a dalšími regionálními subjekty upřednostnila provádění tohoto paktu a využila zkušeností a osvědčených postupů z předchozích iniciativ tohoto typu, aby zajistila hmatatelné přínosy pro pobřežní komunity, se zvláštním zaměřením na mladé lidi, ženy, malé podniky, ekosystémy, potravinovou soběstačnost a hospodářskou odolnost v celé přímořské oblasti a přidružené oblasti Černého moře;</w:t>
      </w:r>
    </w:p>
    <w:p w:rsidR="001E5D78" w:rsidRPr="007257AE" w:rsidP="001E5D78" w14:paraId="3D96C6A4" w14:textId="77777777">
      <w:pPr>
        <w:pStyle w:val="NormalHanging12a"/>
      </w:pPr>
      <w:r w:rsidRPr="007257AE">
        <w:t>7.</w:t>
      </w:r>
      <w:r w:rsidRPr="007257AE">
        <w:tab/>
        <w:t xml:space="preserve">vyzývá Komisi, aby plně využila důraznou mezinárodní správu oceánů a diplomatickou činnost v oblasti oceánů jako strategický nástroj k prosazování společných cílů </w:t>
      </w:r>
      <w:r w:rsidRPr="007257AE">
        <w:t>a strategických zájmů EU prostřednictvím své účasti v regionálních organizacích pro řízení rybolovu a sítě dohod o partnerství v oblasti udržitelného rybolovu se zvláštním důrazem na udržitelnou správu, a tím na zajištění skutečně rovných podmínek, dodržování pravidel a spravedlivé hospodářské soutěže mezi rybáři z EU a ze zemí mimo EU, a zároveň zdůrazňuje, že je třeba, aby si EU zachovala rybářské loďstvo, které může využívat nová rybolovná práva získaná rozšířením dohod o partnerství v oblasti udržitelného rybolovu, a přispět tak k zajištění potravinové soběstačnosti EU a zároveň k odolnosti místní ekonomiky a udržitelnému řízení zdrojů;</w:t>
      </w:r>
    </w:p>
    <w:p w:rsidR="001E5D78" w:rsidRPr="007257AE" w:rsidP="001E5D78" w14:paraId="5C4F659B" w14:textId="77777777">
      <w:pPr>
        <w:pStyle w:val="NormalHanging12a"/>
      </w:pPr>
      <w:r w:rsidRPr="007257AE">
        <w:t>8.</w:t>
      </w:r>
      <w:r w:rsidRPr="007257AE">
        <w:rPr>
          <w:b/>
          <w:i/>
        </w:rPr>
        <w:tab/>
      </w:r>
      <w:r w:rsidRPr="007257AE">
        <w:t>vítá oznámení nové generace dohod o partnerství v oblasti udržitelného rybolovu, jak je uvedeno v Evropském paktu pro oceány, které jsou v souladu s regionálními strategiemi EU pro Afriku a indicko-tichomořský region; zdůrazňuje, že je třeba zajistit, aby tyto dohody respektovaly vědecké poznatky a lidská práva a zároveň dále prohlubovaly dvoustrannou spolupráci s partnerskými zeměmi a posilovaly společný postup na mezinárodních fórech, jako jsou regionální organizace pro řízení rybolovu, a aby rovněž posilovaly celosvětové vedoucí postavení EU při podpoře partnerství v oblasti udržitelného rybolovu; zdůrazňuje, že tato nová generace dohod o partnerství v oblasti udržitelného rybolovu by rovněž měla poskytnout příležitost ke zlepšení udržitelnosti loďstva, snížení tlaku na populace lovené ve velmi vysoké míře, diverzifikaci původu produktů rybolovu a snížení závislosti EU na produktech rybolovu ze zemí mimo EU; vyzývá Komisi, aby přijala komunikační strategii s celosvětovým rozměrem s cílem prosadit své ambice a vedoucí postavení;</w:t>
      </w:r>
    </w:p>
    <w:p w:rsidR="001E5D78" w:rsidRPr="007257AE" w:rsidP="001E5D78" w14:paraId="6CF9D7F4" w14:textId="77777777">
      <w:pPr>
        <w:pStyle w:val="NormalHanging12a"/>
        <w:rPr>
          <w:bCs/>
          <w:iCs/>
          <w:color w:val="000000" w:themeColor="text1"/>
        </w:rPr>
      </w:pPr>
      <w:r w:rsidRPr="007257AE">
        <w:t>9.</w:t>
      </w:r>
      <w:r w:rsidRPr="007257AE">
        <w:tab/>
      </w:r>
      <w:bookmarkStart w:id="6" w:name="_Hlk222762152"/>
      <w:r w:rsidRPr="007257AE">
        <w:rPr>
          <w:color w:val="000000" w:themeColor="text1"/>
        </w:rPr>
        <w:t>vyzývá k tomu, aby byla věnována pozornost dohodám, které nejsou uplatňovány, a to buď zahájením jednání, která by dohody aktivovala, nebo jejich ukončení, aby hospodářské subjekty EU mohly využít jiná ujednání v souladu s platnými pravidly EU, jako jsou přímá povolení; zdůrazňuje, že Dohoda WTO o subvencích na rybolov z roku 2022 výslovně vylučuje dohody o partnerství v oblasti udržitelného rybolovu ze své oblasti působnosti;</w:t>
      </w:r>
      <w:bookmarkEnd w:id="6"/>
    </w:p>
    <w:p w:rsidR="001E5D78" w:rsidRPr="007257AE" w:rsidP="001E5D78" w14:paraId="47DE9404" w14:textId="77777777">
      <w:pPr>
        <w:pStyle w:val="NormalHanging12a"/>
        <w:rPr>
          <w:bCs/>
          <w:iCs/>
        </w:rPr>
      </w:pPr>
      <w:r w:rsidRPr="007257AE">
        <w:t>10.</w:t>
      </w:r>
      <w:r w:rsidRPr="007257AE">
        <w:tab/>
        <w:t>dále vyzývá Komisi, aby pokračovala ve svém úsilí, zejména prostřednictvím své činnosti v rámci regionálních organizací pro řízení rybolovu, sítě dohod o partnerství v oblasti udržitelného rybolovu a memorand o porozumění, s cílem zajistit větší transparentnost a odpovědnost všech zemí provozujících rybolov, zejména těch, které nedodržují stejně přísné sociální a bezpečnostní normy a normy udržitelnosti jako loďstva EU, a aby zajistila, že tyto země budou dodržovat normy, které chrání pracovníky v souladu s úmluvami Mezinárodní organizace práce, poskytovat podrobné informace o činnosti svých loďstev, podávat přesné zprávy o svých úlovcích a dodržovat opatření pro zachování a řízení zdrojů;</w:t>
      </w:r>
    </w:p>
    <w:p w:rsidR="001E5D78" w:rsidRPr="007257AE" w:rsidP="001E5D78" w14:paraId="40E13857" w14:textId="77777777">
      <w:pPr>
        <w:pStyle w:val="NormalHanging12a"/>
      </w:pPr>
      <w:r w:rsidRPr="007257AE">
        <w:t>11.</w:t>
      </w:r>
      <w:r w:rsidRPr="007257AE">
        <w:tab/>
        <w:t>vyzývá EU a její členské státy, aby podporovaly provádění dobrovolných pokynů FAO pro udržitelný drobný rybolov, chránily vlastnická práva drobných rybářů a jejich přístup k rybolovným zdrojům a zajistily účast drobných rybářů na rozhodnutích, která se jich týkají;</w:t>
      </w:r>
    </w:p>
    <w:p w:rsidR="001E5D78" w:rsidRPr="007257AE" w:rsidP="001E5D78" w14:paraId="1B3B481C" w14:textId="77777777">
      <w:pPr>
        <w:pStyle w:val="NormalHanging12a"/>
        <w:rPr>
          <w:bCs/>
          <w:iCs/>
        </w:rPr>
      </w:pPr>
      <w:r w:rsidRPr="007257AE">
        <w:t>12.</w:t>
      </w:r>
      <w:r w:rsidRPr="007257AE">
        <w:tab/>
        <w:t>vyzývá Komisi, aby spolu s partnerskými zeměmi ve Středomoří prozkoumala způsoby, jak podpořit a harmonizovat sdílené řízení mořských zdrojů a rovné podmínky, pokud jde o pravidla a kontroly, regionální stabilitu a bezpečnost, s cílem zajistit dlouhodobou hospodářskou budoucnost hospodářských subjektů, například prohloubením spolupráce v regionálních organizacích pro řízení rybolovu nebo uzavřením dohody o partnerství v oblasti udržitelného rybolovu;</w:t>
      </w:r>
    </w:p>
    <w:p w:rsidR="001E5D78" w:rsidRPr="007257AE" w:rsidP="001E5D78" w14:paraId="4C4A203B" w14:textId="77777777">
      <w:pPr>
        <w:pStyle w:val="NormalHanging12a"/>
        <w:rPr>
          <w:bCs/>
          <w:iCs/>
        </w:rPr>
      </w:pPr>
      <w:r w:rsidRPr="007257AE">
        <w:t>13.</w:t>
      </w:r>
      <w:r w:rsidRPr="007257AE">
        <w:tab/>
        <w:t>zdůrazňuje, že dohody o partnerství v oblasti udržitelného rybolovu musí zaručit spravedlivé a nediskriminační zacházení s plavidly EU, přičemž poplatky za přístup a podmínky přístupu musí být přiměřené, transparentní a v souladu se zásadou rovných podmínek; zdůrazňuje, že na všechna plavidla působící ve výlučných ekonomických zónách partnerských zemí by se měly vztahovat stejné finanční a technické požadavky jako na plavidla EU, například prostřednictvím zrcadlově uplatňovaných opatření; vyzývá k posílení ustanovení o zákazu diskriminace v budoucích protokolech k dohodám o partnerství v oblasti udržitelného rybolovu s cílem zabránit partnerským zemím v poskytování výhodnějších podmínek – finančních nebo technických – jiným zahraničním loďstvům; zdůrazňuje potřebu účinného monitorování a prosazování těchto ustanovení a konstatuje, že v současné době v hodnoceních Komise chybí podrobné informace o jejich provádění a účinnosti; vyzývá proto Komisi, aby do budoucích zpráv o hodnocení dohod o partnerství v oblasti udržitelného rybolovu systematicky začleňovala komplexní analýzu a údaje o tomto aspektu;</w:t>
      </w:r>
    </w:p>
    <w:p w:rsidR="001E5D78" w:rsidRPr="007257AE" w:rsidP="001E5D78" w14:paraId="52C34AE7" w14:textId="77777777">
      <w:pPr>
        <w:pStyle w:val="NormalHanging12a"/>
        <w:rPr>
          <w:bCs/>
          <w:iCs/>
        </w:rPr>
      </w:pPr>
      <w:r w:rsidRPr="007257AE">
        <w:t>14.</w:t>
      </w:r>
      <w:r w:rsidRPr="007257AE">
        <w:tab/>
        <w:t>vyzývá Komisi a členské státy, aby se v zájmu zlepšení provádění nařízení o nezákonném, nehlášeném a neregulovaném rybolovu</w:t>
      </w:r>
      <w:r>
        <w:rPr>
          <w:rStyle w:val="FootnoteReference"/>
          <w:bCs/>
          <w:iCs/>
        </w:rPr>
        <w:footnoteReference w:id="5"/>
      </w:r>
      <w:r w:rsidRPr="007257AE">
        <w:t xml:space="preserve"> zabývaly nedostatečnou transparentností v odvětvích rybolovu v zemích mimo EU, která je důsledkem např. používání výhodných vlajek, střídání vlajek, složitých podnikových struktur a nedostatku veřejných informací o skutečných majitelích; dále zdůrazňuje, že je důležité zabránit tomu, aby loďstvo EU bylo nahrazeno méně udržitelným loďstvem ze zemí mimo EU;</w:t>
      </w:r>
    </w:p>
    <w:p w:rsidR="001E5D78" w:rsidRPr="007257AE" w:rsidP="001E5D78" w14:paraId="291D6719" w14:textId="77777777">
      <w:pPr>
        <w:pStyle w:val="NormalHanging12a"/>
        <w:rPr>
          <w:bCs/>
          <w:iCs/>
        </w:rPr>
      </w:pPr>
      <w:r w:rsidRPr="007257AE">
        <w:t>15.</w:t>
      </w:r>
      <w:r w:rsidRPr="007257AE">
        <w:tab/>
        <w:t>domnívá se, že je důležité, aby se při jednáních upřednostňovala přítomnost EU a přístup plavidel plujících pod vlajkou EU k lovištím; domnívá se, že s ohledem na dodávky potravin, jejich kontrolu a udržitelnost je vhodnější, aby plavidla plula pod vlajkami členských států EU, neboť tak přispívají ke strategické autonomii EU v oblasti potravinového zabezpečení;</w:t>
      </w:r>
    </w:p>
    <w:p w:rsidR="001E5D78" w:rsidRPr="007257AE" w:rsidP="001E5D78" w14:paraId="6808E220" w14:textId="77777777">
      <w:pPr>
        <w:pStyle w:val="NormalHanging12a"/>
        <w:rPr>
          <w:bCs/>
          <w:iCs/>
        </w:rPr>
      </w:pPr>
      <w:r w:rsidRPr="007257AE">
        <w:t>16.</w:t>
      </w:r>
      <w:r w:rsidRPr="007257AE">
        <w:tab/>
        <w:t>uznává strategický význam společných podniků v oblasti rybolovu jako vhodného modelu spolupráce mezi EU a třetími zeměmi; zdůrazňuje skutečnost, že tyto systémy vytvářejí hospodářskou a sociální hodnotu jak v rámci EU, tak v zemích mimo EU, a zároveň zajišťují dodávky vysoce kvalitních a udržitelně ulovených mořských bílkovin spotřebitelům v EU, pomáhají podporovat odpovědný rybolov, spravedlivou zaměstnanost a udržitelný růst a přímo přispívají k několika cílům udržitelného rozvoje, jakož i k cílům EU v oblasti správy oceánů;</w:t>
      </w:r>
    </w:p>
    <w:p w:rsidR="001E5D78" w:rsidRPr="007257AE" w:rsidP="001E5D78" w14:paraId="37D7E0BC" w14:textId="77777777">
      <w:pPr>
        <w:pStyle w:val="NormalHanging12a"/>
      </w:pPr>
      <w:r w:rsidRPr="007257AE">
        <w:t>17.</w:t>
      </w:r>
      <w:r w:rsidRPr="007257AE">
        <w:tab/>
        <w:t xml:space="preserve">s uspokojením bere na vědomí společné sdělení Komise a vysoké představitelky Unie pro zahraniční věci a bezpečnostní politiku ze dne 24. června 2022 o agendě EU v oblasti mezinárodní správy oceánů a nedávné přijetí Evropského paktu pro oceány Komisí, jehož provádění musí být podpořeno nezbytnými finančními prostředky, které zahrnují 1 miliardu EUR přislíbenou na třetí konferenci OSN o oceánech na dobrovolné závazky chránit mořskou biologickou rozmanitost a posílit rozvoj udržitelné modré ekonomiky; vítá začlenění Evropského paktu pro oceány do Kompasu konkurenceschopnosti EU jako jednoho ze strategických prvků pro dlouhodobý </w:t>
      </w:r>
      <w:r w:rsidRPr="007257AE">
        <w:t>hospodářský růst EU, zároveň však vyjadřuje politování nad skutečností, že přístup k těmto finančním prostředkům může být příčinou konkurence mezi námořními odvětvími;</w:t>
      </w:r>
    </w:p>
    <w:p w:rsidR="001E5D78" w:rsidRPr="007257AE" w:rsidP="001E5D78" w14:paraId="6FD5507B" w14:textId="77777777">
      <w:pPr>
        <w:pStyle w:val="NormalHanging12a"/>
      </w:pPr>
      <w:r w:rsidRPr="007257AE">
        <w:t>18.</w:t>
      </w:r>
      <w:r w:rsidRPr="007257AE">
        <w:tab/>
        <w:t>vyzývá EU, aby podpořila příslušné zúčastněné strany při vytváření evropské aliance námořního odvětví, která by začleňovala rybolov, akvakulturu, lodní stavitelství, lodní dopravu, strategické investice a technologie, a zároveň uznávala vzájemnou závislost všech námořních odvětví, pokud jde o konkurenceschopnost, zaměstnanost, energetickou a digitální transformaci a udržitelné využívání mořských a vodních zdrojů;</w:t>
      </w:r>
    </w:p>
    <w:p w:rsidR="001E5D78" w:rsidRPr="007257AE" w:rsidP="001E5D78" w14:paraId="657D63C3" w14:textId="77777777">
      <w:pPr>
        <w:pStyle w:val="NormalHanging12a"/>
      </w:pPr>
      <w:r w:rsidRPr="007257AE">
        <w:t>19.</w:t>
      </w:r>
      <w:r w:rsidRPr="007257AE">
        <w:tab/>
        <w:t>vyzývá Evropskou službu pro vnější činnost (ESVČ), aby výrazně zvýšila investice do odborné přípravy diplomatů Evropské unie v souvislosti s tématikou oceánů, a to se zvláštním důrazem na posílení odborných znalostí v oblasti správy moří a oceánů v rámci delegací a zastoupení EU v zemích mimo EU, zejména v pobřežních zemích; zdůrazňuje, že je třeba, aby lépe porozuměli investicím, operacím a výzvám modré ekonomiky EU v rámci příslušných oblastí působnosti a v souladu se strategií Global Gateway; vyzývá k zapojení ESVČ do prosazování strategického významu Evropského paktu pro oceány na základě podpory nebo pokynů příslušných generálních ředitelství Komise, včetně Generálního ředitelství pro námořní záležitosti a rybolov (GŘ MARE);</w:t>
      </w:r>
    </w:p>
    <w:p w:rsidR="001E5D78" w:rsidRPr="007257AE" w:rsidP="001E5D78" w14:paraId="16690B08" w14:textId="77777777">
      <w:pPr>
        <w:pStyle w:val="NormalHanging12a"/>
        <w:rPr>
          <w:b/>
          <w:bCs/>
          <w:i/>
        </w:rPr>
      </w:pPr>
      <w:r w:rsidRPr="007257AE">
        <w:rPr>
          <w:b/>
          <w:i/>
        </w:rPr>
        <w:t>Konkurenceschopnost v oblasti rybolovu a akvakultury</w:t>
      </w:r>
    </w:p>
    <w:p w:rsidR="001E5D78" w:rsidRPr="007257AE" w:rsidP="001E5D78" w14:paraId="56D8E78E" w14:textId="77777777">
      <w:pPr>
        <w:pStyle w:val="NormalHanging12a"/>
      </w:pPr>
      <w:r w:rsidRPr="007257AE">
        <w:t>20.</w:t>
      </w:r>
      <w:r w:rsidRPr="007257AE">
        <w:tab/>
        <w:t>vyzývá Komisi, aby v rámci probíhajícího hodnocení společné rybářské politiky předložila řešení ke snížení administrativní zátěže a zjednodušení administrativních postupů prostřednictvím souhrnného balíčku a aby urychlila postupy pro projekty, které posilují potravinové zabezpečení a potravinovou soběstačnost; domnívá se, že ukázkový příklad výnosného odvětví posiluje společné standardy udržitelnosti a připravuje půdu pro rozvoj těchto standardů na celém světě;</w:t>
      </w:r>
    </w:p>
    <w:p w:rsidR="001E5D78" w:rsidRPr="007257AE" w:rsidP="001E5D78" w14:paraId="5A380E86" w14:textId="77777777">
      <w:pPr>
        <w:pStyle w:val="NormalHanging12a"/>
        <w:rPr>
          <w:bCs/>
          <w:iCs/>
        </w:rPr>
      </w:pPr>
      <w:r w:rsidRPr="007257AE">
        <w:t>21.</w:t>
      </w:r>
      <w:r w:rsidRPr="007257AE">
        <w:tab/>
        <w:t>zdůrazňuje, že zásadními kroky pro zachování udržitelného, odolného a konkurenceschopného odvětví akvakultury je přijetí opatření, jako je například zjednodušení přístupu k pozemním a pobřežním oblastem, v úzké spolupráci s Evropskou investiční bankou a regionálními a místními orgány; zdůrazňuje, že revidovaná SRP nebo nová společná politika v oblasti akvakultury by měla pomoci zlepšit potravinové zabezpečení a soběstačnost tím, že zajistí stabilní dodávky mořských plodů pro spotřebitele v EU;</w:t>
      </w:r>
    </w:p>
    <w:p w:rsidR="001E5D78" w:rsidRPr="007257AE" w:rsidP="001E5D78" w14:paraId="3391FFA6" w14:textId="77777777">
      <w:pPr>
        <w:pStyle w:val="NormalHanging12a"/>
        <w:rPr>
          <w:bCs/>
          <w:iCs/>
        </w:rPr>
      </w:pPr>
      <w:r w:rsidRPr="007257AE">
        <w:t>22.</w:t>
      </w:r>
      <w:r w:rsidRPr="007257AE">
        <w:tab/>
        <w:t>zdůrazňuje, že rybolov a akvakultura jsou strategickým aktivem pro potravinové zabezpečení, svrchovanost a rozvoj venkova v pobřežních oblastech; naléhavě vyzývá Komisi, aby plně začlenila produkci potravin z rybolovu a vodních organismů do širších strategií EU v oblasti potravinového zabezpečení, výživy a udržitelnosti; trvá na tom, že všechny tři pilíře udržitelnosti SRP by měly být rozvíjeny stejně a žádný z nich by neměl ohrozit životaschopnost ostatních; vyzývá EU a členské státy, aby prohloubily spolupráci v rámci udržitelné modré ekonomiky mezi rybáři a dalšími aktéry v námořní oblasti v záležitostech, jako je územní plánování námořních prostor, zavádění energie z obnovitelných zdrojů, organizace dodavatelského řetězce mořských plodů, oběhové hospodářství a diverzifikace, a aby uznaly širší identitu a úlohu rybářů jako strážců mořského prostředí a hnací síly místního rozvoje v pobřežních komunitách;</w:t>
      </w:r>
    </w:p>
    <w:p w:rsidR="001E5D78" w:rsidRPr="007257AE" w:rsidP="001E5D78" w14:paraId="03095C66" w14:textId="77777777">
      <w:pPr>
        <w:pStyle w:val="NormalHanging12a"/>
        <w:rPr>
          <w:b/>
          <w:i/>
        </w:rPr>
      </w:pPr>
      <w:r w:rsidRPr="007257AE">
        <w:t>23.</w:t>
      </w:r>
      <w:r w:rsidRPr="007257AE">
        <w:tab/>
        <w:t xml:space="preserve">naléhavě vyzývá Komisi, aby důkladně posoudila strukturální a environmentální faktory a trendy ovlivňující dlouhodobou udržitelnost, konkurenceschopnost, závislost </w:t>
      </w:r>
      <w:r w:rsidRPr="007257AE">
        <w:t>a ziskovost rybolovu, akvakultury a subjektů zabývajících se prvotním prodejem a zpracováním, zejména v ostrovních a nejvzdálenějších regionech; navrhuje, aby byla vypracována opatření k řešení těchto faktorů a trendů prostřednictvím konkrétních a okamžitých kroků, jež zabrání postupnému zániku rybolovných činností v EU;</w:t>
      </w:r>
    </w:p>
    <w:p w:rsidR="001E5D78" w:rsidRPr="007257AE" w:rsidP="001E5D78" w14:paraId="192A6769" w14:textId="77777777">
      <w:pPr>
        <w:pStyle w:val="NormalHanging12a"/>
      </w:pPr>
      <w:r w:rsidRPr="007257AE">
        <w:t>24.</w:t>
      </w:r>
      <w:r w:rsidRPr="007257AE">
        <w:tab/>
        <w:t>poukazuje na to, že je třeba učinit odvětví rybolovu a akvakultury EU atraktivním a konkurenceschopným ve srovnání s globálními konkurenty; vyzývá Komisi, aby zajistila, že se všechny členské státy a příslušné zainteresované strany zaváží k rychlému zavedení systému CATCH pro všechny produkty rybolovu a akvakultury dovážené do EU, a aby podporovala dobrovolné uplatňování tohoto systému třetími zeměmi;</w:t>
      </w:r>
    </w:p>
    <w:p w:rsidR="001E5D78" w:rsidRPr="007257AE" w:rsidP="001E5D78" w14:paraId="0ACDDD06" w14:textId="77777777">
      <w:pPr>
        <w:pStyle w:val="NormalHanging12a"/>
      </w:pPr>
      <w:r w:rsidRPr="007257AE">
        <w:t>25.</w:t>
      </w:r>
      <w:r w:rsidRPr="007257AE">
        <w:tab/>
        <w:t>vyzývá k přijetí cílených opatření, jež zajistí generační obměnu a zvýší atraktivitu pracovního uplatnění v rybářském odvětví, a to i pro ženy, zajištěním udržitelného řízení a obnovy rybích populací, investic do moderních, bezpečných a digitalizovaných rybářských loďstev, aniž by se zvýšila jejich rybolovná kapacita, programů odborné přípravy, bezpečnosti na moři, rozvoje odborného vzdělávání, zejména v oblasti údržby námořních dronů a dálkově ovládaných robotů, prevence nemocí z povolání i jiných nemocí, iniciativ v oblasti prevence rizik a lepších pracovních podmínek;</w:t>
      </w:r>
    </w:p>
    <w:p w:rsidR="001E5D78" w:rsidRPr="007257AE" w:rsidP="001E5D78" w14:paraId="16A4EA4D" w14:textId="77777777">
      <w:pPr>
        <w:pStyle w:val="NormalHanging12a"/>
      </w:pPr>
      <w:r w:rsidRPr="007257AE">
        <w:t>26.</w:t>
      </w:r>
      <w:r w:rsidRPr="007257AE">
        <w:tab/>
        <w:t>připomíná, že ostrovní a nejvzdálenější regiony čelí trvalým přírodním a zeměpisným omezením, která mají dopad na konkurenceschopnost jejich rybářských loďstev a ostrovních ekonomik; vyzývá k tomu, aby byla věnována zvláštní pozornost investicím a opatřením, financování a podpoře například v oblasti dekarbonizace, obnovy a modernizace rybářského loďstva a zlepšení infrastruktury, zejména v nejvzdálenějších regionech, s cílem zvýšit atraktivitu, zajistit generační obměnu a budoucnost odvětví rybolovu v těchto regionech a přispět k udržitelnému místnímu rozvoji; žádá Komisi, aby více dbala na zapojení nejvzdálenějších regionů do partnerství EU v oblasti rybolovu se zeměmi mimo EU, zejména se sousedními zeměmi nebo regiony, například v podobě infrastruktury, loďstva nebo odvětvové podpory, aby nedocházelo k nekalé soutěže mezi rybáři v nejvzdálenějších regionech a rybáři v sousedních zemích mimo EU, jejichž plavidla se obnovují;</w:t>
      </w:r>
    </w:p>
    <w:p w:rsidR="001E5D78" w:rsidRPr="007257AE" w:rsidP="001E5D78" w14:paraId="4FBD4B83" w14:textId="77777777">
      <w:pPr>
        <w:pStyle w:val="NormalHanging12a"/>
      </w:pPr>
      <w:r w:rsidRPr="007257AE">
        <w:t>27.</w:t>
      </w:r>
      <w:r w:rsidRPr="007257AE">
        <w:tab/>
        <w:t>vyzývá Komisi a členské státy, aby zvyšovaly informovanost spotřebitelů a podporovaly transparentnost a sledovatelnost tím, že zajistí poskytování podrobných informací o původu, kvalitě a udržitelnosti výrobků z mořských plodů, a to i v digitální podobě; zdůrazňuje, že je třeba zajistit, aby mořské plody a mořské produkty z EU a dovážené do EU splňovaly podobné environmentální a sociální normy a normy v oblasti sledovatelnosti, udržitelnosti a dobrých životních podmínek zvířat, které musí být prosazovány prostřednictvím účinného monitorování a sankcí v souladu s pravidly WTO a budoucími recipročními doložkami;</w:t>
      </w:r>
    </w:p>
    <w:p w:rsidR="001E5D78" w:rsidRPr="007257AE" w:rsidP="001E5D78" w14:paraId="2C06BBA1" w14:textId="77777777">
      <w:pPr>
        <w:pStyle w:val="NormalHanging12a"/>
      </w:pPr>
      <w:r w:rsidRPr="007257AE">
        <w:t>28.</w:t>
      </w:r>
      <w:r w:rsidRPr="007257AE">
        <w:tab/>
        <w:t>vyzývá k přijetí opatření v rámci úsilí o dekarbonizaci a v souvislosti s obnovou a modernizací loďstva, přičemž zvláštní pozornost je třeba věnovat situaci a potřebám rybářského loďstva v nejvzdálenějších regionech a na ostrovech; poukazuje na to, že v nedávno zveřejněné studii Parlamentu</w:t>
      </w:r>
      <w:r>
        <w:rPr>
          <w:vertAlign w:val="superscript"/>
        </w:rPr>
        <w:footnoteReference w:id="6"/>
      </w:r>
      <w:r w:rsidRPr="007257AE">
        <w:t xml:space="preserve"> je navrženo, aby se u budoucích nástrojů na podporu rybolovu uvažovalo o méně omezujících podmínkách pro podporu prvního </w:t>
      </w:r>
      <w:r w:rsidRPr="007257AE">
        <w:t>pořízení rybářského plavidla, obnovu nebo výměnu motoru a zlepšení plavidel vyžadujících dodatečnou tonáž, a zároveň aby tyto nástroje uplatňovaly omezení s cílem zabránit nadměrné kapacitě nebo nadměrnému rybolovu na úrovni jednotlivých segmentů nebo celého vnitrostátního loďstva; vyzývá proto Komisi, aby se touto otázkou zabývala při hodnocení a zjednodušování zbytečných regulačních překážek v rámci SRP a Evropského námořního, rybářského a akvakulturního fondu (ENRAF);</w:t>
      </w:r>
    </w:p>
    <w:p w:rsidR="001E5D78" w:rsidRPr="007257AE" w:rsidP="001E5D78" w14:paraId="1958DD91" w14:textId="77777777">
      <w:pPr>
        <w:pStyle w:val="NormalHanging12a"/>
        <w:rPr>
          <w:b/>
          <w:bCs/>
          <w:i/>
        </w:rPr>
      </w:pPr>
      <w:r w:rsidRPr="007257AE">
        <w:rPr>
          <w:b/>
          <w:i/>
        </w:rPr>
        <w:t>Vedoucí postavení v oblasti životního prostředí a vědy</w:t>
      </w:r>
    </w:p>
    <w:p w:rsidR="001E5D78" w:rsidRPr="007257AE" w:rsidP="001E5D78" w14:paraId="0138C17F" w14:textId="2A06CB73">
      <w:pPr>
        <w:pStyle w:val="NormalHanging12a"/>
      </w:pPr>
      <w:r w:rsidRPr="007257AE">
        <w:t>29.</w:t>
      </w:r>
      <w:r w:rsidRPr="007257AE">
        <w:tab/>
        <w:t>vítá vedoucí úlohu EU v mezinárodní správě oceánů, zejména díky její roli při vytváření koalice 47 zemí s vysokými ambicemi pro zachování biologické rozmanitosti v oblastech mimo soudní pravomoc jednotlivých členů; vítá skutečnost, že v rámci Úmluvy OSN o mořském právu vstoupila v platnost Úmluva o volném moři s cílem zajistit účinné zachování a udržitelné využívání biologické rozmanitosti moří v oblastech za hranicemi národní jurisdikce, aby byla zajištěna účinná ochrana a udržitelná správa volného moře; upozorňuje na nutnost toho, aby nový rámec fungoval koordinovaně se stávajícími mezinárodními orgány, včetně regionálních organizací pro řízení rybolovu, FAO a Mezinárodní námořní organizace, a SRP a doplňoval je; zdůrazňuje, že tato úmluva by měla být uplatňována a příslušná směrnice provedena ve vnitrostátním právu v souladu s pravomocemi těchto orgánů a členských států a s </w:t>
      </w:r>
      <w:r w:rsidRPr="007257AE">
        <w:rPr>
          <w:i/>
          <w:iCs/>
        </w:rPr>
        <w:t>acquis</w:t>
      </w:r>
      <w:r w:rsidRPr="007257AE">
        <w:t xml:space="preserve"> EU;</w:t>
      </w:r>
    </w:p>
    <w:p w:rsidR="001E5D78" w:rsidRPr="007257AE" w:rsidP="001E5D78" w14:paraId="7963D2FD" w14:textId="77777777">
      <w:pPr>
        <w:pStyle w:val="NormalHanging12a"/>
        <w:rPr>
          <w:bCs/>
          <w:iCs/>
        </w:rPr>
      </w:pPr>
      <w:r w:rsidRPr="007257AE">
        <w:t>30.</w:t>
      </w:r>
      <w:r w:rsidRPr="007257AE">
        <w:tab/>
        <w:t>vítá potvrzení toho, že nepřijetí, neprovedení nebo nevymáhání opatření pro řízení rybolovu – ať již v rámci regionálních organizací pro řízení rybolovu, nebo v rámci dvoustranných a mnohostranných dohod – nyní podle práva EU představuje nespolupráci; žádá v této souvislosti Komisi, aby ve spolupráci s členskými státy využila všech dostupných nástrojů k zajištění spolupráce zemí mimo EU, včetně nařízení (EU) č. 1026/2012</w:t>
      </w:r>
      <w:r>
        <w:rPr>
          <w:rStyle w:val="FootnoteReference"/>
          <w:bCs/>
          <w:iCs/>
        </w:rPr>
        <w:footnoteReference w:id="7"/>
      </w:r>
      <w:r w:rsidRPr="007257AE">
        <w:t>, které stanoví rámec pro určení a přijetí opatření vůči zemím mimo EU, jež nespolupracují a umožňují neudržitelný rybolov některé populace společného zájmu Unie;</w:t>
      </w:r>
    </w:p>
    <w:p w:rsidR="001E5D78" w:rsidRPr="007257AE" w:rsidP="001E5D78" w14:paraId="05A23A69" w14:textId="77777777">
      <w:pPr>
        <w:pStyle w:val="NormalHanging12a"/>
      </w:pPr>
      <w:r w:rsidRPr="007257AE">
        <w:t>31.</w:t>
      </w:r>
      <w:r w:rsidRPr="007257AE">
        <w:tab/>
        <w:t>uznává význam zásady předběžné opatrnosti, pokud jde o mezinárodní moratorium na hlubokomořskou těžbu, jako záležitosti globální environmentální odpovědnosti, která by mohla ovlivnit správu oceánů a rybolov; v této souvislosti zdůrazňuje, že na projekty hlubokomořské těžby je důležité uplatňovat zásadu předběžné opatrnosti, dokud nebudou dostatečně prozkoumány a známy jejich dopady na mořské prostředí a biologickou rozmanitost; trvá na tom, že EU se musí i nadále aktivně podílet na celosvětovém úsilí v oblasti průzkumu hlubokomořských oblastí a zároveň stanovit nejvyšší standardy pro udržitelné řízení zdrojů; vítá preventivní pozastavení hlubokomořské těžby, jak prosazuje Komise; vyzývá proto členské státy, aby tento přístup podporovaly, a to i prostřednictvím Mezinárodního úřadu pro mořské dno, dokud nebude k dispozici komplexní vědecký výzkum a poznatky o dopadu hlubokomořské těžby a nebude možné prokázat, že tyto činnosti lze provádět, aniž by došlo ke ztrátě biologické rozmanitosti nebo poškození ekosystému;</w:t>
      </w:r>
    </w:p>
    <w:p w:rsidR="00E36253" w:rsidP="001E5D78" w14:paraId="54B7B39D" w14:textId="77777777">
      <w:pPr>
        <w:pStyle w:val="NormalHanging12a"/>
      </w:pPr>
      <w:r w:rsidRPr="007257AE">
        <w:t>32.</w:t>
      </w:r>
      <w:r w:rsidRPr="007257AE">
        <w:tab/>
        <w:t xml:space="preserve">vyzývá k podpoře mezinárodního moratoria na hlubokomořskou těžbu a připomíná EU </w:t>
      </w:r>
      <w:r w:rsidRPr="007257AE">
        <w:t>a jejím členským státům jako členům Mezinárodního úřadu pro mořské dno jejich právní povinnost stanovenou v Úmluvě OSN o mořském právu reagovat vhodnými opatřeními na veškeré pokusy o obcházení Mezinárodního úřadu pro mořské dno jako příslušného mezinárodního orgánu pro regulaci hlubokomořské těžby mimo jurisdikci jednotlivých států, neboť takové praktiky by mohly mít dopad na mezinárodní správu oceánů;</w:t>
      </w:r>
    </w:p>
    <w:p w:rsidR="001E5D78" w:rsidRPr="007257AE" w:rsidP="001E5D78" w14:paraId="3BA78EF5" w14:textId="42EB375D">
      <w:pPr>
        <w:pStyle w:val="NormalHanging12a"/>
        <w:rPr>
          <w:b/>
          <w:i/>
        </w:rPr>
      </w:pPr>
      <w:r w:rsidRPr="007257AE">
        <w:t>33.</w:t>
      </w:r>
      <w:r w:rsidRPr="007257AE">
        <w:tab/>
        <w:t>vyzývá Komisi a členské státy, aby tlačily na dodržování mezinárodního moratoria Mezinárodní velrybářské komise a mezinárodních orgánů na lov velryb a velkých kytovců všemi zeměmi a regiony, a žádá, aby stávající výjimky nebyly zneužívány k prosazování obchodních cílů;</w:t>
      </w:r>
    </w:p>
    <w:p w:rsidR="001E5D78" w:rsidRPr="007257AE" w:rsidP="001E5D78" w14:paraId="26242B6A" w14:textId="77777777">
      <w:pPr>
        <w:pStyle w:val="NormalHanging12a"/>
      </w:pPr>
      <w:r w:rsidRPr="007257AE">
        <w:t>34.</w:t>
      </w:r>
      <w:r w:rsidRPr="007257AE">
        <w:tab/>
        <w:t>zdůrazňuje, že před vymezením jakékoli chráněné mořské oblasti musí proběhnout úplné posouzení dopadů a účinné konzultace s dotčenými zúčastněnými stranami a musí být stanoveny jasné cíle a účinná opatření v oblasti sledování, kontroly a dohledu založená na nejlepších dostupných vědeckých poznatcích a poradenství; zdůrazňuje, že je třeba zohlednit tři pilíře udržitelného rozvoje, které musí jít ruku v ruce se strategickou autonomií EU, a že je třeba mít na zřeteli význam rybářů a pobřežních komunit pro soudržnost EU;</w:t>
      </w:r>
    </w:p>
    <w:p w:rsidR="001E5D78" w:rsidP="001E5D78" w14:paraId="54A25640" w14:textId="77777777">
      <w:pPr>
        <w:pStyle w:val="NormalHanging12a"/>
      </w:pPr>
      <w:r w:rsidRPr="007257AE">
        <w:t>35.</w:t>
      </w:r>
      <w:r w:rsidRPr="007257AE">
        <w:tab/>
        <w:t>připomíná, že je třeba věnovat zvláštní pozornost arktické oblasti v souladu se strategií pro Arktidu z roku 2021, a vyjadřuje podporu zejména úsilí směřujícímu k vytvoření dvou nových chráněných mořských oblastí ve východní Antarktidě a ve Weddellově moři v Jižním oceánu; bere na vědomí posouzení dopadů a nesouhlas s návrhy chráněné mořské oblasti, které vyjádřili někteří členové Komise pro zachování živých mořských zdrojů v Antarktidě; vyzývá k aktivnímu prosazování těchto chráněných mořských oblastí jako součásti nutné reakce na rostoucí a potenciálně neudržitelné ambice dalších globálních aktérů v těchto regionech a vybízí ke zvýšení dvoustranného a mnohostranného úsilí o zajištění podpory pro zřizování nových chráněných mořských oblastí;</w:t>
      </w:r>
    </w:p>
    <w:p w:rsidR="00194AF8" w:rsidP="001E5D78" w14:paraId="620BBE19" w14:textId="126ACF2A">
      <w:pPr>
        <w:pStyle w:val="NormalHanging12a"/>
        <w:rPr>
          <w:bCs/>
          <w:iCs/>
        </w:rPr>
      </w:pPr>
      <w:r>
        <w:rPr>
          <w:bCs/>
          <w:iCs/>
        </w:rPr>
        <w:t>36</w:t>
      </w:r>
      <w:r w:rsidRPr="00194AF8">
        <w:rPr>
          <w:bCs/>
          <w:iCs/>
        </w:rPr>
        <w:t>.</w:t>
      </w:r>
      <w:r w:rsidRPr="00194AF8">
        <w:rPr>
          <w:bCs/>
          <w:iCs/>
        </w:rPr>
        <w:tab/>
        <w:t>vyjadřuje znepokojení nad nárůstem a koncentrací úlovků krunýřovky krilové v Jižním oceánu některými zeměmi mimo EU v posledním desetiletí a nad souvisejícími hrozbami pro antarktické ekosystémy;</w:t>
      </w:r>
    </w:p>
    <w:p w:rsidR="00194AF8" w:rsidRPr="007257AE" w:rsidP="001E5D78" w14:paraId="4E67DA1A" w14:textId="28DAF997">
      <w:pPr>
        <w:pStyle w:val="NormalHanging12a"/>
        <w:rPr>
          <w:bCs/>
          <w:iCs/>
        </w:rPr>
      </w:pPr>
      <w:r w:rsidRPr="00194AF8">
        <w:rPr>
          <w:bCs/>
          <w:iCs/>
        </w:rPr>
        <w:t>3</w:t>
      </w:r>
      <w:r>
        <w:rPr>
          <w:bCs/>
          <w:iCs/>
        </w:rPr>
        <w:t>7</w:t>
      </w:r>
      <w:r w:rsidRPr="00194AF8">
        <w:rPr>
          <w:bCs/>
          <w:iCs/>
        </w:rPr>
        <w:t>.</w:t>
      </w:r>
      <w:r w:rsidRPr="00194AF8">
        <w:rPr>
          <w:bCs/>
          <w:iCs/>
        </w:rPr>
        <w:tab/>
        <w:t>vyzývá Komisi, aby podpořila pětileté moratorium na lov krunýřovky krilové v Jižním oceánu;</w:t>
      </w:r>
    </w:p>
    <w:p w:rsidR="007354BD" w:rsidP="001E5D78" w14:paraId="0B85AC0E" w14:textId="26592669">
      <w:pPr>
        <w:pStyle w:val="NormalHanging12a"/>
      </w:pPr>
      <w:r w:rsidRPr="007257AE">
        <w:t>3</w:t>
      </w:r>
      <w:r w:rsidR="00194AF8">
        <w:t>8</w:t>
      </w:r>
      <w:r w:rsidRPr="007257AE">
        <w:t>.</w:t>
      </w:r>
      <w:r w:rsidRPr="007257AE">
        <w:tab/>
        <w:t>zdůrazňuje, že páteří rozhodování při mezinárodní správě oceánů musí zůstat vědecké důkazy, které musí sloužit jako společná měna při mnohostranných jednáních a podporovat udržitelnou správu v oblasti rybolovu a akvakultury; dále zdůrazňuje, že je třeba investovat do vědeckých panelů, které poskytují důkazy, na nichž jsou tato rozhodnutí založena, a poskytovat jim součinnost;</w:t>
      </w:r>
    </w:p>
    <w:p w:rsidR="001E5D78" w:rsidRPr="007257AE" w:rsidP="001E5D78" w14:paraId="72D3BFCC" w14:textId="45236422">
      <w:pPr>
        <w:pStyle w:val="NormalHanging12a"/>
        <w:rPr>
          <w:b/>
          <w:i/>
        </w:rPr>
      </w:pPr>
      <w:r w:rsidRPr="007257AE">
        <w:t>3</w:t>
      </w:r>
      <w:r w:rsidR="00194AF8">
        <w:t>9</w:t>
      </w:r>
      <w:r w:rsidRPr="007257AE">
        <w:t>.</w:t>
      </w:r>
      <w:r w:rsidRPr="007257AE">
        <w:tab/>
        <w:t>připomíná význam EU jako světového lídra při provádění Kchun-mingsko-montrealského globálního rámce pro biologickou rozmanitost, který uznává význam dalších účinných opatření na ochranu jednotlivých území jako přístup doplňující chráněné mořské oblasti; zdůrazňuje, že je důležité zařadit opatření na ochranu jednotlivých území, aby bylo dosaženo cíle ochrany 30 % oceánů ve světě do roku 2030, pokud tato opatření splňují příslušná kritéria;</w:t>
      </w:r>
    </w:p>
    <w:p w:rsidR="007354BD" w:rsidP="001E5D78" w14:paraId="3494AD23" w14:textId="79C54BF5">
      <w:pPr>
        <w:pStyle w:val="NormalHanging12a"/>
      </w:pPr>
      <w:r>
        <w:t>40</w:t>
      </w:r>
      <w:r w:rsidRPr="007257AE" w:rsidR="001E5D78">
        <w:t>.</w:t>
      </w:r>
      <w:r w:rsidRPr="007257AE" w:rsidR="001E5D78">
        <w:tab/>
        <w:t>podporuje závazek přijatý v Evropském paktu pro oceány vytvořit celoevropskou Iniciativu pro pozorování oceánů jako základ pro lepší pochopení a řízení mořských ekosystémů; podporuje vytvoření evropské hlubokomořské observatoře v Atlantiku a rovněž vytvoření celosvětové sítě observatoří, které budou sdílet údaje a podporovat mobilitu mezi vědci; vyzývá k posílení spolupráce v rámci EU v oblasti výzkumu a inovací, aby se zlepšila vědecká spolupráce a mobilita v námořní oblasti a aby si EU upevnila vedoucí postavení EU v oblasti mořských studií; vyzývá EU, aby s ohledem na slábnoucí úsilí některých globálních partnerů v oblasti snižování emisí skleníkových plynů zvýšila své úsilí a závazek k vědecké spolupráci ve prospěch zachování mořských a pobřežních ekosystémů; zdůrazňuje, že je třeba poskytnout odpovídající finanční podporu;</w:t>
      </w:r>
    </w:p>
    <w:p w:rsidR="001E5D78" w:rsidRPr="007257AE" w:rsidP="001E5D78" w14:paraId="4071DA30" w14:textId="20FFED84">
      <w:pPr>
        <w:pStyle w:val="NormalHanging12a"/>
        <w:rPr>
          <w:bCs/>
          <w:iCs/>
        </w:rPr>
      </w:pPr>
      <w:r>
        <w:t>41</w:t>
      </w:r>
      <w:r w:rsidRPr="007257AE">
        <w:t>.</w:t>
      </w:r>
      <w:r w:rsidRPr="007257AE">
        <w:tab/>
        <w:t>vyzývá Komisi, aby v rámci Evropského paktu pro oceány zahájila zvláštní iniciativu „čisté Baltské moře“, která by se zabývala specifickými environmentálními a bezpečnostními problémy Baltského moře; zdůrazňuje, že mořská pánev je i nadále silně zasažena eutrofizací, znečištěním a přítomností nebezpečných pozůstatků válek, včetně munice, chemických látek a dalších kontaminujících látek na mořském dně;</w:t>
      </w:r>
    </w:p>
    <w:p w:rsidR="001E5D78" w:rsidRPr="007257AE" w:rsidP="001E5D78" w14:paraId="6ACC3E9F" w14:textId="77777777">
      <w:pPr>
        <w:pStyle w:val="NormalHanging12a"/>
        <w:rPr>
          <w:b/>
          <w:bCs/>
          <w:i/>
        </w:rPr>
      </w:pPr>
      <w:r w:rsidRPr="007257AE">
        <w:rPr>
          <w:b/>
          <w:i/>
        </w:rPr>
        <w:t>Obchodní politika a globální správa oceánů</w:t>
      </w:r>
    </w:p>
    <w:p w:rsidR="007354BD" w:rsidP="001E5D78" w14:paraId="3E04B9EA" w14:textId="1547B001">
      <w:pPr>
        <w:pStyle w:val="NormalHanging12a"/>
      </w:pPr>
      <w:r w:rsidRPr="007257AE">
        <w:t>4</w:t>
      </w:r>
      <w:r w:rsidR="00194AF8">
        <w:t>2</w:t>
      </w:r>
      <w:r w:rsidRPr="007257AE">
        <w:t>.</w:t>
      </w:r>
      <w:r w:rsidRPr="007257AE">
        <w:tab/>
        <w:t>zdůrazňuje odpovědnost EU za zachování své vedoucí úlohy na mezinárodních fórech prosazováním multilateralismu, spoluprací se všemi příslušnými partnery v oblasti udržitelnosti rybolovu a správy oceánů, včetně Spojených států a Číny, a stanovením celosvětových norem pro udržitelnost moří a spravedlivou hospodářskou soutěž; dále zdůrazňuje důležitou úlohu poradních sborů, jako je poradní sbor pro dálkový rybolov, při poskytování doporučení Komisi ohledně tvorby a provádění politik; poukazuje na to, že je důležité, aby byla jejich doporučení při rozhodování řádně zohledňována;</w:t>
      </w:r>
    </w:p>
    <w:p w:rsidR="001E5D78" w:rsidRPr="007257AE" w:rsidP="001E5D78" w14:paraId="388B5C23" w14:textId="7A37E20A">
      <w:pPr>
        <w:pStyle w:val="NormalHanging12a"/>
        <w:rPr>
          <w:bCs/>
          <w:iCs/>
        </w:rPr>
      </w:pPr>
      <w:r>
        <w:t>4</w:t>
      </w:r>
      <w:r w:rsidR="00194AF8">
        <w:t>3</w:t>
      </w:r>
      <w:r>
        <w:t>.</w:t>
      </w:r>
      <w:r w:rsidRPr="007257AE">
        <w:tab/>
        <w:t>vítá skutečnost, že vstoupila v platnost Dohoda OSN o subvencích na rybolov; zdůrazňuje, že tato dohoda je milníkem v odstraňování škodlivých dotací na rybolov, které přispívají k nadměrnému rybolovu a nadměrné kapacitě, čímž podporuje rovné podmínky a udržitelnou správu mořských zdrojů na celém světě; vybízí Komisi, aby na tento úspěch navázala prostřednictvím diplomacie v oblasti oceánů a aby proaktivně spolupracovala se zeměmi mimo EU, zejména s největšími rybářskými zeměmi, a prosazovala ratifikaci a účinné provádění této dohody a probíhající jednání s cílem shodnout se na dalších krocích a naplňovat globální závazky v oblasti udržitelného, transparentního a spravedlivého řízení rybolovu;</w:t>
      </w:r>
    </w:p>
    <w:p w:rsidR="001E5D78" w:rsidRPr="007257AE" w:rsidP="001E5D78" w14:paraId="555A86A7" w14:textId="4CE78501">
      <w:pPr>
        <w:pStyle w:val="NormalHanging12a"/>
        <w:rPr>
          <w:bCs/>
          <w:iCs/>
        </w:rPr>
      </w:pPr>
      <w:r w:rsidRPr="007257AE">
        <w:t>4</w:t>
      </w:r>
      <w:r w:rsidR="00194AF8">
        <w:t>4</w:t>
      </w:r>
      <w:r w:rsidRPr="007257AE">
        <w:t>.</w:t>
      </w:r>
      <w:r w:rsidRPr="007257AE">
        <w:tab/>
        <w:t>zdůrazňuje, že zásadní význam pro dosažení konkurenceschopnosti v oblasti rybolovu a akvakultury mají dobře vedené regionální organizace pro řízení rybolovu, které usilují o účinná mnohostranná jednání vedoucí k pevným společným pravidlům a skutečnému dodržování těchto pravidel, což podtrhuje význam investic do kapacit těchto regionálních organizací pro řízení rybolovu, spolupráce s agenturami OSN a posílení diplomacie EU na těchto fórech; zdůrazňuje, že EU stále dostatečně nevyužívá orgány regionálních organizací pro řízení rybolovu zabývající se dodržováním předpisů, a vyzývá proto Komisi, aby na nedodržování předpisů ze strany zemí mimo EU výbory regionálních organizací pro řízení rybolovu příslušné pro oblast dodržování předpisů upozorňovala a řešila je ve spolupráci s nimi;</w:t>
      </w:r>
    </w:p>
    <w:p w:rsidR="001E5D78" w:rsidRPr="007257AE" w:rsidP="001E5D78" w14:paraId="0CEC89A4" w14:textId="68E65C70">
      <w:pPr>
        <w:pStyle w:val="NormalHanging12a"/>
        <w:rPr>
          <w:b/>
          <w:i/>
        </w:rPr>
      </w:pPr>
      <w:r w:rsidRPr="007257AE">
        <w:t>4</w:t>
      </w:r>
      <w:r w:rsidR="00194AF8">
        <w:t>5</w:t>
      </w:r>
      <w:r w:rsidRPr="007257AE">
        <w:t>.</w:t>
      </w:r>
      <w:r w:rsidRPr="007257AE">
        <w:tab/>
        <w:t xml:space="preserve">vyzývá Komisi a členské státy, aby posílily celní kontroly většími pravomocemi a plně využívaly novou celní agenturu EU na ochranu rybářů před obchodníky s drogami </w:t>
      </w:r>
      <w:r w:rsidRPr="007257AE">
        <w:t>a migranty a před dalšími nezákonnými činnostmi, které ohrožují bezpečnost rybářů a regionální stabilitu; připomíná, že zajištění sledovatelnosti produktů z mořských plodů, účinného dodržování norem udržitelnosti a vzájemnosti se zeměmi mimo EU v oblasti produktů rybolovu a akvakultury chrání rybáře před nezákonnými činnostmi a zachovává důvěru spotřebitelů; zdůrazňuje, že zločinecké sítě, které při své činnosti využívají odvětví rybolovu, oslabují udržitelnost správy oceánů, narušují místní ekonomiky a ohrožují živobytí v pobřežních regionech; zdůrazňuje, že účinný boj proti organizované trestné činnosti v oblasti rybolovu přispěje k bezpečnější a odolnější oceánské ekonomice;</w:t>
      </w:r>
    </w:p>
    <w:p w:rsidR="001E5D78" w:rsidRPr="007257AE" w:rsidP="001E5D78" w14:paraId="69690B4D" w14:textId="68753629">
      <w:pPr>
        <w:pStyle w:val="NormalHanging12a"/>
      </w:pPr>
      <w:r w:rsidRPr="007257AE">
        <w:t>4</w:t>
      </w:r>
      <w:r w:rsidR="00194AF8">
        <w:t>6</w:t>
      </w:r>
      <w:r w:rsidRPr="007257AE">
        <w:t>.</w:t>
      </w:r>
      <w:r w:rsidRPr="007257AE">
        <w:tab/>
        <w:t>vítá dlouhodobá ujednání mezi EU a Spojeným královstvím, jež umožňují plný reciproční přístup do rybolovných vod do 30. června 2038; žádá Komisi, aby pozorně sledovala opatření přijatá Spojeným královstvím, s cílem chránit zájmy EU a jejích provozovatelů a občanů a aby se i nadále důrazně stavěla proti jakýmkoli jednostranným rozhodnutím, která by fakticky omezila přístup rybářů EU do vod Spojeného království, jako jsou rozhodnutí týkající se uplatňování nebo plánovaného vymezení chráněných mořských oblastí a zákazu rybolovu smačkovitých, a aby využila mechanismy dohody o obchodu a spolupráci k nápravě případné ztráty rybolovných práv; vyzývá Komisi, aby rovněž zajistila dlouhodobá a stabilní ujednání o rybolovu mezi EU a Spojeným královstvím po roce 2038;</w:t>
      </w:r>
    </w:p>
    <w:p w:rsidR="001E5D78" w:rsidRPr="007257AE" w:rsidP="001E5D78" w14:paraId="7DE3880C" w14:textId="322DD906">
      <w:pPr>
        <w:pStyle w:val="NormalHanging12a"/>
        <w:rPr>
          <w:bCs/>
          <w:iCs/>
        </w:rPr>
      </w:pPr>
      <w:r w:rsidRPr="007257AE">
        <w:t>4</w:t>
      </w:r>
      <w:r w:rsidR="00194AF8">
        <w:t>7</w:t>
      </w:r>
      <w:r w:rsidRPr="007257AE">
        <w:t>.</w:t>
      </w:r>
      <w:r w:rsidRPr="007257AE">
        <w:tab/>
        <w:t xml:space="preserve">vyzývá EU, aby zintenzivnila spolupráci s Norskem prostřednictvím kulatého stolu na vysoké úrovni pro dialog o rybolovu a oceánech s cílem uzavřít nevyřešené otázky, jako je dluh Norska vůči EU týkající se kvót na lov tresky obecné z roku 2021, a zajistit spravedlivé a rovné podmínky pro unijní i norské rybáře; vyzývá Komisi, aby vynaložila veškeré úsilí na dosažení komplexní dohody o sdílených populacích s pobřežními státy s cílem zabránit nadměrnému rybolovu těchto populací a zaručit rybářům EU spravedlivá a udržitelná rybolovná práva; vyzývá Komisi, aby využila všech možností, jež nabízí nařízení </w:t>
      </w:r>
      <w:r w:rsidRPr="00D57FDF" w:rsidR="00D57FDF">
        <w:t>(E</w:t>
      </w:r>
      <w:r w:rsidR="00037B1D">
        <w:t>U</w:t>
      </w:r>
      <w:r w:rsidRPr="00D57FDF" w:rsidR="00D57FDF">
        <w:t>) č. 1026/2012</w:t>
      </w:r>
      <w:r w:rsidRPr="007257AE">
        <w:t>, pokud jde o země, které umožňují neudržitelný rybolov, včetně sankcí;</w:t>
      </w:r>
    </w:p>
    <w:p w:rsidR="001E5D78" w:rsidRPr="007257AE" w:rsidP="001E5D78" w14:paraId="1CE736F6" w14:textId="1EB07008">
      <w:pPr>
        <w:pStyle w:val="NormalHanging12a"/>
        <w:rPr>
          <w:bCs/>
          <w:iCs/>
        </w:rPr>
      </w:pPr>
      <w:r w:rsidRPr="007257AE">
        <w:t>4</w:t>
      </w:r>
      <w:r w:rsidR="00194AF8">
        <w:t>8</w:t>
      </w:r>
      <w:r w:rsidRPr="007257AE">
        <w:t>.</w:t>
      </w:r>
      <w:r w:rsidRPr="007257AE">
        <w:tab/>
        <w:t>zdůrazňuje, že EU by měla využít svou tržní sílu jako strategický nástroj k obraně svých zájmů a podpoře udržitelnosti; zdůrazňuje, že přístup na trh EU musí být podmíněn dodržováním norem EU, což zajistí, aby mořské plody dovážené do EU nepocházely z nelegálních nebo neudržitelných zdrojů nebo z činností spojených s porušováním lidských práv;</w:t>
      </w:r>
    </w:p>
    <w:p w:rsidR="001E5D78" w:rsidRPr="007257AE" w:rsidP="001E5D78" w14:paraId="6D3445EB" w14:textId="71C6B7A6">
      <w:pPr>
        <w:pStyle w:val="NormalHanging12a"/>
        <w:rPr>
          <w:b/>
          <w:i/>
        </w:rPr>
      </w:pPr>
      <w:r w:rsidRPr="007257AE">
        <w:t>4</w:t>
      </w:r>
      <w:r w:rsidR="00194AF8">
        <w:t>9</w:t>
      </w:r>
      <w:r w:rsidRPr="007257AE">
        <w:t>.</w:t>
      </w:r>
      <w:r w:rsidRPr="007257AE">
        <w:tab/>
        <w:t>zdůrazňuje dlouhodobé vztahy EU s Grónskem v otázkách souvisejících s rybolovem a poukazuje na to, že je důležité prohloubit vztahy ve prospěch rybářů EU a přijmout společná opatření k zajištění udržitelného řízení rybích populací v severním Atlantiku;</w:t>
      </w:r>
    </w:p>
    <w:p w:rsidR="007354BD" w:rsidP="001E5D78" w14:paraId="0B93E7A4" w14:textId="6F8045DA">
      <w:pPr>
        <w:pStyle w:val="NormalHanging12a"/>
      </w:pPr>
      <w:r>
        <w:t>50</w:t>
      </w:r>
      <w:r w:rsidRPr="007257AE" w:rsidR="001E5D78">
        <w:t>.</w:t>
      </w:r>
      <w:r w:rsidRPr="007257AE" w:rsidR="001E5D78">
        <w:tab/>
        <w:t>vyzývá Komisi, aby zajistila řádné a úplné provádění pravidel EU týkajících se zemí mimo EU, které umožňují neudržitelný rybolov, zajistila větší právní jasnost ohledně neudržitelných rybolovných postupů a aktivovala donucovací opatření EU podle práva EU, včetně obchodních omezení, jako je zákaz dovozu, s cílem zlepšit schopnost EU řešit neudržitelné praktiky, zejména ty, jež mají dopad na populace malých pelagických druhů, jako je makrela obecná, a zajistit soulad mezi cíli obchodní politiky a diplomatické činnosti v oblasti oceánů; zdůrazňuje, že mnohé z těchto praktik jsou již dobře známy, ale stávající donucovací opatření je dostatečně neřeší;</w:t>
      </w:r>
    </w:p>
    <w:p w:rsidR="001E5D78" w:rsidRPr="007257AE" w:rsidP="001E5D78" w14:paraId="096B3E50" w14:textId="2704A16D">
      <w:pPr>
        <w:pStyle w:val="NormalHanging12a"/>
        <w:rPr>
          <w:bCs/>
          <w:iCs/>
        </w:rPr>
      </w:pPr>
      <w:r>
        <w:t>51</w:t>
      </w:r>
      <w:r w:rsidRPr="007257AE">
        <w:t>.</w:t>
      </w:r>
      <w:r w:rsidRPr="007257AE">
        <w:tab/>
        <w:t xml:space="preserve">naléhavě vyzývá Komisi, aby posílila monitorovací, kontrolní a donucovací </w:t>
      </w:r>
      <w:r w:rsidRPr="007257AE">
        <w:t>mechanismy týkající se ruských rybolovných činností a obchodních toků s mořskými plody, včetně překládek a zpětného vývozu přes země mimo EU; vyzývá k dalším omezením dovozu produktů rybolovu z Ruska; vyzývá k zavedení přísných požadavků na sledovatelnost a koordinovaných inspekcí a k zabránění vstupu ryb ulovených nebo zpracovaných ruskými provozovateli na trh EU;</w:t>
      </w:r>
    </w:p>
    <w:p w:rsidR="001E5D78" w:rsidRPr="007257AE" w:rsidP="001E5D78" w14:paraId="724232F0" w14:textId="77B1955B">
      <w:pPr>
        <w:pStyle w:val="NormalHanging12a"/>
        <w:rPr>
          <w:bCs/>
          <w:iCs/>
        </w:rPr>
      </w:pPr>
      <w:r w:rsidRPr="007257AE">
        <w:t>5</w:t>
      </w:r>
      <w:r w:rsidR="00194AF8">
        <w:t>2</w:t>
      </w:r>
      <w:r w:rsidRPr="007257AE">
        <w:t>.</w:t>
      </w:r>
      <w:r w:rsidRPr="007257AE">
        <w:tab/>
        <w:t>zdůrazňuje, že je důležité zajistit soulad mezi normami, jež se vztahují na výrobce v EU, a normami uplatňovanými na dovážené produkty, zejména v souvislosti se stávajícími nebo budoucími obchodními dohodami mezi EU a jejími obchodními partnery, například zavedením zrcadlových opatření; vyzývá proto Komisi, aby pokračovala v posuzování vhodnosti autonomních celních kvót s ohledem na jejich dopad na odvětví rybolovu v EU a aby je v případě potřeby upravila; opakuje svou výzvu, aby se s konzervovanými rybami a mořskými plody při obchodních jednáních zacházelo jako s „citlivými produkty“; vyzývá orgány EU, aby byly obezřetné a posílily kontroly, které zajistí, aby žádné produkty, na jejichž vývoz se uplatňují autonomní celní kvóty, nepocházely z nezákonného, nehlášeného a neregulovaného rybolovu;</w:t>
      </w:r>
    </w:p>
    <w:p w:rsidR="001E5D78" w:rsidRPr="007257AE" w:rsidP="001E5D78" w14:paraId="70A92402" w14:textId="72BBBE30">
      <w:pPr>
        <w:pStyle w:val="NormalHanging12a"/>
        <w:rPr>
          <w:bCs/>
          <w:iCs/>
        </w:rPr>
      </w:pPr>
      <w:r w:rsidRPr="007257AE">
        <w:t>5</w:t>
      </w:r>
      <w:r w:rsidR="00194AF8">
        <w:t>3</w:t>
      </w:r>
      <w:r w:rsidRPr="007257AE">
        <w:t>.</w:t>
      </w:r>
      <w:r w:rsidRPr="007257AE">
        <w:tab/>
        <w:t>vyzývá Komisi, aby zajistila, že cíle SRP budou plně začleněny do postoje EU na všech mezinárodních fórech, jako je Úmluva o biologické rozmanitosti nebo Úmluva o mezinárodním obchodu ohroženými druhy volně žijících živočichů a planě rostoucích rostlin, kde se projednávají otázky týkající se biologických mořských zdrojů, včetně rybolovných;</w:t>
      </w:r>
    </w:p>
    <w:p w:rsidR="001E5D78" w:rsidRPr="007257AE" w:rsidP="001E5D78" w14:paraId="23D766A0" w14:textId="77777777">
      <w:pPr>
        <w:pStyle w:val="NormalHanging12a"/>
        <w:rPr>
          <w:b/>
          <w:bCs/>
          <w:i/>
        </w:rPr>
      </w:pPr>
      <w:r w:rsidRPr="007257AE">
        <w:rPr>
          <w:b/>
          <w:i/>
        </w:rPr>
        <w:t>Rozpočtová a institucionální opatření</w:t>
      </w:r>
    </w:p>
    <w:p w:rsidR="001E5D78" w:rsidRPr="007257AE" w:rsidP="001E5D78" w14:paraId="1988D262" w14:textId="277C3AA4">
      <w:pPr>
        <w:pStyle w:val="NormalHanging12a"/>
      </w:pPr>
      <w:r w:rsidRPr="007257AE">
        <w:t>5</w:t>
      </w:r>
      <w:r w:rsidR="00194AF8">
        <w:t>4</w:t>
      </w:r>
      <w:r w:rsidRPr="007257AE">
        <w:t>.</w:t>
      </w:r>
      <w:r w:rsidRPr="007257AE">
        <w:tab/>
        <w:t>důrazně trvá na tom, že je třeba vyčlenit značné finanční prostředky na správu oceánů a diplomacii, zejména s cílem zachovat strategické odvětví rybolovu a zajistit, aby EU dokázala plnit své globální závazky, posílit svou strategickou úlohu a podpořit budoucí odolnost pobřežních komunit; se znepokojením konstatuje, že v návrzích příštího víceletého finančního rámce se uvádí, že na období 2028–2034 budou na rybolov a akvakulturu vyčleněny pouze 2 miliardy EUR, což představuje sotva třetinu předchozí garantované úrovně financování;</w:t>
      </w:r>
    </w:p>
    <w:p w:rsidR="001E5D78" w:rsidRPr="007257AE" w:rsidP="001E5D78" w14:paraId="30FBAD4E" w14:textId="63E25B26">
      <w:pPr>
        <w:pStyle w:val="NormalHanging12a"/>
        <w:rPr>
          <w:bCs/>
          <w:iCs/>
        </w:rPr>
      </w:pPr>
      <w:r w:rsidRPr="007257AE">
        <w:t>5</w:t>
      </w:r>
      <w:r w:rsidR="00194AF8">
        <w:t>5</w:t>
      </w:r>
      <w:r w:rsidRPr="007257AE">
        <w:t>.</w:t>
      </w:r>
      <w:r w:rsidRPr="007257AE">
        <w:tab/>
        <w:t>vyzývá Komisi, aby ve víceletém finančním rámci na období po roce 2028 zaručila odpovídající úroveň financování výdajů souvisejících s rybolovem, jako jsou cíle, na něž se v současné době vztahuje ENRAF; poukazuje na to, že je důležité, aby finanční prostředky EU zůstaly silným nástrojem na podporu generační obměny, genderové rovnosti, potravinového zabezpečení, modernizace loďstva a socioekonomické udržitelnosti;</w:t>
      </w:r>
    </w:p>
    <w:p w:rsidR="007354BD" w:rsidP="001E5D78" w14:paraId="1FAA0D76" w14:textId="7DCFBC22">
      <w:pPr>
        <w:pStyle w:val="NormalHanging12a"/>
      </w:pPr>
      <w:r w:rsidRPr="007257AE">
        <w:t>5</w:t>
      </w:r>
      <w:r w:rsidR="00194AF8">
        <w:t>6</w:t>
      </w:r>
      <w:r w:rsidRPr="007257AE">
        <w:t>.</w:t>
      </w:r>
      <w:r w:rsidRPr="007257AE">
        <w:tab/>
        <w:t>zdůrazňuje klíčovou úlohu drobného rybolovu pro zachování místních ekonomik a komunit na celém světě; zdůrazňuje, že má-li EU zlepšit svou strategickou a potravinovou autonomii, je nezbytné obnovit populace EU a vytvořit podmínky pro dlouhodobou odolnost a konkurenceschopnost EU, a proto je třeba, aby bylo odvětví drobného rybolovu EU odpovídajícím způsobem podporováno jak ze strany EU, tak ze strany členských států;</w:t>
      </w:r>
    </w:p>
    <w:p w:rsidR="001E5D78" w:rsidRPr="007257AE" w:rsidP="001E5D78" w14:paraId="4234498D" w14:textId="257163CE">
      <w:pPr>
        <w:pStyle w:val="NormalHanging12a"/>
        <w:rPr>
          <w:b/>
          <w:i/>
        </w:rPr>
      </w:pPr>
      <w:r w:rsidRPr="007257AE">
        <w:t>5</w:t>
      </w:r>
      <w:r w:rsidR="00194AF8">
        <w:t>7</w:t>
      </w:r>
      <w:r w:rsidRPr="007257AE">
        <w:t>.</w:t>
      </w:r>
      <w:r w:rsidRPr="007257AE">
        <w:tab/>
        <w:t xml:space="preserve">konstatuje, že veškerá diplomacie obnáší nákladnou projekční kapacitu, a proto by bylo vhodné vytvořit zvláštní finanční nástroj pro rybolov v ostrovních a nejvzdálenějších regionech, například obnovením programu speciálně zaměřeného na odlehlost a ostrovní charakter (POSEI – Rybolov), který byl začleněn do ENRAF, s cílem </w:t>
      </w:r>
      <w:r w:rsidRPr="007257AE">
        <w:t>podpořit toto odvětví při překonávání zeměpisných a strukturálních omezení a zajistit dlouhodobou životaschopnost místních rybářských komunit; zdůrazňuje, že je důležité zajistit využívání stávajících nástrojů, jako je služba monitorování mořského prostředí v rámci programu Copernicus, a nových schopností nebo technologií, jako jsou drony;</w:t>
      </w:r>
    </w:p>
    <w:p w:rsidR="001E5D78" w:rsidRPr="007257AE" w:rsidP="001E5D78" w14:paraId="6AF6733F" w14:textId="0A0EAEA1">
      <w:pPr>
        <w:pStyle w:val="NormalHanging12a"/>
      </w:pPr>
      <w:r w:rsidRPr="007257AE">
        <w:t>5</w:t>
      </w:r>
      <w:r w:rsidR="00194AF8">
        <w:t>8</w:t>
      </w:r>
      <w:r w:rsidRPr="007257AE">
        <w:t>.</w:t>
      </w:r>
      <w:r w:rsidRPr="007257AE">
        <w:tab/>
        <w:t>vyzývá Komisi a členské státy, aby zajistily, že rybáři a další aktéři v modré ekonomice budou mít účinný a jednodušší přístup k finančním nástrojům s minimálními vyčleněnými finančními prostředky, jako je Evropský fond pro konkurenceschopnost, který podporuje investice do udržitelné modré ekonomiky, a Nástroj EU pro sousedství a rozvojovou a mezinárodní spolupráci – Globální Evropa, který je základem správy oceánů a diplomatické činnosti v oblasti oceánů a úsilí v boji proti nezákonnému, nehlášenému a neregulovanému rybolovu, jakož i k financování v rámci dohod o partnerství v oblasti udržitelného rybolovu a k doplňkovým zdrojům financování, jako je Fond pro spravedlivou transformaci, REPowerEU, Horizont Evropa a Evropská investiční banka; důrazně vyzývá Komisi, aby zaručila dostatečnou správní a právní stabilitu pro soukromé investice s cílem podpořit rozvoj námořních odvětví;</w:t>
      </w:r>
    </w:p>
    <w:p w:rsidR="001E5D78" w:rsidRPr="007257AE" w:rsidP="001E5D78" w14:paraId="0BB02D9A" w14:textId="77777777">
      <w:pPr>
        <w:pStyle w:val="NormalCenter12a"/>
      </w:pPr>
      <w:r w:rsidRPr="007257AE">
        <w:t>°</w:t>
      </w:r>
    </w:p>
    <w:p w:rsidR="001E5D78" w:rsidRPr="007257AE" w:rsidP="001E5D78" w14:paraId="00D22E36" w14:textId="77777777">
      <w:pPr>
        <w:pStyle w:val="NormalCenter12a"/>
      </w:pPr>
      <w:r w:rsidRPr="007257AE">
        <w:t>°</w:t>
      </w:r>
      <w:r w:rsidRPr="007257AE">
        <w:tab/>
        <w:t>°</w:t>
      </w:r>
    </w:p>
    <w:p w:rsidR="007257AE" w:rsidRPr="007257AE" w:rsidP="007257AE" w14:paraId="1A43891D" w14:textId="704E1354">
      <w:pPr>
        <w:pStyle w:val="NormalHanging12a"/>
      </w:pPr>
      <w:r w:rsidRPr="007257AE">
        <w:t>5</w:t>
      </w:r>
      <w:r w:rsidR="00194AF8">
        <w:t>9</w:t>
      </w:r>
      <w:r w:rsidRPr="007257AE">
        <w:t>.</w:t>
      </w:r>
      <w:r w:rsidRPr="007257AE">
        <w:tab/>
        <w:t>pověřuje svou předsedkyni, aby předala toto usnesení Radě a Komisi.</w:t>
      </w:r>
    </w:p>
    <w:p w:rsidR="00E365E1" w:rsidRPr="007257AE" w:rsidP="006859B2" w14:paraId="7530C649" w14:textId="3EAD6FE4"/>
    <w:sectPr w:rsidSect="007257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257AE" w14:paraId="583BAFA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257AE" w14:paraId="0617047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257AE" w14:paraId="16F0D4F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859B2" w:rsidRPr="007257AE" w14:paraId="5D509BB8" w14:textId="77777777">
      <w:r w:rsidRPr="007257AE">
        <w:separator/>
      </w:r>
    </w:p>
  </w:footnote>
  <w:footnote w:type="continuationSeparator" w:id="1">
    <w:p w:rsidR="006859B2" w:rsidRPr="007257AE" w14:paraId="6779B902" w14:textId="77777777">
      <w:r w:rsidRPr="007257AE">
        <w:continuationSeparator/>
      </w:r>
    </w:p>
  </w:footnote>
  <w:footnote w:id="2">
    <w:p w:rsidR="001E5D78" w:rsidRPr="007257AE" w:rsidP="007257AE" w14:paraId="2B79EE86" w14:textId="0256E2AE">
      <w:pPr>
        <w:pStyle w:val="FootnoteText"/>
        <w:ind w:left="567" w:hanging="567"/>
        <w:rPr>
          <w:sz w:val="24"/>
          <w:lang w:val="cs-CZ"/>
        </w:rPr>
      </w:pPr>
      <w:r w:rsidRPr="007257AE">
        <w:rPr>
          <w:rStyle w:val="FootnoteReference"/>
          <w:sz w:val="24"/>
          <w:lang w:val="cs-CZ"/>
        </w:rPr>
        <w:footnoteRef/>
      </w:r>
      <w:r w:rsidRPr="007257AE" w:rsidR="007257AE">
        <w:rPr>
          <w:sz w:val="24"/>
          <w:lang w:val="cs-CZ"/>
        </w:rPr>
        <w:t xml:space="preserve"> </w:t>
      </w:r>
      <w:r w:rsidRPr="007257AE" w:rsidR="007257AE">
        <w:rPr>
          <w:sz w:val="24"/>
          <w:lang w:val="cs-CZ"/>
        </w:rPr>
        <w:tab/>
      </w:r>
      <w:r w:rsidRPr="007257AE">
        <w:rPr>
          <w:sz w:val="24"/>
          <w:lang w:val="cs-CZ"/>
        </w:rPr>
        <w:t xml:space="preserve">Úř. věst. L, 2025/2077, 14.10.2025, ELI: </w:t>
      </w:r>
      <w:hyperlink r:id="rId1" w:history="1">
        <w:r w:rsidRPr="007257AE">
          <w:rPr>
            <w:rStyle w:val="Hyperlink"/>
            <w:sz w:val="24"/>
            <w:lang w:val="cs-CZ"/>
          </w:rPr>
          <w:t>http://data.europa.eu/eli/reg/2025/2077/oj</w:t>
        </w:r>
      </w:hyperlink>
      <w:r w:rsidRPr="007257AE">
        <w:rPr>
          <w:sz w:val="24"/>
          <w:lang w:val="cs-CZ"/>
        </w:rPr>
        <w:t>.</w:t>
      </w:r>
    </w:p>
  </w:footnote>
  <w:footnote w:id="3">
    <w:p w:rsidR="001E5D78" w:rsidRPr="007257AE" w:rsidP="007257AE" w14:paraId="7FC042E9" w14:textId="550876B6">
      <w:pPr>
        <w:pStyle w:val="FootnoteText"/>
        <w:ind w:left="567" w:hanging="567"/>
        <w:rPr>
          <w:sz w:val="24"/>
          <w:lang w:val="cs-CZ"/>
        </w:rPr>
      </w:pPr>
      <w:r w:rsidRPr="007257AE">
        <w:rPr>
          <w:rStyle w:val="FootnoteReference"/>
          <w:sz w:val="24"/>
          <w:lang w:val="cs-CZ"/>
        </w:rPr>
        <w:footnoteRef/>
      </w:r>
      <w:r w:rsidRPr="007257AE" w:rsidR="007257AE">
        <w:rPr>
          <w:sz w:val="24"/>
          <w:lang w:val="cs-CZ"/>
        </w:rPr>
        <w:t xml:space="preserve"> </w:t>
      </w:r>
      <w:r w:rsidRPr="007257AE" w:rsidR="007257AE">
        <w:rPr>
          <w:sz w:val="24"/>
          <w:lang w:val="cs-CZ"/>
        </w:rPr>
        <w:tab/>
      </w:r>
      <w:r w:rsidRPr="007257AE">
        <w:rPr>
          <w:sz w:val="24"/>
          <w:lang w:val="cs-CZ"/>
        </w:rPr>
        <w:t>Úř. věst. L 73, 15.3.2019, s. 3.</w:t>
      </w:r>
    </w:p>
  </w:footnote>
  <w:footnote w:id="4">
    <w:p w:rsidR="001E5D78" w:rsidRPr="007257AE" w:rsidP="007257AE" w14:paraId="0DD3DDFF" w14:textId="7B88C182">
      <w:pPr>
        <w:pStyle w:val="FootnoteText"/>
        <w:ind w:left="567" w:hanging="567"/>
        <w:rPr>
          <w:sz w:val="24"/>
          <w:lang w:val="cs-CZ"/>
        </w:rPr>
      </w:pPr>
      <w:r w:rsidRPr="007257AE">
        <w:rPr>
          <w:rStyle w:val="FootnoteReference"/>
          <w:sz w:val="24"/>
          <w:lang w:val="cs-CZ"/>
        </w:rPr>
        <w:footnoteRef/>
      </w:r>
      <w:r w:rsidRPr="007257AE" w:rsidR="007257AE">
        <w:rPr>
          <w:sz w:val="24"/>
          <w:lang w:val="cs-CZ"/>
        </w:rPr>
        <w:t xml:space="preserve"> </w:t>
      </w:r>
      <w:r w:rsidRPr="007257AE" w:rsidR="007257AE">
        <w:rPr>
          <w:sz w:val="24"/>
          <w:lang w:val="cs-CZ"/>
        </w:rPr>
        <w:tab/>
      </w:r>
      <w:r w:rsidRPr="007257AE">
        <w:rPr>
          <w:sz w:val="24"/>
          <w:lang w:val="cs-CZ"/>
        </w:rPr>
        <w:t xml:space="preserve">Úř. věst. C, C/2024/2652, 29.4.2024, ELI: </w:t>
      </w:r>
      <w:hyperlink r:id="rId2" w:history="1">
        <w:r w:rsidRPr="007257AE">
          <w:rPr>
            <w:rStyle w:val="Hyperlink"/>
            <w:sz w:val="24"/>
            <w:lang w:val="cs-CZ"/>
          </w:rPr>
          <w:t>http://data.europa.eu/eli/C/2024/2652/oj</w:t>
        </w:r>
      </w:hyperlink>
      <w:r w:rsidRPr="007257AE">
        <w:rPr>
          <w:sz w:val="24"/>
          <w:lang w:val="cs-CZ"/>
        </w:rPr>
        <w:t>.</w:t>
      </w:r>
    </w:p>
  </w:footnote>
  <w:footnote w:id="5">
    <w:p w:rsidR="001E5D78" w:rsidRPr="007257AE" w:rsidP="007257AE" w14:paraId="13F82661" w14:textId="031C7972">
      <w:pPr>
        <w:pStyle w:val="FootnoteText"/>
        <w:ind w:left="567" w:hanging="567"/>
        <w:rPr>
          <w:sz w:val="24"/>
          <w:lang w:val="cs-CZ"/>
        </w:rPr>
      </w:pPr>
      <w:r w:rsidRPr="007257AE">
        <w:rPr>
          <w:rStyle w:val="FootnoteReference"/>
          <w:sz w:val="24"/>
          <w:lang w:val="cs-CZ"/>
        </w:rPr>
        <w:footnoteRef/>
      </w:r>
      <w:r w:rsidRPr="007257AE" w:rsidR="007257AE">
        <w:rPr>
          <w:sz w:val="24"/>
          <w:lang w:val="cs-CZ"/>
        </w:rPr>
        <w:t xml:space="preserve"> </w:t>
      </w:r>
      <w:r w:rsidRPr="007257AE" w:rsidR="007257AE">
        <w:rPr>
          <w:sz w:val="24"/>
          <w:lang w:val="cs-CZ"/>
        </w:rPr>
        <w:tab/>
      </w:r>
      <w:r w:rsidRPr="007257AE">
        <w:rPr>
          <w:sz w:val="24"/>
          <w:lang w:val="cs-CZ"/>
        </w:rPr>
        <w:t xml:space="preserve">Nařízení Rady (ES) č. 1005/2008 ze dne 29. září 2008, kterým se zavádí systém Společenství pro předcházení, potírání a odstranění nezákonného, nehlášeného a neregulovaného rybolovu, mění nařízení (EHS) č. 2847/93, (ES) č. 1936/2001 a (ES) č. 601/2004 a zrušují nařízení (ES) č. 1093/94 a (ES) č. 1447/1999 (Úř. věst. L 286, 29.10.2008, s. 1, ELI: </w:t>
      </w:r>
      <w:hyperlink r:id="rId3" w:history="1">
        <w:r w:rsidRPr="007354BD">
          <w:rPr>
            <w:rStyle w:val="Hyperlink"/>
            <w:sz w:val="24"/>
            <w:lang w:val="cs-CZ"/>
          </w:rPr>
          <w:t>http://data.europa.eu/eli/reg/2008/1005/oj</w:t>
        </w:r>
      </w:hyperlink>
      <w:r w:rsidRPr="007257AE">
        <w:rPr>
          <w:sz w:val="24"/>
          <w:lang w:val="cs-CZ"/>
        </w:rPr>
        <w:t>).</w:t>
      </w:r>
    </w:p>
  </w:footnote>
  <w:footnote w:id="6">
    <w:p w:rsidR="001E5D78" w:rsidRPr="007257AE" w:rsidP="007257AE" w14:paraId="31E50732" w14:textId="18AE7BE9">
      <w:pPr>
        <w:pStyle w:val="FootnoteText"/>
        <w:ind w:left="567" w:hanging="567"/>
        <w:rPr>
          <w:sz w:val="24"/>
          <w:lang w:val="cs-CZ"/>
        </w:rPr>
      </w:pPr>
      <w:r w:rsidRPr="007257AE">
        <w:rPr>
          <w:rStyle w:val="FootnoteReference"/>
          <w:sz w:val="24"/>
          <w:lang w:val="cs-CZ"/>
        </w:rPr>
        <w:footnoteRef/>
      </w:r>
      <w:r w:rsidRPr="007257AE" w:rsidR="007257AE">
        <w:rPr>
          <w:sz w:val="24"/>
          <w:lang w:val="cs-CZ"/>
        </w:rPr>
        <w:t xml:space="preserve"> </w:t>
      </w:r>
      <w:r w:rsidRPr="007257AE" w:rsidR="007257AE">
        <w:rPr>
          <w:sz w:val="24"/>
          <w:lang w:val="cs-CZ"/>
        </w:rPr>
        <w:tab/>
      </w:r>
      <w:r w:rsidRPr="007257AE">
        <w:rPr>
          <w:sz w:val="24"/>
          <w:lang w:val="cs-CZ"/>
        </w:rPr>
        <w:t>Evropský parlament, generální ředitelství pro vnitřní politiky, tematická sekce Strukturální politika a politika soudržnosti, „</w:t>
      </w:r>
      <w:r w:rsidRPr="007257AE">
        <w:rPr>
          <w:i/>
          <w:iCs/>
          <w:sz w:val="24"/>
          <w:lang w:val="cs-CZ"/>
        </w:rPr>
        <w:t>The future of the EU fishing fleet – First assessment of Member States</w:t>
      </w:r>
      <w:r w:rsidRPr="007257AE">
        <w:rPr>
          <w:sz w:val="24"/>
          <w:lang w:val="cs-CZ"/>
        </w:rPr>
        <w:t>“, listopad 2024.</w:t>
      </w:r>
    </w:p>
  </w:footnote>
  <w:footnote w:id="7">
    <w:p w:rsidR="001E5D78" w:rsidRPr="007257AE" w:rsidP="007257AE" w14:paraId="3A51C63B" w14:textId="0562BBA2">
      <w:pPr>
        <w:pStyle w:val="FootnoteText"/>
        <w:ind w:left="567" w:hanging="567"/>
        <w:rPr>
          <w:sz w:val="24"/>
          <w:lang w:val="cs-CZ"/>
        </w:rPr>
      </w:pPr>
      <w:r w:rsidRPr="007257AE">
        <w:rPr>
          <w:rStyle w:val="FootnoteReference"/>
          <w:sz w:val="24"/>
          <w:lang w:val="cs-CZ"/>
        </w:rPr>
        <w:footnoteRef/>
      </w:r>
      <w:r w:rsidRPr="007257AE" w:rsidR="007257AE">
        <w:rPr>
          <w:sz w:val="24"/>
          <w:lang w:val="cs-CZ"/>
        </w:rPr>
        <w:t xml:space="preserve"> </w:t>
      </w:r>
      <w:r w:rsidRPr="007257AE" w:rsidR="007257AE">
        <w:rPr>
          <w:sz w:val="24"/>
          <w:lang w:val="cs-CZ"/>
        </w:rPr>
        <w:tab/>
      </w:r>
      <w:r w:rsidRPr="007257AE">
        <w:rPr>
          <w:sz w:val="24"/>
          <w:lang w:val="cs-CZ"/>
        </w:rPr>
        <w:t xml:space="preserve">Nařízení Evropského parlamentu a Rady (EU) č. 1026/2012 ze dne 25. října 2012 o některých opatřeních za účelem zachování populací ryb ve vztahu k zemím, které umožňují neudržitelný rybolov (Úř. věst. L 316, 14.11.2012, s. 34, ELI: </w:t>
      </w:r>
      <w:hyperlink r:id="rId4" w:history="1">
        <w:r w:rsidRPr="007257AE">
          <w:rPr>
            <w:rStyle w:val="Hyperlink"/>
            <w:sz w:val="24"/>
            <w:lang w:val="cs-CZ"/>
          </w:rPr>
          <w:t>http://data.europa.eu/eli/reg/2012/1026/oj</w:t>
        </w:r>
      </w:hyperlink>
      <w:r w:rsidRPr="007257AE">
        <w:rPr>
          <w:sz w:val="24"/>
          <w:lang w:val="cs-CZ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257AE" w14:paraId="24E76FE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257AE" w14:paraId="3310D43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257AE" w14:paraId="6DA169A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2565553">
    <w:abstractNumId w:val="9"/>
  </w:num>
  <w:num w:numId="2" w16cid:durableId="496265715">
    <w:abstractNumId w:val="9"/>
  </w:num>
  <w:num w:numId="3" w16cid:durableId="1025983272">
    <w:abstractNumId w:val="7"/>
  </w:num>
  <w:num w:numId="4" w16cid:durableId="630213798">
    <w:abstractNumId w:val="7"/>
  </w:num>
  <w:num w:numId="5" w16cid:durableId="649990094">
    <w:abstractNumId w:val="6"/>
  </w:num>
  <w:num w:numId="6" w16cid:durableId="313221840">
    <w:abstractNumId w:val="6"/>
  </w:num>
  <w:num w:numId="7" w16cid:durableId="446588758">
    <w:abstractNumId w:val="5"/>
  </w:num>
  <w:num w:numId="8" w16cid:durableId="1282958684">
    <w:abstractNumId w:val="5"/>
  </w:num>
  <w:num w:numId="9" w16cid:durableId="1799571292">
    <w:abstractNumId w:val="4"/>
  </w:num>
  <w:num w:numId="10" w16cid:durableId="370615918">
    <w:abstractNumId w:val="4"/>
  </w:num>
  <w:num w:numId="11" w16cid:durableId="1065646761">
    <w:abstractNumId w:val="8"/>
  </w:num>
  <w:num w:numId="12" w16cid:durableId="1836066093">
    <w:abstractNumId w:val="8"/>
  </w:num>
  <w:num w:numId="13" w16cid:durableId="1843929570">
    <w:abstractNumId w:val="3"/>
  </w:num>
  <w:num w:numId="14" w16cid:durableId="363408502">
    <w:abstractNumId w:val="3"/>
  </w:num>
  <w:num w:numId="15" w16cid:durableId="1977101925">
    <w:abstractNumId w:val="2"/>
  </w:num>
  <w:num w:numId="16" w16cid:durableId="102112492">
    <w:abstractNumId w:val="2"/>
  </w:num>
  <w:num w:numId="17" w16cid:durableId="1213693644">
    <w:abstractNumId w:val="1"/>
  </w:num>
  <w:num w:numId="18" w16cid:durableId="574821407">
    <w:abstractNumId w:val="1"/>
  </w:num>
  <w:num w:numId="19" w16cid:durableId="1110508211">
    <w:abstractNumId w:val="0"/>
  </w:num>
  <w:num w:numId="20" w16cid:durableId="1002246420">
    <w:abstractNumId w:val="0"/>
  </w:num>
  <w:num w:numId="21" w16cid:durableId="1370185473">
    <w:abstractNumId w:val="9"/>
  </w:num>
  <w:num w:numId="22" w16cid:durableId="796797844">
    <w:abstractNumId w:val="7"/>
  </w:num>
  <w:num w:numId="23" w16cid:durableId="1405378302">
    <w:abstractNumId w:val="6"/>
  </w:num>
  <w:num w:numId="24" w16cid:durableId="31805056">
    <w:abstractNumId w:val="5"/>
  </w:num>
  <w:num w:numId="25" w16cid:durableId="1902252250">
    <w:abstractNumId w:val="4"/>
  </w:num>
  <w:num w:numId="26" w16cid:durableId="341443273">
    <w:abstractNumId w:val="8"/>
  </w:num>
  <w:num w:numId="27" w16cid:durableId="8333800">
    <w:abstractNumId w:val="3"/>
  </w:num>
  <w:num w:numId="28" w16cid:durableId="1624188580">
    <w:abstractNumId w:val="2"/>
  </w:num>
  <w:num w:numId="29" w16cid:durableId="1568878004">
    <w:abstractNumId w:val="1"/>
  </w:num>
  <w:num w:numId="30" w16cid:durableId="644168153">
    <w:abstractNumId w:val="0"/>
  </w:num>
  <w:num w:numId="31" w16cid:durableId="395930844">
    <w:abstractNumId w:val="9"/>
  </w:num>
  <w:num w:numId="32" w16cid:durableId="798957455">
    <w:abstractNumId w:val="7"/>
  </w:num>
  <w:num w:numId="33" w16cid:durableId="2114475105">
    <w:abstractNumId w:val="6"/>
  </w:num>
  <w:num w:numId="34" w16cid:durableId="1762598713">
    <w:abstractNumId w:val="5"/>
  </w:num>
  <w:num w:numId="35" w16cid:durableId="1989476422">
    <w:abstractNumId w:val="4"/>
  </w:num>
  <w:num w:numId="36" w16cid:durableId="1747222281">
    <w:abstractNumId w:val="8"/>
  </w:num>
  <w:num w:numId="37" w16cid:durableId="320355462">
    <w:abstractNumId w:val="3"/>
  </w:num>
  <w:num w:numId="38" w16cid:durableId="342586086">
    <w:abstractNumId w:val="2"/>
  </w:num>
  <w:num w:numId="39" w16cid:durableId="584921339">
    <w:abstractNumId w:val="1"/>
  </w:num>
  <w:num w:numId="40" w16cid:durableId="1792825508">
    <w:abstractNumId w:val="0"/>
  </w:num>
  <w:num w:numId="41" w16cid:durableId="115804466">
    <w:abstractNumId w:val="10"/>
  </w:num>
  <w:num w:numId="42" w16cid:durableId="116216366">
    <w:abstractNumId w:val="10"/>
  </w:num>
  <w:num w:numId="43" w16cid:durableId="201139119">
    <w:abstractNumId w:val="10"/>
  </w:num>
  <w:num w:numId="44" w16cid:durableId="12945571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9B2"/>
    <w:rsid w:val="00002272"/>
    <w:rsid w:val="00037B1D"/>
    <w:rsid w:val="00064002"/>
    <w:rsid w:val="000655DA"/>
    <w:rsid w:val="000677B9"/>
    <w:rsid w:val="000831BA"/>
    <w:rsid w:val="000A42CC"/>
    <w:rsid w:val="000E7DD9"/>
    <w:rsid w:val="0010095E"/>
    <w:rsid w:val="00125B37"/>
    <w:rsid w:val="0015239D"/>
    <w:rsid w:val="00187494"/>
    <w:rsid w:val="00194AF8"/>
    <w:rsid w:val="001E5D78"/>
    <w:rsid w:val="001F32AE"/>
    <w:rsid w:val="002767FF"/>
    <w:rsid w:val="002B18FE"/>
    <w:rsid w:val="002B5493"/>
    <w:rsid w:val="00341EAF"/>
    <w:rsid w:val="00343214"/>
    <w:rsid w:val="00361C00"/>
    <w:rsid w:val="00395FA1"/>
    <w:rsid w:val="003D5458"/>
    <w:rsid w:val="003E15D4"/>
    <w:rsid w:val="00411CCE"/>
    <w:rsid w:val="0041666E"/>
    <w:rsid w:val="00421060"/>
    <w:rsid w:val="00471C19"/>
    <w:rsid w:val="00473B1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59B2"/>
    <w:rsid w:val="006F74FA"/>
    <w:rsid w:val="007257AE"/>
    <w:rsid w:val="00731ADD"/>
    <w:rsid w:val="00734777"/>
    <w:rsid w:val="007354BD"/>
    <w:rsid w:val="00747932"/>
    <w:rsid w:val="00751A4A"/>
    <w:rsid w:val="00756632"/>
    <w:rsid w:val="00762C74"/>
    <w:rsid w:val="00786EC0"/>
    <w:rsid w:val="007D1690"/>
    <w:rsid w:val="007E22AD"/>
    <w:rsid w:val="007E5849"/>
    <w:rsid w:val="00817416"/>
    <w:rsid w:val="00842779"/>
    <w:rsid w:val="00865F67"/>
    <w:rsid w:val="00881A7B"/>
    <w:rsid w:val="008840E5"/>
    <w:rsid w:val="00887B3E"/>
    <w:rsid w:val="008A5DE5"/>
    <w:rsid w:val="008C2AC6"/>
    <w:rsid w:val="008D28B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3D6"/>
    <w:rsid w:val="00BA799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FDF"/>
    <w:rsid w:val="00D834A0"/>
    <w:rsid w:val="00D872DF"/>
    <w:rsid w:val="00D91E21"/>
    <w:rsid w:val="00DA7FCD"/>
    <w:rsid w:val="00E3625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2D6"/>
    <w:rsid w:val="00FB4360"/>
    <w:rsid w:val="00FD0C70"/>
  </w:rsids>
  <w:docVars>
    <w:docVar w:name="dvdocse" w:val="A10-0043/2026"/>
    <w:docVar w:name="dvlangue" w:val="CS"/>
    <w:docVar w:name="dvnumam" w:val="0"/>
    <w:docVar w:name="dvpe" w:val="777.039"/>
    <w:docVar w:name="dvrapporteur" w:val="Zpravodajka: "/>
    <w:docVar w:name="dvtitre" w:val="Usnesení Evropského parlamentu ze dne.... 2026 o úloze diplomatické činnosti týkající se oceánů pro konkurenceschopnost rybolovu a akvakultury v EU(2025/2054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DB88DA7"/>
  <w15:chartTrackingRefBased/>
  <w15:docId w15:val="{B7382E67-52F3-464A-898B-3BAE91A0B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E5D78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1E5D78"/>
    <w:pPr>
      <w:spacing w:after="240"/>
      <w:jc w:val="center"/>
    </w:pPr>
    <w:rPr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1E5D78"/>
    <w:rPr>
      <w:sz w:val="24"/>
      <w:szCs w:val="24"/>
      <w:lang w:val="cs-CZ" w:eastAsia="en-US"/>
    </w:rPr>
  </w:style>
  <w:style w:type="character" w:styleId="Hyperlink">
    <w:name w:val="Hyperlink"/>
    <w:basedOn w:val="DefaultParagraphFont"/>
    <w:unhideWhenUsed/>
    <w:rsid w:val="001E5D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4B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4AF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5/2077/oj" TargetMode="External" /><Relationship Id="rId2" Type="http://schemas.openxmlformats.org/officeDocument/2006/relationships/hyperlink" Target="http://data.europa.eu/eli/C/2024/2652/oj" TargetMode="External" /><Relationship Id="rId3" Type="http://schemas.openxmlformats.org/officeDocument/2006/relationships/hyperlink" Target="http://data.europa.eu/eli/reg/2008/1005/oj" TargetMode="External" /><Relationship Id="rId4" Type="http://schemas.openxmlformats.org/officeDocument/2006/relationships/hyperlink" Target="http://data.europa.eu/eli/reg/2012/1026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6488</Words>
  <Characters>39577</Characters>
  <Application>Microsoft Office Word</Application>
  <DocSecurity>0</DocSecurity>
  <Lines>329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4</cp:revision>
  <cp:lastPrinted>2004-11-19T15:42:00Z</cp:lastPrinted>
  <dcterms:created xsi:type="dcterms:W3CDTF">2026-06-04T15:22:00Z</dcterms:created>
  <dcterms:modified xsi:type="dcterms:W3CDTF">2026-09-21T09:41:00Z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A10-0043/2026</vt:lpwstr>
  </property>
  <property fmtid="{D5CDD505-2E9C-101B-9397-08002B2CF9AE}" pid="4" name="&lt;Type&gt;">
    <vt:lpwstr>RR</vt:lpwstr>
  </property>
</Properties>
</file>