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61758D" w14:textId="77777777" w:rsidTr="0010095E">
        <w:tblPrEx>
          <w:tblW w:w="9072" w:type="dxa"/>
          <w:tblLook w:val="01E0"/>
        </w:tblPrEx>
        <w:trPr>
          <w:trHeight w:hRule="exact" w:val="1418"/>
        </w:trPr>
        <w:tc>
          <w:tcPr>
            <w:tcW w:w="6804" w:type="dxa"/>
            <w:shd w:val="clear" w:color="auto" w:fill="auto"/>
            <w:vAlign w:val="center"/>
          </w:tcPr>
          <w:p w:rsidR="00751A4A" w:rsidRPr="00DB0FF2" w:rsidP="0010095E" w14:paraId="15F552B5" w14:textId="77777777">
            <w:pPr>
              <w:pStyle w:val="EPName"/>
            </w:pPr>
            <w:r w:rsidRPr="00DB0FF2">
              <w:t>Ευρωπαϊκό Κοινοβούλιο</w:t>
            </w:r>
          </w:p>
          <w:p w:rsidR="00751A4A" w:rsidRPr="00DB0FF2" w:rsidP="005F1B17" w14:paraId="7F72AC10" w14:textId="77777777">
            <w:pPr>
              <w:pStyle w:val="EPTerm"/>
              <w:rPr>
                <w:rStyle w:val="HideTWBExt"/>
                <w:noProof w:val="0"/>
                <w:vanish w:val="0"/>
                <w:color w:val="auto"/>
              </w:rPr>
            </w:pPr>
            <w:r w:rsidRPr="00DB0FF2">
              <w:t>2024</w:t>
            </w:r>
            <w:r w:rsidRPr="00DB0FF2" w:rsidR="00817416">
              <w:t>-202</w:t>
            </w:r>
            <w:r w:rsidRPr="00DB0FF2">
              <w:t>9</w:t>
            </w:r>
          </w:p>
        </w:tc>
        <w:tc>
          <w:tcPr>
            <w:tcW w:w="2268" w:type="dxa"/>
            <w:shd w:val="clear" w:color="auto" w:fill="auto"/>
          </w:tcPr>
          <w:p w:rsidR="00751A4A" w:rsidRPr="00DB0FF2" w:rsidP="0010095E" w14:paraId="6D3FD87F" w14:textId="77777777">
            <w:pPr>
              <w:pStyle w:val="EPLogo"/>
            </w:pPr>
            <w:r w:rsidRPr="00DB0FF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B0FF2" w:rsidP="004C5D52" w14:paraId="46E76DFA" w14:textId="77777777">
      <w:pPr>
        <w:pStyle w:val="LineTop"/>
      </w:pPr>
    </w:p>
    <w:p w:rsidR="00680577" w:rsidRPr="00DB0FF2" w:rsidP="00680577" w14:paraId="3772DBCC" w14:textId="77777777">
      <w:pPr>
        <w:pStyle w:val="EPBodyTA1"/>
      </w:pPr>
      <w:r w:rsidRPr="00DB0FF2">
        <w:t>ΚΕΙΜΕΝΑ ΠΟΥ ΕΓΚΡΙΘΗΚΑΝ</w:t>
      </w:r>
    </w:p>
    <w:p w:rsidR="00D058B8" w:rsidRPr="00DB0FF2" w:rsidP="00D058B8" w14:paraId="4C6701FE" w14:textId="77777777">
      <w:pPr>
        <w:pStyle w:val="LineBottom"/>
      </w:pPr>
    </w:p>
    <w:p w:rsidR="00411CCC" w:rsidRPr="00DB0FF2" w:rsidP="00411CCC" w14:paraId="26C441CB" w14:textId="569EBC6A">
      <w:pPr>
        <w:pStyle w:val="ATHeading1"/>
      </w:pPr>
      <w:bookmarkStart w:id="0" w:name="TANumber"/>
      <w:r w:rsidRPr="00DB0FF2">
        <w:t>P10_TA(2026)0</w:t>
      </w:r>
      <w:r w:rsidR="00CC574F">
        <w:t>121</w:t>
      </w:r>
      <w:bookmarkEnd w:id="0"/>
    </w:p>
    <w:p w:rsidR="00411CCC" w:rsidRPr="00DB0FF2" w:rsidP="00411CCC" w14:paraId="521CDE63" w14:textId="77777777">
      <w:pPr>
        <w:pStyle w:val="ATHeading2"/>
      </w:pPr>
      <w:bookmarkStart w:id="1" w:name="title"/>
      <w:r w:rsidRPr="00DB0FF2">
        <w:t>Ο ρόλος της ωκεάνιας διπλωματίας στην ανταγωνιστικότητα της αλιείας και της υδατοκαλλιέργειας της ΕΕ</w:t>
      </w:r>
      <w:bookmarkEnd w:id="1"/>
    </w:p>
    <w:p w:rsidR="00411CCC" w:rsidRPr="00DB0FF2" w:rsidP="00411CCC" w14:paraId="388C6D68" w14:textId="77777777">
      <w:pPr>
        <w:rPr>
          <w:i/>
          <w:vanish/>
        </w:rPr>
      </w:pPr>
      <w:r>
        <w:rPr>
          <w:i/>
        </w:rPr>
        <w:fldChar w:fldCharType="begin"/>
      </w:r>
      <w:r w:rsidRPr="00DB0FF2">
        <w:rPr>
          <w:i/>
        </w:rPr>
        <w:instrText xml:space="preserve"> TC"(</w:instrText>
      </w:r>
      <w:bookmarkStart w:id="2" w:name="DocNumber"/>
      <w:r w:rsidRPr="00DB0FF2">
        <w:rPr>
          <w:i/>
        </w:rPr>
        <w:instrText>A10-0043/2026</w:instrText>
      </w:r>
      <w:bookmarkEnd w:id="2"/>
      <w:r w:rsidRPr="00DB0FF2">
        <w:rPr>
          <w:i/>
        </w:rPr>
        <w:instrText xml:space="preserve"> - Εισηγήτρια: Željana Zovko)"\l3 \n&gt; \* MERGEFORMAT </w:instrText>
      </w:r>
      <w:r>
        <w:rPr>
          <w:i/>
        </w:rPr>
        <w:fldChar w:fldCharType="end"/>
      </w:r>
    </w:p>
    <w:p w:rsidR="00411CCC" w:rsidRPr="00DB0FF2" w:rsidP="00411CCC" w14:paraId="7E4E08C4" w14:textId="77777777">
      <w:pPr>
        <w:rPr>
          <w:vanish/>
        </w:rPr>
      </w:pPr>
      <w:bookmarkStart w:id="3" w:name="Commission"/>
      <w:r w:rsidRPr="00DB0FF2">
        <w:rPr>
          <w:vanish/>
        </w:rPr>
        <w:t>Επιτροπή Αλιείας</w:t>
      </w:r>
      <w:bookmarkEnd w:id="3"/>
    </w:p>
    <w:p w:rsidR="00411CCC" w:rsidRPr="00DB0FF2" w:rsidP="00411CCC" w14:paraId="12B34D2E" w14:textId="77777777">
      <w:pPr>
        <w:rPr>
          <w:vanish/>
        </w:rPr>
      </w:pPr>
      <w:bookmarkStart w:id="4" w:name="PE"/>
      <w:r w:rsidRPr="00DB0FF2">
        <w:rPr>
          <w:vanish/>
        </w:rPr>
        <w:t>PE777.039</w:t>
      </w:r>
      <w:bookmarkEnd w:id="4"/>
    </w:p>
    <w:p w:rsidR="00411CCC" w:rsidRPr="00DB0FF2" w:rsidP="00411CCC" w14:paraId="03A48880" w14:textId="79535976">
      <w:pPr>
        <w:pStyle w:val="ATHeading3"/>
      </w:pPr>
      <w:bookmarkStart w:id="5" w:name="Sujet"/>
      <w:r w:rsidRPr="00DB0FF2">
        <w:t xml:space="preserve">Ψήφισμα του Ευρωπαϊκού Κοινοβουλίου της </w:t>
      </w:r>
      <w:r w:rsidR="009617B0">
        <w:t>28ης</w:t>
      </w:r>
      <w:r w:rsidRPr="00DB0FF2" w:rsidR="009617B0">
        <w:t xml:space="preserve"> </w:t>
      </w:r>
      <w:r w:rsidR="00CE43A7">
        <w:t xml:space="preserve">Απριλίου </w:t>
      </w:r>
      <w:r w:rsidRPr="00DB0FF2">
        <w:t>2026 σχετικά με τον ρόλο της ωκεάνιας διπλωματίας στην ανταγωνιστικότητα της αλιείας και της υδατοκαλλιέργειας της ΕΕ</w:t>
      </w:r>
      <w:bookmarkEnd w:id="5"/>
      <w:r w:rsidRPr="00DB0FF2">
        <w:t xml:space="preserve"> </w:t>
      </w:r>
      <w:bookmarkStart w:id="6" w:name="References"/>
      <w:r w:rsidRPr="00DB0FF2">
        <w:t>(2025/2054(INI))</w:t>
      </w:r>
      <w:bookmarkEnd w:id="6"/>
    </w:p>
    <w:p w:rsidR="003D60A8" w:rsidRPr="00DB0FF2" w:rsidP="009D30AE" w14:paraId="0D05880C" w14:textId="77777777">
      <w:pPr>
        <w:pStyle w:val="NormalHanging12a"/>
        <w:spacing w:before="480"/>
        <w:ind w:left="567" w:hanging="567"/>
      </w:pPr>
      <w:r w:rsidRPr="00DB0FF2">
        <w:rPr>
          <w:i/>
        </w:rPr>
        <w:t>Το Ευρωπαϊκό Κοινοβούλιο</w:t>
      </w:r>
      <w:r w:rsidRPr="00DB0FF2">
        <w:t>,</w:t>
      </w:r>
    </w:p>
    <w:p w:rsidR="003D60A8" w:rsidRPr="00DB0FF2" w:rsidP="003D60A8" w14:paraId="2840E477" w14:textId="77777777">
      <w:pPr>
        <w:pStyle w:val="NormalHanging12a"/>
      </w:pPr>
      <w:r w:rsidRPr="00DB0FF2">
        <w:t>–</w:t>
      </w:r>
      <w:r w:rsidRPr="00DB0FF2">
        <w:tab/>
        <w:t>έχοντας υπόψη τη Συνθήκη για τη λειτουργία της Ευρωπαϊκής Ένωσης, και ιδίως τα άρθρα 2, 3 παράγραφος 5, 43, 349 και 355,</w:t>
      </w:r>
    </w:p>
    <w:p w:rsidR="003D60A8" w:rsidRPr="00DB0FF2" w:rsidP="003D60A8" w14:paraId="5C89743B" w14:textId="77777777">
      <w:pPr>
        <w:pStyle w:val="NormalHanging12a"/>
      </w:pPr>
      <w:r w:rsidRPr="00DB0FF2">
        <w:t>–</w:t>
      </w:r>
      <w:r w:rsidRPr="00DB0FF2">
        <w:tab/>
        <w:t>έχοντας υπόψη την κοινή αλιευτική πολιτική (ΚΑΠ) της ΕΕ, καθώς και την εξωτερική της διάσταση,</w:t>
      </w:r>
    </w:p>
    <w:p w:rsidR="003D60A8" w:rsidRPr="00DB0FF2" w:rsidP="003D60A8" w14:paraId="203CF4D2" w14:textId="77777777">
      <w:pPr>
        <w:pStyle w:val="NormalHanging12a"/>
      </w:pPr>
      <w:r w:rsidRPr="00DB0FF2">
        <w:t>–</w:t>
      </w:r>
      <w:r w:rsidRPr="00DB0FF2">
        <w:tab/>
        <w:t>έχοντας υπόψη τη συμφωνία για την εφαρμογή των διατάξεων της Σύμβασης των Ηνωμένων Εθνών για το Δίκαιο της Θάλασσας της 10ης Δεκεμβρίου 1982, όσον αφορά τη διατήρηση και διαχείριση των αλληλεπικαλυπτόμενων και των άκρως μεταναστευτικών αποθεμάτων ιχθύων,</w:t>
      </w:r>
    </w:p>
    <w:p w:rsidR="003D60A8" w:rsidRPr="00DB0FF2" w:rsidP="003D60A8" w14:paraId="5D88D9A7" w14:textId="77777777">
      <w:pPr>
        <w:pStyle w:val="NormalHanging12a"/>
      </w:pPr>
      <w:r w:rsidRPr="00DB0FF2">
        <w:rPr>
          <w:b/>
          <w:i/>
        </w:rPr>
        <w:t>–</w:t>
      </w:r>
      <w:r w:rsidRPr="00DB0FF2">
        <w:rPr>
          <w:b/>
          <w:i/>
        </w:rPr>
        <w:tab/>
      </w:r>
      <w:r w:rsidRPr="00DB0FF2">
        <w:t>έχοντας υπόψη τη συμφωνία υπό τη σύμβαση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της 19ης Ιουνίου 2023 (συμφωνία BBNJ),</w:t>
      </w:r>
    </w:p>
    <w:p w:rsidR="003D60A8" w:rsidRPr="00DB0FF2" w:rsidP="003D60A8" w14:paraId="6612D2CD" w14:textId="77777777">
      <w:pPr>
        <w:pStyle w:val="NormalHanging12a"/>
        <w:rPr>
          <w:bCs/>
          <w:iCs/>
        </w:rPr>
      </w:pPr>
      <w:r w:rsidRPr="00DB0FF2">
        <w:rPr>
          <w:b/>
          <w:i/>
        </w:rPr>
        <w:t>–</w:t>
      </w:r>
      <w:r w:rsidRPr="00DB0FF2">
        <w:rPr>
          <w:b/>
          <w:i/>
        </w:rPr>
        <w:tab/>
      </w:r>
      <w:r w:rsidRPr="00DB0FF2">
        <w:t>έχοντας υπόψη τον κανονισμό (EE) 2025/2077 του Ευρωπαϊκού Κοινοβουλίου και του Συμβουλίου, της 8ης Οκτωβρίου 2025, σχετικά με την τροποποίηση του κανονισμού (ΕΕ) αριθ. 1026/2012 για τη λήψη ορισμένων μέτρων με στόχο τη διατήρηση των ιχθυαποθεμάτων, κατά των χωρών οι οποίες επιτρέπουν τη διεξαγωγή μη βιώσιμης αλιείας</w:t>
      </w:r>
      <w:r>
        <w:rPr>
          <w:rStyle w:val="FootnoteReference"/>
          <w:bCs/>
          <w:iCs/>
        </w:rPr>
        <w:footnoteReference w:id="2"/>
      </w:r>
      <w:r w:rsidRPr="00DB0FF2">
        <w:t>,</w:t>
      </w:r>
    </w:p>
    <w:p w:rsidR="003D60A8" w:rsidRPr="00DB0FF2" w:rsidP="003D60A8" w14:paraId="7B2DFB54" w14:textId="7B646A01">
      <w:pPr>
        <w:pStyle w:val="NormalHanging12a"/>
      </w:pPr>
      <w:r w:rsidRPr="00DB0FF2">
        <w:t>–</w:t>
      </w:r>
      <w:r w:rsidRPr="00DB0FF2">
        <w:tab/>
        <w:t>έχοντας υπόψη την ανακοίνωση της Επιτροπής, της 5ης Ιουνίου 2025, με τίτλο «Το ευρωπαϊκό σύμφωνο για τους ωκεανούς» (COM(2025)0281) και την κοινή ανακοίνωση της Επιτροπής και του Ύπατου Εκπροσώπου της Ένωσης για Θέματα Εξωτερικής Πολιτικής και Πολιτικής Ασφαλείας, της 24ης Ιουνίου 2022, με τίτλο «Καθορισμός της πορείας για έναν βιώσιμο γαλάζιο πλανήτη — κοινή ανακοίνωση σχετικά με το θεματολόγιο της ΕΕ για τη διεθνή διακυβέρνηση των ωκεανών» (JOIN(2022)0028),</w:t>
      </w:r>
    </w:p>
    <w:p w:rsidR="003D60A8" w:rsidRPr="00DB0FF2" w:rsidP="003D60A8" w14:paraId="2E0FC532" w14:textId="7B6A62A5">
      <w:pPr>
        <w:pStyle w:val="NormalHanging12a"/>
        <w:rPr>
          <w:b/>
          <w:i/>
        </w:rPr>
      </w:pPr>
      <w:r w:rsidRPr="00DB0FF2">
        <w:rPr>
          <w:b/>
          <w:i/>
        </w:rPr>
        <w:t>–</w:t>
      </w:r>
      <w:r w:rsidRPr="00DB0FF2">
        <w:rPr>
          <w:b/>
          <w:i/>
        </w:rPr>
        <w:tab/>
      </w:r>
      <w:r w:rsidRPr="00DB0FF2">
        <w:t>έχοντας υπόψη την κοινή ανακοίνωση της Επιτροπής και της Ύπατης Εκπροσώπου της Ένωσης για Θέματα Εξωτερικής Πολιτικής και Πολιτικής Ασφαλείας, της 16ης</w:t>
      </w:r>
      <w:r w:rsidR="007C2111">
        <w:t> </w:t>
      </w:r>
      <w:r w:rsidRPr="00DB0FF2">
        <w:t>Οκτωβρίου 2025, με τίτλο «Το σύμφωνο για τη Μεσόγειο — Μία θάλασσα, ένα σύμφωνο, ένα μέλλον» (JOIN(2025)0026), και ιδίως το τμήμα II.6, με τίτλο «Προώθηση της βιώσιμης γαλάζιας οικονομίας»,</w:t>
      </w:r>
    </w:p>
    <w:p w:rsidR="003D60A8" w:rsidRPr="00DB0FF2" w:rsidP="003D60A8" w14:paraId="2E0CD66C" w14:textId="77777777">
      <w:pPr>
        <w:pStyle w:val="NormalHanging12a"/>
        <w:rPr>
          <w:b/>
          <w:i/>
        </w:rPr>
      </w:pPr>
      <w:r w:rsidRPr="00DB0FF2">
        <w:rPr>
          <w:b/>
          <w:i/>
        </w:rPr>
        <w:t>–</w:t>
      </w:r>
      <w:r w:rsidRPr="00DB0FF2">
        <w:rPr>
          <w:b/>
          <w:i/>
        </w:rPr>
        <w:tab/>
      </w:r>
      <w:r w:rsidRPr="00DB0FF2">
        <w:t xml:space="preserve">έχοντας υπόψη το παγκόσμιο πλαίσιο </w:t>
      </w:r>
      <w:r w:rsidRPr="00DB0FF2">
        <w:t>Κουνμίνγκ</w:t>
      </w:r>
      <w:r w:rsidRPr="00DB0FF2">
        <w:t>-Μόντρεαλ για τη βιοποικιλότητα,</w:t>
      </w:r>
    </w:p>
    <w:p w:rsidR="003D60A8" w:rsidRPr="00DB0FF2" w:rsidP="003D60A8" w14:paraId="3D8ABD1C" w14:textId="77777777">
      <w:pPr>
        <w:pStyle w:val="NormalHanging12a"/>
        <w:rPr>
          <w:b/>
          <w:i/>
        </w:rPr>
      </w:pPr>
      <w:r w:rsidRPr="00DB0FF2">
        <w:rPr>
          <w:b/>
          <w:i/>
        </w:rPr>
        <w:t>–</w:t>
      </w:r>
      <w:r w:rsidRPr="00DB0FF2">
        <w:rPr>
          <w:b/>
          <w:i/>
        </w:rPr>
        <w:tab/>
      </w:r>
      <w:r w:rsidRPr="00DB0FF2">
        <w:t>έχοντας υπόψη τη συμφωνία για την αποτροπή της άναρχης αλιείας ανοικτής θάλασσας στον κεντρικό Αρκτικό Ωκεανό</w:t>
      </w:r>
      <w:r>
        <w:rPr>
          <w:rStyle w:val="FootnoteReference"/>
          <w:bCs/>
          <w:iCs/>
        </w:rPr>
        <w:footnoteReference w:id="3"/>
      </w:r>
      <w:r w:rsidRPr="00DB0FF2">
        <w:t>,</w:t>
      </w:r>
    </w:p>
    <w:p w:rsidR="003D60A8" w:rsidRPr="00DB0FF2" w:rsidP="003D60A8" w14:paraId="0E85A6C7" w14:textId="202FC205">
      <w:pPr>
        <w:pStyle w:val="NormalHanging12a"/>
        <w:rPr>
          <w:b/>
          <w:i/>
        </w:rPr>
      </w:pPr>
      <w:r w:rsidRPr="00DB0FF2">
        <w:rPr>
          <w:b/>
          <w:i/>
        </w:rPr>
        <w:t>–</w:t>
      </w:r>
      <w:r w:rsidRPr="00DB0FF2">
        <w:rPr>
          <w:b/>
          <w:i/>
        </w:rPr>
        <w:tab/>
      </w:r>
      <w:r w:rsidRPr="00DB0FF2">
        <w:t>έχοντας υπόψη τη συμφωνία του Παγκόσμιου Οργανισμού Εμπορίου (ΠΟΕ) για τις επιδοτήσεις στον τομέα της αλιείας που εγκρίθηκε με την υπουργική απόφαση της 17ης</w:t>
      </w:r>
      <w:r w:rsidR="007C2111">
        <w:t> </w:t>
      </w:r>
      <w:r w:rsidRPr="00DB0FF2">
        <w:t>Ιουνίου 2022,</w:t>
      </w:r>
    </w:p>
    <w:p w:rsidR="003D60A8" w:rsidRPr="00DB0FF2" w:rsidP="003D60A8" w14:paraId="385BDE56" w14:textId="77777777">
      <w:pPr>
        <w:pStyle w:val="NormalHanging12a"/>
        <w:rPr>
          <w:b/>
          <w:i/>
        </w:rPr>
      </w:pPr>
      <w:r w:rsidRPr="00DB0FF2">
        <w:rPr>
          <w:b/>
          <w:i/>
        </w:rPr>
        <w:t>–</w:t>
      </w:r>
      <w:r w:rsidRPr="00DB0FF2">
        <w:rPr>
          <w:b/>
          <w:i/>
        </w:rPr>
        <w:tab/>
      </w:r>
      <w:r w:rsidRPr="00DB0FF2">
        <w:t xml:space="preserve">έχοντας υπόψη τις εκθέσεις του Οργανισμού Τροφίμων και Γεωργίας (FAO) με τίτλο «Review of the </w:t>
      </w:r>
      <w:r w:rsidRPr="00DB0FF2">
        <w:t>state</w:t>
      </w:r>
      <w:r w:rsidRPr="00DB0FF2">
        <w:t xml:space="preserve"> of </w:t>
      </w:r>
      <w:r w:rsidRPr="00DB0FF2">
        <w:t>world</w:t>
      </w:r>
      <w:r w:rsidRPr="00DB0FF2">
        <w:t xml:space="preserve"> </w:t>
      </w:r>
      <w:r w:rsidRPr="00DB0FF2">
        <w:t>marine</w:t>
      </w:r>
      <w:r w:rsidRPr="00DB0FF2">
        <w:t xml:space="preserve"> </w:t>
      </w:r>
      <w:r w:rsidRPr="00DB0FF2">
        <w:t>fisheries</w:t>
      </w:r>
      <w:r w:rsidRPr="00DB0FF2">
        <w:t xml:space="preserve"> </w:t>
      </w:r>
      <w:r w:rsidRPr="00DB0FF2">
        <w:t>resources</w:t>
      </w:r>
      <w:r w:rsidRPr="00DB0FF2">
        <w:t xml:space="preserve"> — 2025» (Επισκόπηση της κατάστασης των παγκόσμιων θαλάσσιων αλιευτικών πόρων για το 2025) και «The </w:t>
      </w:r>
      <w:r w:rsidRPr="00DB0FF2">
        <w:t>State</w:t>
      </w:r>
      <w:r w:rsidRPr="00DB0FF2">
        <w:t xml:space="preserve"> of World </w:t>
      </w:r>
      <w:r w:rsidRPr="00DB0FF2">
        <w:t>Fisheries</w:t>
      </w:r>
      <w:r w:rsidRPr="00DB0FF2">
        <w:t xml:space="preserve"> and Aquaculture 2024» (Η κατάσταση της παγκόσμιας αλιείας και υδατοκαλλιέργειας το 2024),</w:t>
      </w:r>
    </w:p>
    <w:p w:rsidR="003D60A8" w:rsidRPr="00DB0FF2" w:rsidP="003D60A8" w14:paraId="376D4C01" w14:textId="77777777">
      <w:pPr>
        <w:pStyle w:val="NormalHanging12a"/>
      </w:pPr>
      <w:r w:rsidRPr="00DB0FF2">
        <w:t>–</w:t>
      </w:r>
      <w:r w:rsidRPr="00DB0FF2">
        <w:tab/>
        <w:t>έχοντας υπόψη τα προηγούμενα ψηφίσματά του σχετικά με τη διακυβέρνηση των ωκεανών, την αλιεία και τη γαλάζια οικονομία,</w:t>
      </w:r>
    </w:p>
    <w:p w:rsidR="003D60A8" w:rsidRPr="00DB0FF2" w:rsidP="003D60A8" w14:paraId="77099621" w14:textId="77777777">
      <w:pPr>
        <w:pStyle w:val="NormalHanging12a"/>
        <w:rPr>
          <w:b/>
          <w:i/>
        </w:rPr>
      </w:pPr>
      <w:r w:rsidRPr="00DB0FF2">
        <w:rPr>
          <w:b/>
          <w:i/>
        </w:rPr>
        <w:t>–</w:t>
      </w:r>
      <w:r w:rsidRPr="00DB0FF2">
        <w:rPr>
          <w:b/>
          <w:i/>
        </w:rPr>
        <w:tab/>
      </w:r>
      <w:r w:rsidRPr="00DB0FF2">
        <w:t>έχοντας υπόψη το ψήφισμά του της 17ης Οκτωβρίου 2023 σχετικά με τις επιπτώσεις των κινεζικών αλιευτικών δραστηριοτήτων στην αλιεία της ΕΕ και τη μελλοντική πορεία</w:t>
      </w:r>
      <w:r>
        <w:rPr>
          <w:rStyle w:val="FootnoteReference"/>
          <w:bCs/>
          <w:iCs/>
        </w:rPr>
        <w:footnoteReference w:id="4"/>
      </w:r>
      <w:r w:rsidRPr="00DB0FF2">
        <w:t>,</w:t>
      </w:r>
    </w:p>
    <w:p w:rsidR="003D60A8" w:rsidRPr="00DB0FF2" w:rsidP="003D60A8" w14:paraId="45D1730A" w14:textId="77777777">
      <w:pPr>
        <w:pStyle w:val="NormalHanging12a"/>
      </w:pPr>
      <w:r w:rsidRPr="00DB0FF2">
        <w:t>–</w:t>
      </w:r>
      <w:r w:rsidRPr="00DB0FF2">
        <w:tab/>
        <w:t>έχοντας υπόψη το άρθρο 55 του Κανονισμού του,</w:t>
      </w:r>
    </w:p>
    <w:p w:rsidR="003D60A8" w:rsidRPr="00DB0FF2" w:rsidP="003D60A8" w14:paraId="0F3714A3" w14:textId="77777777">
      <w:pPr>
        <w:pStyle w:val="NormalHanging12a"/>
      </w:pPr>
      <w:r w:rsidRPr="00DB0FF2">
        <w:t>–</w:t>
      </w:r>
      <w:r w:rsidRPr="00DB0FF2">
        <w:tab/>
        <w:t>έχοντας υπόψη την έκθεση της Επιτροπής Αλιείας (A10-0043/2026),</w:t>
      </w:r>
    </w:p>
    <w:p w:rsidR="003D60A8" w:rsidRPr="00DB0FF2" w:rsidP="003D60A8" w14:paraId="4F1F6810" w14:textId="77777777">
      <w:pPr>
        <w:pStyle w:val="NormalHanging12a"/>
      </w:pPr>
      <w:r w:rsidRPr="00DB0FF2">
        <w:t>Α.</w:t>
      </w:r>
      <w:r w:rsidRPr="00DB0FF2">
        <w:tab/>
        <w:t>λαμβάνοντας υπόψη ότι οι ωκεανοί και οι θάλασσες καλύπτουν το 71 % της επιφάνειας της γης και πάνω από το 65 % του εδάφους της ΕΕ· λαμβάνοντας υπόψη ότι χάρη στις εξόχως απόκεντρες περιοχές της που διασφαλίζουν την παρουσία της σε κάθε ωκεανό, η ΕΕ εποπτεύει τη μεγαλύτερη συλλογική θαλάσσια περιοχή του κόσμου, η οποία περιλαμβάνει 25 εκατομμύρια τετραγωνικά χιλιόμετρα αποκλειστικών οικονομικών ζωνών και ακτογραμμή άνω των 70 000 χλμ.· λαμβάνοντας υπόψη ότι το 40 % των πολιτών της ΕΕ ζει σε απόσταση έως 50 χλμ. από τη θάλασσα·</w:t>
      </w:r>
    </w:p>
    <w:p w:rsidR="003D60A8" w:rsidRPr="00DB0FF2" w:rsidP="003D60A8" w14:paraId="02E80628" w14:textId="77777777">
      <w:pPr>
        <w:pStyle w:val="NormalHanging12a"/>
        <w:rPr>
          <w:b/>
          <w:i/>
        </w:rPr>
      </w:pPr>
      <w:r w:rsidRPr="00DB0FF2">
        <w:t>Β.</w:t>
      </w:r>
      <w:r w:rsidRPr="00DB0FF2">
        <w:tab/>
        <w:t xml:space="preserve">λαμβάνοντας υπόψη ότι ο αλιευτικός στόλος της ΕΕ, ο οποίος ενσαρκώνει την παρουσία της ΕΕ στις θάλασσες, περιλαμβάνει περίπου 69 000 σκάφη, το 75% των οποίων χρησιμοποιούνται από παράκτιους αλιείς και αλιείς μικρής κλίμακας, και είναι ένας από τους βιωσιμότερους και αυστηρότερα διοικούμενους αλιευτικούς στόλους στον κόσμο· λαμβάνοντας υπόψη ότι αντιμετωπίζει συρρίκνωση των ποσοστώσεων, υψηλό λειτουργικό κόστος, διοικητικό και κανονιστικό φόρτο, γήρανση του αλιευτικού στόλου και των αλιέων, έλλειψη κινήτρων για την προσέλκυση νέων γενεών στον τομέα και αθέμιτο ανταγωνισμό από τρίτες χώρες με χαμηλότερα πρότυπα· λαμβάνοντας υπόψη ότι ο θεμιτός ανταγωνισμός και η βιώσιμη διαχείριση της αλιείας </w:t>
      </w:r>
      <w:r w:rsidRPr="00DB0FF2">
        <w:t>αποτελούν βασικές συνιστώσες για έναν ευημερούντα και κερδοφόρο τομέα, όπως καταδεικνύεται στην ετήσια οικονομική έκθεση του 2024 σχετικά με τον αλιευτικό στόλο της ΕΕ·</w:t>
      </w:r>
    </w:p>
    <w:p w:rsidR="003D60A8" w:rsidRPr="00DB0FF2" w:rsidP="003D60A8" w14:paraId="1A40E5EE" w14:textId="77777777">
      <w:pPr>
        <w:pStyle w:val="NormalHanging12a"/>
        <w:rPr>
          <w:b/>
          <w:i/>
        </w:rPr>
      </w:pPr>
      <w:r w:rsidRPr="00DB0FF2">
        <w:t>Γ.</w:t>
      </w:r>
      <w:r w:rsidRPr="00DB0FF2">
        <w:rPr>
          <w:b/>
          <w:i/>
        </w:rPr>
        <w:tab/>
      </w:r>
      <w:r w:rsidRPr="00DB0FF2">
        <w:t>λαμβάνοντας υπόψη ότι η έλλειψη ισότιμων όρων για τους αλιείς της ΕΕ και τρίτων χωρών έχει οδηγήσει τα τελευταία χρόνια σε σημαντική απώλεια σκαφών της ΕΕ, τα οποία είτε έχουν εξαχθεί προσωρινά είτε έχουν πωληθεί σε τρίτες χώρες· λαμβάνοντας υπόψη ότι, όταν ένα ευρωπαϊκό σκάφος εγκαταλείπει ένα αλιευτικό πεδίο στο πλαίσιο μιας περιφερειακής οργάνωσης διαχείρισης της αλιείας (ΠΟΔΑ), αντικαθίσταται από σκάφος τρίτης χώρας, το οποίο συνήθως ενεργεί βάσει χαμηλότερων περιβαλλοντικών και κοινωνικών προτύπων· λαμβάνοντας υπόψη ότι, ταυτόχρονα, αυξάνονται οι εισαγωγές από τις χώρες αυτές στην αγορά της ΕΕ·</w:t>
      </w:r>
    </w:p>
    <w:p w:rsidR="003D60A8" w:rsidRPr="00DB0FF2" w:rsidP="003D60A8" w14:paraId="46C1942F" w14:textId="77777777">
      <w:pPr>
        <w:pStyle w:val="NormalHanging12a"/>
        <w:rPr>
          <w:b/>
          <w:i/>
        </w:rPr>
      </w:pPr>
      <w:r w:rsidRPr="00DB0FF2">
        <w:t>Δ.</w:t>
      </w:r>
      <w:r w:rsidRPr="00DB0FF2">
        <w:rPr>
          <w:b/>
          <w:i/>
        </w:rPr>
        <w:tab/>
      </w:r>
      <w:r w:rsidRPr="00DB0FF2">
        <w:t>λαμβάνοντας υπόψη ότι ο τομέας της αλιείας και της υδατοκαλλιέργειας της ΕE συνεισφέρει περίπου 5,5 δισ. EUR ετησίως στην οικονομία της ΕΕ και παρέχει άμεση απασχόληση σε περίπου 193 000 αλιείς και υδατοκαλλιεργητές σε ολόκληρη την Ευρώπη· λαμβάνοντας υπόψη ότι η EE διαθέτει έναν κλάδο επεξεργασίας αλιευμάτων και κονσερβοποιίας με σημαντική κοινωνικοοικονομική διάσταση η οποία πρέπει επίσης να διατηρηθεί και να ενισχυθεί·</w:t>
      </w:r>
    </w:p>
    <w:p w:rsidR="003D60A8" w:rsidRPr="00DB0FF2" w:rsidP="003D60A8" w14:paraId="0B5EACD0" w14:textId="77777777">
      <w:pPr>
        <w:pStyle w:val="NormalHanging12a"/>
      </w:pPr>
      <w:r w:rsidRPr="00DB0FF2">
        <w:t>Ε.</w:t>
      </w:r>
      <w:r w:rsidRPr="00DB0FF2">
        <w:tab/>
        <w:t>λαμβάνοντας υπόψη ότι η ΕΕ εισάγει το 70 % των θαλασσινών της, δημιουργώντας στρατηγική εξάρτηση, υπονομεύοντας την αυτάρκεια και διακινδυνεύοντας να εκθέσει τον τομέα σε αθέμιτες πρακτικές· λαμβάνοντας υπόψη ότι η κατάσταση αυτή απαιτεί διατάξεις περί ιχνηλασιμότητας και διαφάνειας, ισχυρότερους συνοριακούς ελέγχους και την εναρμόνιση των τελωνειακών μηχανισμών και αυτόματες ρήτρες διασφάλισης και αμοιβαιότητας, συμπληρωματικά προς τη δημιουργία ενός γραφείου ελέγχου των εισαγωγών της ΕΕ για να εξασφαλιστεί ότι όλες οι εισαγωγές συμμορφώνονται με πρότυπα ισοδύναμα με εκείνα που ισχύουν στην ΕΕ·</w:t>
      </w:r>
    </w:p>
    <w:p w:rsidR="003D60A8" w:rsidRPr="00DB0FF2" w:rsidP="003D60A8" w14:paraId="4A1863F4" w14:textId="77777777">
      <w:pPr>
        <w:pStyle w:val="NormalHanging12a"/>
      </w:pPr>
      <w:r w:rsidRPr="00DB0FF2">
        <w:t>ΣΤ.</w:t>
      </w:r>
      <w:r w:rsidRPr="00DB0FF2">
        <w:tab/>
        <w:t>λαμβάνοντας υπόψη ότι η ΕΕ είναι συμβαλλόμενο μέρος 18 ΠΟΔΑ και τεσσάρων περιφερειακών συμβάσεων για τις θάλασσες και διαδραματίζει ηγετικό ρόλο στις πολυμερείς διαπραγματεύσεις σχετικά με τη διαχείριση της αλιείας και τη διατήρηση του θαλάσσιου περιβάλλοντος· λαμβάνοντας υπόψη ότι η ΕΕ αναγνωρίζει ότι οι ΠΟΔΑ αποτελούν τους θεμέλιους λίθους της διεθνούς ωκεάνιας διακυβέρνησης για τη διαχείριση και τη διατήρηση των αλιευτικών πόρων και βασικά μέσα για την προώθηση της διεθνούς ωκεάνιας διπλωματίας, την ενίσχυση της συνεργασίας μεταξύ παράκτιων και αλιευτικών χωρών και τη διασφάλιση της βιώσιμης διακυβέρνησης της ανοικτής θάλασσας·</w:t>
      </w:r>
    </w:p>
    <w:p w:rsidR="003D60A8" w:rsidRPr="00DB0FF2" w:rsidP="003D60A8" w14:paraId="24BF70EB" w14:textId="77777777">
      <w:pPr>
        <w:pStyle w:val="NormalHanging12a"/>
        <w:rPr>
          <w:b/>
          <w:i/>
        </w:rPr>
      </w:pPr>
      <w:r w:rsidRPr="00DB0FF2">
        <w:t>Ζ.</w:t>
      </w:r>
      <w:r w:rsidRPr="00DB0FF2">
        <w:rPr>
          <w:b/>
          <w:i/>
        </w:rPr>
        <w:tab/>
      </w:r>
      <w:r w:rsidRPr="00DB0FF2">
        <w:t>λαμβάνοντας υπόψη ότι η ΕΕ έχει συνάψει 20 συμφωνίες σύμπραξης βιώσιμης αλιείας (ΣΑΣ)· λαμβάνοντας υπόψη παρότι επτά από αυτές είναι σε αδράνεια, οι ΣΑΣ δημιουργούν ένα δίκτυο συμφωνιών με χώρες εταίρους, οι οποίες αποτελούν επίσης πλατφόρμα για περαιτέρω συνεργασία σε σχέση με την παγκόσμια διαχείριση της αλιείας και τη διεθνή διακυβέρνηση των ωκεανών·</w:t>
      </w:r>
    </w:p>
    <w:p w:rsidR="003D60A8" w:rsidRPr="00DB0FF2" w:rsidP="003D60A8" w14:paraId="5F5BA2B6" w14:textId="77777777">
      <w:pPr>
        <w:pStyle w:val="NormalHanging12a"/>
      </w:pPr>
      <w:r w:rsidRPr="00DB0FF2">
        <w:t>Η.</w:t>
      </w:r>
      <w:r w:rsidRPr="00DB0FF2">
        <w:tab/>
        <w:t xml:space="preserve">λαμβάνοντας υπόψη ότι η </w:t>
      </w:r>
      <w:r w:rsidRPr="00DB0FF2">
        <w:t>οξίνιση</w:t>
      </w:r>
      <w:r w:rsidRPr="00DB0FF2">
        <w:t xml:space="preserve"> των ωκεανών, τα θαλάσσια απορρίμματα, η υπεραλίευση, η ρύπανση από πλαστικά, τα χωροκατακτητικά είδη, η υποβάθμιση των οικοτόπων και η κλιματική αλλαγή με την αύξηση της θερμοκρασίας της θάλασσας και την αυξανόμενη συχνότητα εμφάνισης θαλάσσιων καυσώνων συνιστούν σημαντική απειλή για τη θαλάσσια βιοποικιλότητα, ενώ η παράνομη, αδήλωτη και ανεξέλεγκτη (ΠΑΑ) αλιεία, η υπεραλίευση και οι σκιώδεις στόλοι απειλούν την παγκόσμια και </w:t>
      </w:r>
      <w:r w:rsidRPr="00DB0FF2">
        <w:t>ενωσιακή βιοποικιλότητα και αλιεία και δημιουργούν αθέμιτο ανταγωνισμό για τους αλιείς της ΕΕ·</w:t>
      </w:r>
    </w:p>
    <w:p w:rsidR="003D60A8" w:rsidRPr="00DB0FF2" w:rsidP="003D60A8" w14:paraId="597E1AEC" w14:textId="77777777">
      <w:pPr>
        <w:pStyle w:val="NormalHanging12a"/>
        <w:rPr>
          <w:b/>
          <w:i/>
        </w:rPr>
      </w:pPr>
      <w:r w:rsidRPr="00DB0FF2">
        <w:t>Θ.</w:t>
      </w:r>
      <w:r w:rsidRPr="00DB0FF2">
        <w:rPr>
          <w:b/>
          <w:i/>
        </w:rPr>
        <w:tab/>
      </w:r>
      <w:r w:rsidRPr="00DB0FF2">
        <w:t>λαμβάνοντας υπόψη ότι οι σκιώδεις στόλοι και οι αδιαφανείς ιδιοκτησιακές δομές συνιστούν διακριτή και αυξημένη απειλή για την ασφάλεια στη θάλασσα, τη δημόσια υγεία και την ασφάλεια στις παράκτιες περιοχές —μεταξύ άλλων μέσω του αυξημένου κινδύνου πετρελαιοκηλίδων, τυχαίων εκροών, εκλύσεων επικίνδυνων αποβλήτων και άλλων περιστατικών που θέτουν σε κίνδυνο την ανθρώπινη ζωή, τα μέσα διαβίωσης και τα παράκτια οικοσυστήματα·</w:t>
      </w:r>
    </w:p>
    <w:p w:rsidR="003D60A8" w:rsidRPr="00DB0FF2" w:rsidP="003D60A8" w14:paraId="55DBC4C5" w14:textId="77777777">
      <w:pPr>
        <w:pStyle w:val="NormalHanging12a"/>
        <w:rPr>
          <w:b/>
          <w:i/>
        </w:rPr>
      </w:pPr>
      <w:r w:rsidRPr="00DB0FF2">
        <w:t>Ι.</w:t>
      </w:r>
      <w:r w:rsidRPr="00DB0FF2">
        <w:rPr>
          <w:b/>
          <w:i/>
        </w:rPr>
        <w:tab/>
      </w:r>
      <w:r w:rsidRPr="00DB0FF2">
        <w:t>λαμβάνοντας υπόψη ότι η ελευθερία ναυσιπλοΐας και η ικανότητα δραστηριοποίησης στη θάλασσα αμφισβητούνται όλο και περισσότερο παγκοσμίως και οι βασικές ναυτιλιακές υποδομές αντιμετωπίζουν αυξανόμενους κινδύνους·</w:t>
      </w:r>
    </w:p>
    <w:p w:rsidR="003D60A8" w:rsidRPr="00DB0FF2" w:rsidP="003D60A8" w14:paraId="6B18AF20" w14:textId="77777777">
      <w:pPr>
        <w:pStyle w:val="NormalHanging12a"/>
      </w:pPr>
      <w:r w:rsidRPr="00DB0FF2">
        <w:t>ΙΑ.</w:t>
      </w:r>
      <w:r w:rsidRPr="00DB0FF2">
        <w:rPr>
          <w:b/>
          <w:i/>
        </w:rPr>
        <w:tab/>
      </w:r>
      <w:r w:rsidRPr="00DB0FF2">
        <w:t>λαμβάνοντας υπόψη ότι οι υβριδικές απειλές, οι κυβερνοεπιθέσεις και οι πρόσφατες πράξεις δολιοφθοράς υπερβαίνουν τα σύνορα, δεδομένου ότι περιλαμβάνουν ζημιές σε αγωγούς και υποβρύχια καλώδια επικοινωνίας, παρεμβάσεις στο παγκόσμιο σύστημα προσδιορισμού θέσης (GPS) στη Βαλτική και τον Εύξεινο Πόντο και επιθέσεις σε θαλάσσιες οδούς στην Ερυθρά Θάλασσα· λαμβάνοντας υπόψη ότι η αντιμετώπιση της έκθεσης των θαλάσσιων υποδομών, των θαλάσσιων γραμμών επικοινωνίας και του παγκόσμιου εμπορίου σε υβριδικές απειλές, κυβερνοεπιθέσεις, πειρατεία και αυξανόμενες γεωπολιτικές εντάσεις και, κατά συνέπεια, σε απειλές για την ασφάλεια στη θάλασσα, έχει καταστεί στρατηγική προτεραιότητα για την οικονομία, τη συνδεσιμότητα και την ψηφιακή κυριαρχία της ΕΕ·</w:t>
      </w:r>
    </w:p>
    <w:p w:rsidR="003D60A8" w:rsidRPr="00DB0FF2" w:rsidP="003D60A8" w14:paraId="2D035E9B" w14:textId="77777777">
      <w:pPr>
        <w:pStyle w:val="NormalHanging12a"/>
        <w:rPr>
          <w:b/>
          <w:i/>
        </w:rPr>
      </w:pPr>
      <w:r w:rsidRPr="00DB0FF2">
        <w:t xml:space="preserve">ΙΒ. </w:t>
      </w:r>
      <w:r w:rsidRPr="00DB0FF2">
        <w:tab/>
        <w:t>λαμβάνοντας υπόψη ότι ο πέμπτος γύρος διαπραγματεύσεων για μια μελλοντική παγκόσμια συνθήκη για τα πλαστικά πραγματοποιήθηκε τον Αύγουστο του 2025, αλλά χωρίς συναίνεση για μια συνθήκη·</w:t>
      </w:r>
    </w:p>
    <w:p w:rsidR="003D60A8" w:rsidRPr="00DB0FF2" w:rsidP="003D60A8" w14:paraId="75511D13" w14:textId="77777777">
      <w:pPr>
        <w:pStyle w:val="NormalHanging12a"/>
      </w:pPr>
      <w:r w:rsidRPr="00DB0FF2">
        <w:t>ΙΓ.</w:t>
      </w:r>
      <w:r w:rsidRPr="00DB0FF2">
        <w:tab/>
        <w:t xml:space="preserve">λαμβάνοντας υπόψη ότι το </w:t>
      </w:r>
      <w:r w:rsidRPr="00DB0FF2">
        <w:t>Brexit</w:t>
      </w:r>
      <w:r w:rsidRPr="00DB0FF2">
        <w:t xml:space="preserve"> επέφερε νέες περιπλοκές στη διακυβέρνηση της αλιείας στον Βορειοανατολικό Ατλαντικό, επηρεάζοντας αρνητικά τη δομημένη και τακτική συνεργασία στη διαχείριση της αλιείας και τη διακυβέρνηση των ωκεανών, μεταξύ άλλων την κατανομή των ποσοστώσεων, την πρόσβαση σε αλιευτικά πεδία και τη δυναμική του εμπορίου·</w:t>
      </w:r>
    </w:p>
    <w:p w:rsidR="003D60A8" w:rsidRPr="00DB0FF2" w:rsidP="003D60A8" w14:paraId="43D547A8" w14:textId="77777777">
      <w:pPr>
        <w:pStyle w:val="NormalHanging12a"/>
      </w:pPr>
      <w:r w:rsidRPr="00DB0FF2">
        <w:t>ΙΔ.</w:t>
      </w:r>
      <w:r w:rsidRPr="00DB0FF2">
        <w:tab/>
        <w:t>λαμβάνοντας υπόψη ότι ο κανονισμός (ΕΕ) 2025/2077 ενισχύει την ικανότητα της ΕΕ να δρα κατά των μη βιώσιμων αλιευτικών πρακτικών που διεξάγονται από τρίτες χώρες, καθορίζοντας σαφή κριτήρια «μη συνεργασίας», τα οποία βασίζονται στο διεθνές δίκαιο και σε ανεξάρτητα επιστημονικά στοιχεία με στόχο τη διαφύλαξη των κοινών αλιευτικών αποθεμάτων, την ενίσχυση της συνεργασίας στο πλαίσιο των ΠΟΔΑ και τη διασφάλιση ισότιμων όρων ανταγωνισμού για τους αλιείς της ΕΕ που δραστηριοποιούνται με υψηλά πρότυπα βιωσιμότητας·</w:t>
      </w:r>
    </w:p>
    <w:p w:rsidR="003D60A8" w:rsidRPr="00DB0FF2" w:rsidP="003D60A8" w14:paraId="682AC548" w14:textId="77777777">
      <w:pPr>
        <w:pStyle w:val="NormalHanging12a"/>
        <w:rPr>
          <w:bCs/>
          <w:iCs/>
        </w:rPr>
      </w:pPr>
      <w:r w:rsidRPr="00DB0FF2">
        <w:t>ΙΕ.</w:t>
      </w:r>
      <w:r w:rsidRPr="00DB0FF2">
        <w:tab/>
        <w:t>λαμβάνοντας υπόψη ότι το ευρωπαϊκό σύμφωνο για τους ωκεανούς προτείνει έξι βασικές προτεραιότητες για την ΕΕ, συμπεριλαμβανομένων της ενίσχυσης της ωκεάνιας διπλωματίας της ΕΕ, της προστασίας και της αποκατάστασης της υγείας των ωκεανών, της ενίσχυσης της ασφάλειας στη θάλασσα και της προώθησης της έρευνας και της γνώσης για τους ωκεανούς·</w:t>
      </w:r>
    </w:p>
    <w:p w:rsidR="003D60A8" w:rsidRPr="00DB0FF2" w:rsidP="003D60A8" w14:paraId="4BDF3F69" w14:textId="77777777">
      <w:pPr>
        <w:pStyle w:val="NormalHanging12a"/>
        <w:rPr>
          <w:b/>
          <w:bCs/>
          <w:i/>
        </w:rPr>
      </w:pPr>
      <w:r w:rsidRPr="00DB0FF2">
        <w:rPr>
          <w:b/>
          <w:i/>
        </w:rPr>
        <w:t>Ενίσχυση της ωκεάνιας διπλωματίας</w:t>
      </w:r>
    </w:p>
    <w:p w:rsidR="003D60A8" w:rsidRPr="00DB0FF2" w:rsidP="000F5DDF" w14:paraId="4E907A55" w14:textId="459389FF">
      <w:pPr>
        <w:pStyle w:val="NormalHanging12a"/>
        <w:ind w:left="567" w:hanging="570"/>
      </w:pPr>
      <w:r w:rsidRPr="00DB0FF2">
        <w:rPr>
          <w:bCs/>
          <w:iCs/>
        </w:rPr>
        <w:t>1.</w:t>
      </w:r>
      <w:r w:rsidRPr="00DB0FF2">
        <w:rPr>
          <w:bCs/>
          <w:iCs/>
        </w:rPr>
        <w:tab/>
      </w:r>
      <w:r w:rsidRPr="00DB0FF2">
        <w:t>τονίζει ότι η ΕΕ θα πρέπει να συνεχίσει να ηγείται του θεματολογίου για τη διεθνή διακυβέρνηση των ωκεανών, καθώς βρίσκεται σε μοναδική θέση, λαμβάνοντας υπόψη το μέγεθος της θαλάσσιας περιοχής της, τη γεωστρατηγική θέση των εξόχως απόκεντρων περιοχών σε όλους τους ωκεανούς, την ιστορική ηγετική της θέση, την οικονομική σημασία και το βάρος της, καθώς και τη νομική και ρυθμιστική ηγετική της θέση· υπενθυμίζει ότι η ΕΕ έχει τη μεγαλύτερη ΑΟΖ στον κόσμο και είναι ήδη ένας από τους πρωτοπόρους στη βιώσιμη διαχείριση, την προστασία, τη διασφάλιση και την αποκατάσταση των θαλάσσιων οικοτόπων και πόρων για τις μέλλουσες γενιές·</w:t>
      </w:r>
    </w:p>
    <w:p w:rsidR="003D60A8" w:rsidRPr="00DB0FF2" w:rsidP="000F5DDF" w14:paraId="17B1EAE5" w14:textId="4409C33B">
      <w:pPr>
        <w:pStyle w:val="NormalHanging12a"/>
        <w:ind w:left="567" w:hanging="570"/>
        <w:rPr>
          <w:b/>
          <w:i/>
        </w:rPr>
      </w:pPr>
      <w:r w:rsidRPr="00DB0FF2">
        <w:rPr>
          <w:bCs/>
          <w:iCs/>
        </w:rPr>
        <w:t>2.</w:t>
      </w:r>
      <w:r w:rsidRPr="00DB0FF2">
        <w:rPr>
          <w:bCs/>
          <w:iCs/>
        </w:rPr>
        <w:tab/>
      </w:r>
      <w:r w:rsidRPr="00DB0FF2">
        <w:t>τονίζει ότι ο ωκεανός αποτελεί γεωπολιτικό και οικονομικό πλεονέκτημα κεντρικής σημασίας για την ανταγωνιστικότητα και την πολιτιστική ταυτότητα της Ευρώπης και ότι η ωκεάνια διπλωματία είναι μέρος της διεθνούς διακυβέρνησης των ωκεανών· πιστεύει ότι αυτό δεν θα πρέπει να περιορίζεται μόνο σε γεωπολιτικές προσεγγίσεις ή προσεγγίσεις ασφάλειας, αλλά θα πρέπει επίσης να λαμβάνει υπόψη τη γενική διαχείριση και διακυβέρνηση των ωκεανών, οι οποίες αντικατοπτρίζουν τις περιβαλλοντικές, οικονομικές, πολιτιστικές, κοινωνικές και εδαφικές διαστάσεις της θάλασσας και τη σημασία της θάλασσας για τις αλιευτικές κοινότητες και τις κοινότητες των παράκτιων, νησιωτικών και εξόχως απόκεντρων περιοχών·</w:t>
      </w:r>
    </w:p>
    <w:p w:rsidR="003D60A8" w:rsidRPr="00DB0FF2" w:rsidP="000F5DDF" w14:paraId="1F8D08C4" w14:textId="3E0AEBED">
      <w:pPr>
        <w:pStyle w:val="NormalHanging12a"/>
        <w:ind w:left="567" w:hanging="570"/>
      </w:pPr>
      <w:r w:rsidRPr="00DB0FF2">
        <w:rPr>
          <w:bCs/>
          <w:iCs/>
        </w:rPr>
        <w:t>3.</w:t>
      </w:r>
      <w:r w:rsidRPr="00DB0FF2">
        <w:rPr>
          <w:bCs/>
          <w:iCs/>
        </w:rPr>
        <w:tab/>
      </w:r>
      <w:r w:rsidRPr="00DB0FF2">
        <w:t>ζητεί την ενσωμάτωση της ωκεάνιας διπλωματίας στην εξωτερική δράση της ΕΕ, συμπεριλαμβανομένης της ανάπτυξης, και στην κοινή εξωτερική πολιτική και πολιτική ασφάλειάς της, για την προάσπιση μιας θαλάσσιας τάξης που βασίζεται σε κανόνες μέσω πολυμερούς συνεργασίας σύμφωνα με τη Σύμβαση των Ηνωμένων Εθνών για το Δίκαιο της Θάλασσας (UNCLOS)· σημειώνει ότι η ενισχυμένη συνεργασία μεταξύ των κρατών μελών και των οργανισμών της ΕΕ, ιδίως του Ευρωπαϊκού Οργανισμού για την Ασφάλεια στη Θάλασσα, του Ευρωπαϊκού Οργανισμού Συνοριοφυλακής και Ακτοφυλακής (</w:t>
      </w:r>
      <w:r w:rsidRPr="00DB0FF2">
        <w:t>Frontex</w:t>
      </w:r>
      <w:r w:rsidRPr="00DB0FF2">
        <w:t>), της Ευρωπαϊκής Υπηρεσίας Ελέγχου της Αλιείας, του Ευρωπαϊκού Οργανισμού Περιβάλλοντος και του Οργανισμού της ΕΕ για το Διαστημικό Πρόγραμμα, θα συμβάλει στη διασφάλιση της βιώσιμης εκμετάλλευσης των θαλάσσιων πόρων, στην προώθηση των περιβαλλοντικών, οικονομικών και κοινωνικών προτύπων της ΕΕ, ιδίως σε διεθνείς οργανισμούς, συμπεριλαμβανομένων του FAO, της Διεθνούς Οργάνωσης Εργασίας και του ΠΟΕ, και στην καταπολέμηση της ΠΑΑ αλιείας, μέσω αυστηρότερων ελέγχων των εισαγωγών άναρχης αλιείας και αυστηρότερων όρων πρόσβασης στις ΑΟΖ·</w:t>
      </w:r>
    </w:p>
    <w:p w:rsidR="003D60A8" w:rsidRPr="00DB0FF2" w:rsidP="000F5DDF" w14:paraId="00961C2D" w14:textId="5CB8F138">
      <w:pPr>
        <w:pStyle w:val="NormalHanging12a"/>
        <w:ind w:left="567" w:hanging="570"/>
        <w:rPr>
          <w:bCs/>
          <w:iCs/>
        </w:rPr>
      </w:pPr>
      <w:r w:rsidRPr="00DB0FF2">
        <w:rPr>
          <w:bCs/>
          <w:iCs/>
        </w:rPr>
        <w:t>4.</w:t>
      </w:r>
      <w:r w:rsidRPr="00DB0FF2">
        <w:rPr>
          <w:bCs/>
          <w:iCs/>
        </w:rPr>
        <w:tab/>
      </w:r>
      <w:r w:rsidRPr="00DB0FF2">
        <w:t xml:space="preserve">υπογραμμίζει τη σημασία της αντιμετώπισης των σκιωδών στόλων, της πειρατείας, του εκφοβισμού και των εχθρικών ή βίαιων πράξεων που προέρχονται από τρίτες χώρες και βλάπτουν τους αλιείς της ΕΕ και τις θαλάσσιες υποδομές της ΕΕ, μέσω ειδικών μέτρων, όπως οι ναυτικές αποστολές, η δορυφορική παρακολούθηση με τη χρήση του </w:t>
      </w:r>
      <w:r w:rsidRPr="00DB0FF2">
        <w:t>Copernicus</w:t>
      </w:r>
      <w:r w:rsidRPr="00DB0FF2">
        <w:t xml:space="preserve"> και οι ναυτικοί δρόνοι· ζητεί την ενίσχυση των στρατιωτικών, μη στρατιωτικών και ναυτικών αποστολών της ΕΕ που είναι αφιερωμένες στην παρακολούθηση και την καταπολέμηση των δραστηριοτήτων ΠΑΑ αλιείας, του λαθρεμπορίου και των στόλων-φαντάσματα, καθώς και στον έλεγχο της ασφάλειας των σκαφών· υπενθυμίζει ότι η παράνομη διακίνηση και οι στόλοι-φαντάσματα αυξάνουν τον κίνδυνο σοβαρών περιστατικών ρύπανσης και θέτουν σε κίνδυνο τις παράκτιες περιοχές και τους πληθυσμούς τους· προτείνει τη δημιουργία μιας ενωσιακής εγκατάστασης έκτακτης ανάγκης και αποκατάστασης που θα συνδράμει στις προσπάθειες αντιμετώπισης και αποκατάστασης μετά από περιβαλλοντικά ατυχήματα που συνδέονται με τις εν λόγω επιχειρήσεις·</w:t>
      </w:r>
    </w:p>
    <w:p w:rsidR="003D60A8" w:rsidRPr="00DB0FF2" w:rsidP="000F5DDF" w14:paraId="19C39D14" w14:textId="6895FA87">
      <w:pPr>
        <w:pStyle w:val="NormalHanging12a"/>
        <w:ind w:left="567" w:hanging="570"/>
      </w:pPr>
      <w:r w:rsidRPr="00DB0FF2">
        <w:rPr>
          <w:bCs/>
          <w:iCs/>
        </w:rPr>
        <w:t>5.</w:t>
      </w:r>
      <w:r w:rsidRPr="00DB0FF2">
        <w:rPr>
          <w:bCs/>
          <w:iCs/>
        </w:rPr>
        <w:tab/>
      </w:r>
      <w:r w:rsidRPr="00DB0FF2">
        <w:t xml:space="preserve">εκφράζει ικανοποίηση για τον στόχο του ευρωπαϊκού συμφώνου για τους ωκεανούς για </w:t>
      </w:r>
      <w:r w:rsidRPr="00DB0FF2">
        <w:t>ανάπτυξη ολοκληρωμένης στρατηγικής που συνδυάζει τις πολιτικές για τη θάλασσα και αναπτύσσει συνοχή σε όλους τους τομείς, ενσωματώνοντας μεταξύ άλλων την ωκεάνια διπλωματία, τη γαλάζια οικονομία, την περιβαλλοντική υπευθυνότητα, την προστασία, τη βιομηχανική θαλάσσια στρατηγική, την αλιεία και την παραγωγή υδατοκαλλιέργειας, την ασφάλεια στη θάλασσα, το εμπόριο και την αναπτυξιακή πολιτική· υπογραμμίζει ότι, μέσω ενός συνδυασμού ναυτικών εφαρμογών, επιτήρησης των υποδομών, μέτρων ασφάλισης και σταθεροποίησης της αγοράς, ενισχυμένης άμυνας στον κυβερνοχώρο και αυστηρής επιβολής της νομοθεσίας, η ΕΕ μπορεί να διατηρήσει ασφαλείς και αξιόπιστες εμπορικές οδούς και τοποθεσίες αλίευσης, ενισχύοντας έτσι την αξιοπιστία και τον ηγετικό της ρόλο σε μία βασιζόμενη σε κανόνες παγκόσμια τάξη· ζητεί να διοργανώνονται τακτικά «σύνοδοι κορυφής για τους ωκεανούς» σε επίπεδο ΕΕ, με τη συμμετοχή όλων των αρμόδιων υπουργών, του Κοινοβουλίου και της Επιτροπής, για την παρακολούθηση της εφαρμογής του ευρωπαϊκού συμφώνου για τους ωκεανούς και για την ανάπτυξη ισχυρής και δυναμικής διεθνούς διακυβέρνησης των ωκεανών και ωκεάνιας διπλωματίας, συμβάλλοντας σε ένα ευρύτερο θεματολόγιο της ΕΕ για τους ωκεανούς και στη βασιζόμενη σε κανόνες παγκόσμια τάξη·</w:t>
      </w:r>
    </w:p>
    <w:p w:rsidR="003D60A8" w:rsidRPr="00DB0FF2" w:rsidP="000F5DDF" w14:paraId="006DBA9F" w14:textId="4D9BAF04">
      <w:pPr>
        <w:pStyle w:val="NormalHanging12a"/>
        <w:ind w:left="567" w:hanging="570"/>
      </w:pPr>
      <w:r w:rsidRPr="00DB0FF2">
        <w:rPr>
          <w:bCs/>
          <w:iCs/>
        </w:rPr>
        <w:t>6.</w:t>
      </w:r>
      <w:r w:rsidRPr="00DB0FF2">
        <w:rPr>
          <w:bCs/>
          <w:iCs/>
        </w:rPr>
        <w:tab/>
      </w:r>
      <w:r w:rsidRPr="00DB0FF2">
        <w:t>χαιρετίζει το νέο σύμφωνο για τη Μεσόγειο ως εμβληματική πρωτοβουλία για την ενίσχυση της ειρήνης, της σταθερότητας και της ευημερίας στην περιοχή· σημειώνει ειδικότερα την έμφαση που δίνεται στην προώθηση και τη βελτίωση των νομικών πλαισίων που σχετίζονται με τις ΠΟΔΑ και στην καταπολέμηση της ΠΑΑ αλιείας στη Μεσόγειο μέσω της απόκτησης ικανοτήτων, της παρακολούθησης, του ελέγχου και της επιτήρησης· σημειώνει επίσης τον στόχο της συμβολής στην κινητοποίηση περιφερειακών έργων μεγάλης κλίμακας που δημιουργούν ευκαιρίες για τους πολίτες και τις επιχειρήσεις· υπογραμμίζει ότι ο αλιευτικός στόλος της Μεσογείου αποτελείται κυρίως από σκάφη μικρής κλίμακας, που αντιπροσωπεύουν περίπου το 80 % του συνολικού στόλου της ΕΕ στην περιοχή, και ότι τόσο ο ίδιος όσο και εκείνοι των γειτονικών χωρών αντιμετωπίζουν ήδη πολλαπλές προκλήσεις που επηρεάζουν την ελκυστικότητα και την κοινωνικοοικονομική βιωσιμότητα του τομέα· αναγνωρίζει τη σημασία της προώθησης της περιφερειακής συνεργασίας για την ασφάλεια στη θάλασσα, την προστασία του περιβάλλοντος και τη βιώσιμη ανάπτυξη της γαλάζιας οικονομίας· καλεί την Επιτροπή, σε στενή συνεργασία με την Ένωση για τη Μεσόγειο και άλλους περιφερειακούς φορείς, να δώσει προτεραιότητα στην εφαρμογή του εν λόγω συμφώνου και να αξιοποιήσει την εμπειρία και τις βέλτιστες πρακτικές προηγούμενων πρωτοβουλιών αυτού του είδους, προκειμένου να διασφαλίσει απτά οφέλη για τις παράκτιες κοινότητες, με ιδιαίτερη έμφαση στους νέους, τις γυναίκες, τις μικρές επιχειρήσεις, τα οικοσυστήματα, την επισιτιστική κυριαρχία και την οικονομική ανθεκτικότητα σε ολόκληρη τη λεκάνη της Μεσογείου και τον συγκοινωνούντα Εύξεινο Πόντο·</w:t>
      </w:r>
    </w:p>
    <w:p w:rsidR="003D60A8" w:rsidRPr="00DB0FF2" w:rsidP="000F5DDF" w14:paraId="0C9D2724" w14:textId="0C69B043">
      <w:pPr>
        <w:pStyle w:val="NormalHanging12a"/>
        <w:ind w:left="567" w:hanging="570"/>
      </w:pPr>
      <w:r w:rsidRPr="00DB0FF2">
        <w:rPr>
          <w:bCs/>
          <w:iCs/>
        </w:rPr>
        <w:t>7.</w:t>
      </w:r>
      <w:r w:rsidRPr="00DB0FF2">
        <w:rPr>
          <w:bCs/>
          <w:iCs/>
        </w:rPr>
        <w:tab/>
      </w:r>
      <w:r w:rsidRPr="00DB0FF2">
        <w:t xml:space="preserve">καλεί την Επιτροπή να αξιοποιήσει πλήρως την ισχυρή διεθνή διακυβέρνηση των ωκεανών και την ωκεάνια διπλωματία ως στρατηγικά εργαλεία για την προώθηση κοινών στόχων και στρατηγικών συμφερόντων της ΕΕ μέσω της συμμετοχής της σε ΠΟΔΑ και μέσω του δικτύου της από ΣΑΣ, με ιδιαίτερη έμφαση στη βιώσιμη διακυβέρνηση, διασφαλίζοντας έτσι πραγματικά ισότιμους όρους ανταγωνισμού, συμμόρφωση και θεμιτό ανταγωνισμό μεταξύ των αλιέων της ΕΕ και των αλιέων από τρίτες χώρες, τονίζοντας παράλληλα την ανάγκη να διατηρήσει η ΕΕ έναν αλιευτικό στόλο που θα μπορεί να αξιοποιήσει τις νέες αλιευτικές δυνατότητες που δημιουργούνται από την επέκταση των ΣΑΣ για τη διασφάλιση της επισιτιστικής κυριαρχίας της ΕΕ και την παράλληλη συμβολή στην τοπική οικονομική ανθεκτικότητα </w:t>
      </w:r>
      <w:r w:rsidRPr="00DB0FF2">
        <w:t>και τη βιώσιμη διαχείριση πόρων·</w:t>
      </w:r>
    </w:p>
    <w:p w:rsidR="003D60A8" w:rsidRPr="00DB0FF2" w:rsidP="000F5DDF" w14:paraId="03F342D9" w14:textId="73793817">
      <w:pPr>
        <w:pStyle w:val="NormalHanging12a"/>
        <w:ind w:left="567" w:hanging="570"/>
      </w:pPr>
      <w:r w:rsidRPr="00DB0FF2">
        <w:rPr>
          <w:bCs/>
          <w:iCs/>
        </w:rPr>
        <w:t>8.</w:t>
      </w:r>
      <w:r w:rsidRPr="00DB0FF2">
        <w:rPr>
          <w:bCs/>
          <w:iCs/>
        </w:rPr>
        <w:tab/>
      </w:r>
      <w:r w:rsidRPr="00DB0FF2">
        <w:t>εκφράζει την ικανοποίησή του για την ανακοίνωση μιας νέας γενιάς ΣΑΣ, όπως περιγράφεται στο ευρωπαϊκό σύμφωνο για τους ωκεανούς, οι οποίες ευθυγραμμίζονται με τις περιφερειακές στρατηγικές της ΕΕ για την Αφρική και τον Ινδοειρηνικό· τονίζει την ανάγκη να διασφαλιστεί ότι οι συμφωνίες αυτές σέβονται τις επιστημονικές γνωμοδοτήσεις και τα ανθρώπινα δικαιώματα, ενώ παράλληλα εμβαθύνουν περαιτέρω τη διμερή συνεργασία με τις χώρες εταίρους και ενισχύουν την κοινή δράση σε διεθνή φόρουμ, όπως οι ΠΟΔΑ, και ότι ενισχύουν επίσης τον παγκόσμιο ηγετικό ρόλο της ΕΕ στην προώθηση εταιρικών σχέσεων για τη βιώσιμη αλιεία· τονίζει ότι αυτή η νέα γενιά ΣΑΣ θα πρέπει επίσης να αποτελέσει ευκαιρία για τη βελτίωση της βιωσιμότητας του στόλου, τη μείωση της πίεσης στα αποθέματα υψηλής εκμετάλλευσης, τη διαφοροποίηση της προέλευσης των αλιευτικών προϊόντων και τη μείωση της εξάρτησης της ΕΕ από αλιευτικά προϊόντα από τρίτες χώρες· καλεί την Επιτροπή να εγκρίνει μια επικοινωνιακή στρατηγική παγκόσμιας επιρροής, ώστε να δηλώσει τις φιλοδοξίες της και την ηγετική της θέση·</w:t>
      </w:r>
    </w:p>
    <w:p w:rsidR="003D60A8" w:rsidRPr="00DB0FF2" w:rsidP="000F5DDF" w14:paraId="26582CFD" w14:textId="50519DCF">
      <w:pPr>
        <w:pStyle w:val="NormalHanging12a"/>
        <w:ind w:left="567" w:hanging="570"/>
        <w:rPr>
          <w:bCs/>
          <w:iCs/>
          <w:color w:val="000000" w:themeColor="text1"/>
        </w:rPr>
      </w:pPr>
      <w:bookmarkStart w:id="7" w:name="_Hlk222762152"/>
      <w:r w:rsidRPr="00DB0FF2">
        <w:rPr>
          <w:bCs/>
          <w:iCs/>
          <w:color w:val="000000" w:themeColor="text1"/>
        </w:rPr>
        <w:t>9.</w:t>
      </w:r>
      <w:r w:rsidRPr="00DB0FF2">
        <w:rPr>
          <w:bCs/>
          <w:iCs/>
          <w:color w:val="000000" w:themeColor="text1"/>
        </w:rPr>
        <w:tab/>
      </w:r>
      <w:r w:rsidRPr="00DB0FF2">
        <w:rPr>
          <w:color w:val="000000" w:themeColor="text1"/>
        </w:rPr>
        <w:t>ζητεί να δοθεί προσοχή στις αδρανείς συμφωνίες, είτε να ενεργοποιηθούν με την έναρξη διαπραγματεύσεων είτε να τερματιστούν, προκειμένου να δοθεί η δυνατότητα στους οικονομικούς φορείς της ΕΕ να διερευνήσουν άλλες ρυθμίσεις σύμφωνα με τους ισχύοντες κανόνες της ΕΕ, όπως οι απευθείας άδειες· υπογραμμίζει ότι η συμφωνία του ΠΟΕ για τις επιδοτήσεις στον τομέα της αλιείας του 2022 εξαιρεί ρητά τις ΣΑΣ από το πεδίο εφαρμογής της·</w:t>
      </w:r>
      <w:bookmarkEnd w:id="7"/>
    </w:p>
    <w:p w:rsidR="003D60A8" w:rsidRPr="00DB0FF2" w:rsidP="000F5DDF" w14:paraId="1FC2BB8E" w14:textId="0ED9B06A">
      <w:pPr>
        <w:pStyle w:val="NormalHanging12a"/>
        <w:ind w:left="567" w:hanging="570"/>
        <w:rPr>
          <w:bCs/>
          <w:iCs/>
        </w:rPr>
      </w:pPr>
      <w:r w:rsidRPr="00DB0FF2">
        <w:rPr>
          <w:bCs/>
          <w:iCs/>
        </w:rPr>
        <w:t>10.</w:t>
      </w:r>
      <w:r w:rsidRPr="00DB0FF2">
        <w:rPr>
          <w:bCs/>
          <w:iCs/>
        </w:rPr>
        <w:tab/>
      </w:r>
      <w:r w:rsidRPr="00DB0FF2">
        <w:t>καλεί, επιπλέον, την Επιτροπή να συνεχίσει τις προσπάθειές της, ιδίως μέσω της δράσης της στο πλαίσιο των ΠΟΔΑ, του δικτύου ΣΑΣ και των μνημονίων συνεννόησης, να διασφαλίσει μεγαλύτερη διαφάνεια και λογοδοσία σε όλα τα αλιευτικά κράτη, ιδίως σε εκείνα που δεν τηρούν εξίσου υψηλά κοινωνικά πρότυπα ασφάλειας και βιωσιμότητας με τους στόλους της ΕΕ, διασφαλίζοντας ότι εγκρίνουν πρότυπα που προστατεύουν τους εργαζομένους σύμφωνα με τις συμβάσεις της Διεθνούς Οργάνωσης Εργασίας, παρέχουν λεπτομερείς πληροφορίες σχετικά με τις δραστηριότητες του στόλου τους, αναφέρουν με ακρίβεια τα αλιεύματά τους και συμμορφώνονται με τα μέτρα διατήρησης και διαχείρισης·</w:t>
      </w:r>
    </w:p>
    <w:p w:rsidR="003D60A8" w:rsidRPr="00DB0FF2" w:rsidP="000F5DDF" w14:paraId="0CA201AB" w14:textId="6D1662D0">
      <w:pPr>
        <w:pStyle w:val="NormalHanging12a"/>
        <w:ind w:left="567" w:hanging="570"/>
      </w:pPr>
      <w:r w:rsidRPr="00DB0FF2">
        <w:rPr>
          <w:bCs/>
          <w:iCs/>
        </w:rPr>
        <w:t>11.</w:t>
      </w:r>
      <w:r w:rsidRPr="00DB0FF2">
        <w:rPr>
          <w:bCs/>
          <w:iCs/>
        </w:rPr>
        <w:tab/>
      </w:r>
      <w:r w:rsidRPr="00DB0FF2">
        <w:t>καλεί την ΕΕ και τα κράτη μέλη της να προωθήσουν την εφαρμογή των προαιρετικών κατευθυντήριων γραμμών του FAO για τη βιώσιμη αλιεία μικρής κλίμακας, να προστατεύσουν τα δικαιώματα ιδιοκτησίας των αλιέων μικρής κλίμακας και την πρόσβαση σε αλιευτικούς πόρους και να διασφαλίσουν τη συμμετοχή των αλιέων μικρής κλίμακας στις αποφάσεις που τους επηρεάζουν·</w:t>
      </w:r>
    </w:p>
    <w:p w:rsidR="003D60A8" w:rsidRPr="00DB0FF2" w:rsidP="000F5DDF" w14:paraId="3E26B0BF" w14:textId="034444F7">
      <w:pPr>
        <w:pStyle w:val="NormalHanging12a"/>
        <w:ind w:left="567" w:hanging="570"/>
        <w:rPr>
          <w:bCs/>
          <w:iCs/>
        </w:rPr>
      </w:pPr>
      <w:r w:rsidRPr="00DB0FF2">
        <w:rPr>
          <w:bCs/>
          <w:iCs/>
        </w:rPr>
        <w:t>12.</w:t>
      </w:r>
      <w:r w:rsidRPr="00DB0FF2">
        <w:rPr>
          <w:bCs/>
          <w:iCs/>
        </w:rPr>
        <w:tab/>
      </w:r>
      <w:r w:rsidRPr="00DB0FF2">
        <w:t>καλεί την Επιτροπή να διερευνήσει, από κοινού με τις μεσογειακές χώρες εταίρους, τρόπους για την προώθηση και την εναρμόνιση της επιμερισμένης διαχείρισης των θαλάσσιων πόρων και των ισότιμων όρων ανταγωνισμού όσον αφορά τους κανόνες και τους ελέγχους, την περιφερειακή σταθερότητα και ασφάλεια, προκειμένου να διασφαλιστεί το μακροπρόθεσμο οικονομικό μέλλον των φορέων εκμετάλλευσης, για παράδειγμα, μέσω της εμβάθυνσης της συνεργασίας στο πλαίσιο των ΠΟΔΑ ή της σύναψης ΣΑΣ·</w:t>
      </w:r>
    </w:p>
    <w:p w:rsidR="003D60A8" w:rsidRPr="00DB0FF2" w:rsidP="000F5DDF" w14:paraId="6D576EFE" w14:textId="5E4474DE">
      <w:pPr>
        <w:pStyle w:val="NormalHanging12a"/>
        <w:ind w:left="567" w:hanging="570"/>
        <w:rPr>
          <w:bCs/>
          <w:iCs/>
        </w:rPr>
      </w:pPr>
      <w:r w:rsidRPr="00DB0FF2">
        <w:rPr>
          <w:bCs/>
          <w:iCs/>
        </w:rPr>
        <w:t>13.</w:t>
      </w:r>
      <w:r w:rsidRPr="00DB0FF2">
        <w:rPr>
          <w:bCs/>
          <w:iCs/>
        </w:rPr>
        <w:tab/>
      </w:r>
      <w:r w:rsidRPr="00DB0FF2">
        <w:t xml:space="preserve">τονίζει ότι οι ΣΑΣ πρέπει να διασφαλίζουν τη δίκαιη μεταχείριση των σκαφών της ΕΕ χωρίς διακρίσεις, με τέλη και όρους πρόσβασης που είναι αναλογικοί, διαφανείς και συνάδουν με την αρχή των ισότιμων όρων ανταγωνισμού· υπογραμμίζει ότι όλα τα </w:t>
      </w:r>
      <w:r w:rsidRPr="00DB0FF2">
        <w:t>σκάφη που δραστηριοποιούνται στις ΑΟΖ των χωρών εταίρων θα πρέπει να υπόκεινται στις ίδιες οικονομικές και τεχνικές απαιτήσεις με τα σκάφη της ΕΕ, για παράδειγμα μέσω κατοπτρικών μέτρων· ζητεί την ενίσχυση της ρήτρας απαγόρευσης των διακρίσεων στα μελλοντικά πρωτόκολλα των ΣΑΣ, ώστε να αποτραπεί η χορήγηση ευνοϊκότερων όρων —οικονομικών ή τεχνικών— από τις χώρες εταίρους σε άλλους ξένους στόλους· τονίζει την ανάγκη για αποτελεσματική παρακολούθηση και επιβολή των εν λόγω ρητρών, επισημαίνοντας την τρέχουσα έλλειψη λεπτομερών πληροφοριών στις αξιολογήσεις της Επιτροπής σχετικά με την εφαρμογή και την αποτελεσματικότητά τους· καλεί, επομένως, την Επιτροπή να περιλαμβάνει συστηματικά ολοκληρωμένη ανάλυση και στοιχεία σχετικά με την πτυχή αυτή στις μελλοντικές εκθέσεις αξιολόγησης ΣΑΣ·</w:t>
      </w:r>
    </w:p>
    <w:p w:rsidR="003D60A8" w:rsidRPr="00DB0FF2" w:rsidP="000F5DDF" w14:paraId="4E49FDC9" w14:textId="5C770D42">
      <w:pPr>
        <w:pStyle w:val="NormalHanging12a"/>
        <w:ind w:left="567" w:hanging="570"/>
        <w:rPr>
          <w:bCs/>
          <w:iCs/>
        </w:rPr>
      </w:pPr>
      <w:r w:rsidRPr="00DB0FF2">
        <w:rPr>
          <w:bCs/>
          <w:iCs/>
        </w:rPr>
        <w:t>14.</w:t>
      </w:r>
      <w:r w:rsidRPr="00DB0FF2">
        <w:rPr>
          <w:bCs/>
          <w:iCs/>
        </w:rPr>
        <w:tab/>
      </w:r>
      <w:r w:rsidRPr="00DB0FF2">
        <w:t>καλεί την Επιτροπή και τα κράτη μέλη να αντιμετωπίσουν την έλλειψη διαφάνειας στον τομέα της αλιείας τρίτων χωρών που απορρέει, για παράδειγμα, από σημαίες ευκαιρίας, αλλαγή σημαίας, πολύπλοκες εταιρικές δομές και έλλειψη δημόσιας πληροφόρησης σχετικά με τους πραγματικούς δικαιούχους, με στόχο τη βελτίωση της εφαρμογής του κανονισμού για την ΠΑΑ</w:t>
      </w:r>
      <w:r>
        <w:rPr>
          <w:rStyle w:val="FootnoteReference"/>
          <w:bCs/>
          <w:iCs/>
        </w:rPr>
        <w:footnoteReference w:id="5"/>
      </w:r>
      <w:r w:rsidRPr="00DB0FF2">
        <w:t>· υπογραμμίζει περαιτέρω ότι είναι σημαντικό να αποτραπεί η αντικατάσταση του στόλου της ΕΕ από λιγότερο βιώσιμους στόλους εκτός ΕΕ·</w:t>
      </w:r>
    </w:p>
    <w:p w:rsidR="003D60A8" w:rsidRPr="00DB0FF2" w:rsidP="000F5DDF" w14:paraId="0799D713" w14:textId="6E80C0F3">
      <w:pPr>
        <w:pStyle w:val="NormalHanging12a"/>
        <w:ind w:left="567" w:hanging="570"/>
        <w:rPr>
          <w:bCs/>
          <w:iCs/>
        </w:rPr>
      </w:pPr>
      <w:r w:rsidRPr="00DB0FF2">
        <w:rPr>
          <w:bCs/>
          <w:iCs/>
        </w:rPr>
        <w:t>15.</w:t>
      </w:r>
      <w:r w:rsidRPr="00DB0FF2">
        <w:rPr>
          <w:bCs/>
          <w:iCs/>
        </w:rPr>
        <w:tab/>
      </w:r>
      <w:r w:rsidRPr="00DB0FF2">
        <w:t>θεωρεί σημαντικό να δοθεί προτεραιότητα στις διαπραγματεύσεις όσον αφορά την παρουσία της ΕΕ και την πρόσβαση σε αλιευτικές περιοχές για τα σκάφη που φέρουν σημαία της ΕΕ· πιστεύει ότι η ύπαρξη σκαφών που φέρουν τη σημαία κρατών μελών της ΕΕ είναι προτιμότερη για τον εφοδιασμό τροφίμων, καθώς και για τον έλεγχο και τη βιωσιμότητά του, και συμβάλλει στη στρατηγική αυτονομία της ΕΕ στον τομέα της επισιτιστικής ασφάλειας·</w:t>
      </w:r>
    </w:p>
    <w:p w:rsidR="003D60A8" w:rsidRPr="00DB0FF2" w:rsidP="000F5DDF" w14:paraId="33DC9938" w14:textId="5AE3C170">
      <w:pPr>
        <w:pStyle w:val="NormalHanging12a"/>
        <w:ind w:left="567" w:hanging="570"/>
        <w:rPr>
          <w:bCs/>
          <w:iCs/>
        </w:rPr>
      </w:pPr>
      <w:r w:rsidRPr="00DB0FF2">
        <w:rPr>
          <w:bCs/>
          <w:iCs/>
        </w:rPr>
        <w:t>16.</w:t>
      </w:r>
      <w:r w:rsidRPr="00DB0FF2">
        <w:rPr>
          <w:bCs/>
          <w:iCs/>
        </w:rPr>
        <w:tab/>
      </w:r>
      <w:r w:rsidRPr="00DB0FF2">
        <w:t>αναγνωρίζει τη στρατηγική σημασία των κοινών επιχειρήσεων στον τομέα της αλιείας ως χρήσιμο πρότυπο συνεργασίας μεταξύ χωρών της ΕΕ και τρίτων χωρών· επισημαίνει το γεγονός ότι τα συστήματα αυτά δημιουργούν οικονομική και κοινωνική αξία, τόσο εντός της ΕΕ όσο και σε τρίτες χώρες, διασφαλίζοντας παράλληλα τον εφοδιασμό των καταναλωτών της ΕΕ με θαλάσσιες πρωτεΐνες υψηλής ποιότητας που αλιεύονται με βιώσιμο τρόπο, συμβάλλοντας στην προώθηση της υπεύθυνης αλιείας, της δίκαιης απασχόλησης και της βιώσιμης ανάπτυξης και συμβάλλοντας άμεσα σε διάφορους Στόχους Βιώσιμης Ανάπτυξης, καθώς και στους στόχους της ΕΕ για τη διακυβέρνηση των ωκεανών·</w:t>
      </w:r>
    </w:p>
    <w:p w:rsidR="003D60A8" w:rsidRPr="00DB0FF2" w:rsidP="000F5DDF" w14:paraId="30EEBE5B" w14:textId="5C0C31EA">
      <w:pPr>
        <w:pStyle w:val="NormalHanging12a"/>
        <w:ind w:left="567" w:hanging="570"/>
      </w:pPr>
      <w:r w:rsidRPr="00DB0FF2">
        <w:rPr>
          <w:bCs/>
          <w:iCs/>
        </w:rPr>
        <w:t>17.</w:t>
      </w:r>
      <w:r w:rsidRPr="00DB0FF2">
        <w:rPr>
          <w:bCs/>
          <w:iCs/>
        </w:rPr>
        <w:tab/>
      </w:r>
      <w:r w:rsidRPr="00DB0FF2">
        <w:t xml:space="preserve">σημειώνει με ικανοποίηση την κοινή ανακοίνωση της Επιτροπής και του Ύπατου Εκπροσώπου της Ένωσης για Θέματα Εξωτερικής Πολιτικής και Πολιτικής Ασφαλείας, της 24ης Ιουνίου 2022, σχετικά με το θεματολόγιο της ΕΕ για τη διεθνή διακυβέρνηση των ωκεανών και την πρόσφατη έγκριση από την Επιτροπή του ευρωπαϊκού συμφώνου για τους ωκεανούς, η εφαρμογή του οποίου πρέπει να υποστηριχθεί με τα αναγκαία χρηματοδοτικά μέσα, στα οποία περιλαμβάνεται το 1 δισεκατομμύριο EUR που δεσμεύτηκε κατά την τρίτη διάσκεψη των Ηνωμένων Εθνών για τους ωκεανούς για εθελοντικές δεσμεύσεις με σκοπό τη διαφύλαξη της θαλάσσιας βιοποικιλότητας και την </w:t>
      </w:r>
      <w:r w:rsidRPr="00DB0FF2">
        <w:t>ενίσχυση της ανάπτυξης μιας βιώσιμης γαλάζιας οικονομίας· επικροτεί την ενσωμάτωση του ευρωπαϊκού συμφώνου για τους ωκεανούς στην πυξίδα ανταγωνιστικότητας ως στρατηγικού στοιχείου για τη μακροπρόθεσμη ανάπτυξη της ΕΕ, ενώ εκφράζει τη λύπη του για τους κινδύνους ανταγωνισμού μεταξύ των ναυτικών τομέων όσον αφορά την πρόσβαση στη χρηματοδότηση·</w:t>
      </w:r>
    </w:p>
    <w:p w:rsidR="003D60A8" w:rsidRPr="00DB0FF2" w:rsidP="000F5DDF" w14:paraId="520967B3" w14:textId="7C9ADC8E">
      <w:pPr>
        <w:pStyle w:val="NormalHanging12a"/>
        <w:ind w:left="567" w:hanging="570"/>
      </w:pPr>
      <w:r w:rsidRPr="00DB0FF2">
        <w:rPr>
          <w:bCs/>
          <w:iCs/>
        </w:rPr>
        <w:t>18.</w:t>
      </w:r>
      <w:r w:rsidRPr="00DB0FF2">
        <w:rPr>
          <w:bCs/>
          <w:iCs/>
        </w:rPr>
        <w:tab/>
      </w:r>
      <w:r w:rsidRPr="00DB0FF2">
        <w:t xml:space="preserve">καλεί την ΕΕ να στηρίξει τα ενδιαφερόμενα μέρη στη δημιουργία μιας ευρωπαϊκής ναυτιλιακής βιομηχανικής συμμαχίας που θα ενσωματώνει την αλιεία, την υδατοκαλλιέργεια, τη </w:t>
      </w:r>
      <w:r w:rsidRPr="00DB0FF2">
        <w:t>ναυπηγική</w:t>
      </w:r>
      <w:r w:rsidRPr="00DB0FF2">
        <w:t xml:space="preserve"> βιομηχανία, τη ναυτιλία, τις στρατηγικές επενδύσεις και την τεχνολογία, αναγνωρίζοντας παράλληλα την αλληλεξάρτηση όλων των θαλάσσιων τομέων όσον αφορά την ανταγωνιστικότητα, την απασχόληση, την ενεργειακή και την ψηφιακή μετάβαση και τη βιώσιμη χρήση των θαλάσσιων και των υδρόβιων πόρων·</w:t>
      </w:r>
    </w:p>
    <w:p w:rsidR="003D60A8" w:rsidRPr="00DB0FF2" w:rsidP="000F5DDF" w14:paraId="4DDC122C" w14:textId="0ABC8083">
      <w:pPr>
        <w:pStyle w:val="NormalHanging12a"/>
        <w:ind w:left="567" w:hanging="570"/>
      </w:pPr>
      <w:r w:rsidRPr="00DB0FF2">
        <w:rPr>
          <w:bCs/>
          <w:iCs/>
        </w:rPr>
        <w:t>19.</w:t>
      </w:r>
      <w:r w:rsidRPr="00DB0FF2">
        <w:rPr>
          <w:bCs/>
          <w:iCs/>
        </w:rPr>
        <w:tab/>
      </w:r>
      <w:r w:rsidRPr="00DB0FF2">
        <w:t xml:space="preserve">καλεί την Ευρωπαϊκή Υπηρεσία Εξωτερικής Δράσης (ΕΥΕΔ) να αυξήσει σημαντικά τις επενδύσεις στην κατάρτιση διπλωματών της ΕΕ σε θέματα που σχετίζονται με τους ωκεανούς, με ιδιαίτερη έμφαση στην ενίσχυση της εμπειρογνωμοσύνης στη θαλάσσια και ωκεάνια διακυβέρνηση στο πλαίσιο των αντιπροσωπειών και των αποστολών της ΕΕ σε τρίτες χώρες, ιδίως σε παράκτιες χώρες· τονίζει την ανάγκη να αποκτήσουν καλύτερη κατανόηση των επενδύσεων, των δραστηριοτήτων και των προκλήσεων της γαλάζιας οικονομίας της ΕΕ στους τομείς αρμοδιότητάς τους, που να συνάδει και με τη στρατηγική </w:t>
      </w:r>
      <w:r w:rsidRPr="00DB0FF2">
        <w:t>Global</w:t>
      </w:r>
      <w:r w:rsidRPr="00DB0FF2">
        <w:t xml:space="preserve"> </w:t>
      </w:r>
      <w:r w:rsidRPr="00DB0FF2">
        <w:t>Gateway</w:t>
      </w:r>
      <w:r w:rsidRPr="00DB0FF2">
        <w:t>· ζητεί τη συμμετοχή της ΕΥΕΔ στην προώθηση της στρατηγικής σημασίας του ευρωπαϊκού συμφώνου για τους ωκεανούς, με την υποστήριξη ή την καθοδήγηση των αρμόδιων γενικών διευθύνσεων της Επιτροπής, συμπεριλαμβανομένης της Γενικής Διεύθυνσης Θαλάσσιας Πολιτικής και Αλιείας (ΓΔ MARE)·</w:t>
      </w:r>
    </w:p>
    <w:p w:rsidR="003D60A8" w:rsidRPr="00DB0FF2" w:rsidP="003D60A8" w14:paraId="0EB1FB27" w14:textId="77777777">
      <w:pPr>
        <w:pStyle w:val="NormalHanging12a"/>
        <w:rPr>
          <w:b/>
          <w:bCs/>
          <w:i/>
        </w:rPr>
      </w:pPr>
      <w:r w:rsidRPr="00DB0FF2">
        <w:rPr>
          <w:b/>
          <w:i/>
        </w:rPr>
        <w:t>Ανταγωνιστικότητα στον τομέα της αλιείας και της υδατοκαλλιέργειας</w:t>
      </w:r>
    </w:p>
    <w:p w:rsidR="003D60A8" w:rsidRPr="00DB0FF2" w:rsidP="000F5DDF" w14:paraId="5CFCC07D" w14:textId="2884D3C2">
      <w:pPr>
        <w:pStyle w:val="NormalHanging12a"/>
        <w:ind w:left="567" w:hanging="570"/>
      </w:pPr>
      <w:r w:rsidRPr="00DB0FF2">
        <w:rPr>
          <w:bCs/>
          <w:iCs/>
        </w:rPr>
        <w:t>20.</w:t>
      </w:r>
      <w:r w:rsidRPr="00DB0FF2">
        <w:rPr>
          <w:bCs/>
          <w:iCs/>
        </w:rPr>
        <w:tab/>
      </w:r>
      <w:r w:rsidRPr="00DB0FF2">
        <w:t xml:space="preserve">καλεί την Επιτροπή, στο πλαίσιο της εν εξελίξει αξιολόγησης της ΚΑΠ, να παρουσιάσει λύσεις για τη μείωση του διοικητικού φόρτου και την απλούστευση των διοικητικών διαδικασιών μέσω πρότασης </w:t>
      </w:r>
      <w:r w:rsidRPr="00DB0FF2">
        <w:t>Omnibus</w:t>
      </w:r>
      <w:r w:rsidRPr="00DB0FF2">
        <w:t xml:space="preserve"> και να επιταχύνει τις διαδικασίες για έργα που ενισχύουν την επισιτιστική ασφάλεια και κυριαρχία· θεωρεί ότι η ανάληψη ηγετικού ρόλου με το παράδειγμα ενός κερδοφόρου τομέα θα ενισχύσει τα κοινά πρότυπα βιωσιμότητας, ώστε να πρωτοστατήσει στην ανάπτυξη αυτών των προτύπων σε παγκόσμιο επίπεδο·</w:t>
      </w:r>
    </w:p>
    <w:p w:rsidR="003D60A8" w:rsidRPr="00DB0FF2" w:rsidP="000F5DDF" w14:paraId="67715386" w14:textId="4DD96858">
      <w:pPr>
        <w:pStyle w:val="NormalHanging12a"/>
        <w:ind w:left="567" w:hanging="570"/>
        <w:rPr>
          <w:bCs/>
          <w:iCs/>
        </w:rPr>
      </w:pPr>
      <w:r w:rsidRPr="00DB0FF2">
        <w:rPr>
          <w:bCs/>
          <w:iCs/>
        </w:rPr>
        <w:t>21.</w:t>
      </w:r>
      <w:r w:rsidRPr="00DB0FF2">
        <w:rPr>
          <w:bCs/>
          <w:iCs/>
        </w:rPr>
        <w:tab/>
      </w:r>
      <w:r w:rsidRPr="00DB0FF2">
        <w:t>τονίζει ότι ενέργειες όπως η απλοποίηση της πρόσβαση σε χερσαίες και παράκτιες περιοχές που συντελούνται σε στενή συνεργασία με την Ευρωπαϊκή Τράπεζα Επενδύσεων και τις περιφερειακές και τοπικές αρχές είναι βασικά βήματα για τη διατήρηση ενός βιώσιμου, ανθεκτικού και ανταγωνιστικού τομέα υδατοκαλλιέργειας· υπογραμμίζει ότι μια αναθεωρημένη ΚΑΠ ή μια νέα κοινή πολιτική υδατοκαλλιέργειας θα πρέπει να συμβάλει στην ενίσχυση της επισιτιστικής ασφάλειας και κυριαρχίας, διασφαλίζοντας σταθερό εφοδιασμό των καταναλωτών της ΕΕ με θαλασσινά·</w:t>
      </w:r>
    </w:p>
    <w:p w:rsidR="003D60A8" w:rsidRPr="00DB0FF2" w:rsidP="000F5DDF" w14:paraId="019E2CE7" w14:textId="5248CC7B">
      <w:pPr>
        <w:pStyle w:val="NormalHanging12a"/>
        <w:ind w:left="567" w:hanging="570"/>
        <w:rPr>
          <w:bCs/>
          <w:iCs/>
        </w:rPr>
      </w:pPr>
      <w:r w:rsidRPr="00DB0FF2">
        <w:rPr>
          <w:bCs/>
          <w:iCs/>
        </w:rPr>
        <w:t>22.</w:t>
      </w:r>
      <w:r w:rsidRPr="00DB0FF2">
        <w:rPr>
          <w:bCs/>
          <w:iCs/>
        </w:rPr>
        <w:tab/>
      </w:r>
      <w:r w:rsidRPr="00DB0FF2">
        <w:t xml:space="preserve">τονίζει ότι η αλιεία και η υδατοκαλλιέργεια αποτελούν στρατηγικά πλεονεκτήματα για την επισιτιστική ασφάλεια, την επισιτιστική κυριαρχία και την αγροτική ανάπτυξη παράκτιων περιοχών· παροτρύνει την Επιτροπή να ενσωματώσει πλήρως την αλιεία και την παραγωγή θαλάσσιων τροφίμων στις ευρύτερες στρατηγικές της ΕΕ για την επισιτιστική ασφάλεια, τη διατροφή και τη βιωσιμότητα· επιμένει ότι οι τρεις πυλώνες βιωσιμότητας της ΚΑΠ θα πρέπει να αναπτυχθούν εξίσου και κανένας δεν θα πρέπει να </w:t>
      </w:r>
      <w:r w:rsidRPr="00DB0FF2">
        <w:t>υπονομεύει τη βιωσιμότητα των άλλων· καλεί την ΕΕ και τα κράτη μέλη να ενισχύσουν τη συνεργασία μεταξύ των αλιέων και άλλων ενδιαφερόμενων μερών του τομέα της ναυτιλίας στο πλαίσιο της βιώσιμης γαλάζιας οικονομίας, σε τομείς όπως ο θαλάσσιος χωροταξικός σχεδιασμός, η ανάπτυξη ανανεώσιμων πηγών ενέργειας, η οργάνωση της αλυσίδας εφοδιασμού θαλασσινών, η κυκλική οικονομία και η διαφοροποίηση, αναγνωρίζοντας την ευρύτερη ταυτότητα και τον ρόλο των αλιέων ως θεματοφυλάκων του θαλάσσιου περιβάλλοντος και κινητήριων δυνάμεων της τοπικής ανάπτυξης στις παράκτιες κοινότητες·</w:t>
      </w:r>
    </w:p>
    <w:p w:rsidR="003D60A8" w:rsidRPr="00DB0FF2" w:rsidP="000F5DDF" w14:paraId="2C2D38A4" w14:textId="05316052">
      <w:pPr>
        <w:pStyle w:val="NormalHanging12a"/>
        <w:ind w:left="567" w:hanging="570"/>
        <w:rPr>
          <w:b/>
          <w:i/>
        </w:rPr>
      </w:pPr>
      <w:r w:rsidRPr="00DB0FF2">
        <w:rPr>
          <w:bCs/>
          <w:iCs/>
        </w:rPr>
        <w:t>23.</w:t>
      </w:r>
      <w:r w:rsidRPr="00DB0FF2">
        <w:rPr>
          <w:bCs/>
          <w:iCs/>
        </w:rPr>
        <w:tab/>
      </w:r>
      <w:r w:rsidRPr="00DB0FF2">
        <w:t>παροτρύνει την Επιτροπή να αξιολογήσει διεξοδικά τους διαρθρωτικούς και περιβαλλοντικούς παράγοντες και τάσεις που επηρεάζουν τη μακροπρόθεσμη βιωσιμότητα, την ανταγωνιστικότητα, την εξάρτηση και την κερδοφορία της αλιείας, της υδατοκαλλιέργειας και των φορέων εκμετάλλευσης πρώτης πώλησης και μεταποίησης, ιδίως στις νησιωτικές και εξόχως απόκεντρες περιοχές· προτείνει να αναπτυχθούν μέτρα για την αντιμετώπιση αυτών των παραγόντων και τάσεων μέσω ειδικής και άμεσης δράσης που θα αποτρέπει τη σταδιακή εξαφάνιση των αλιευτικών δραστηριοτήτων της ΕΕ·</w:t>
      </w:r>
    </w:p>
    <w:p w:rsidR="003D60A8" w:rsidRPr="00DB0FF2" w:rsidP="000F5DDF" w14:paraId="5DE2B130" w14:textId="6D44D878">
      <w:pPr>
        <w:pStyle w:val="NormalHanging12a"/>
        <w:ind w:left="567" w:hanging="570"/>
      </w:pPr>
      <w:r w:rsidRPr="00DB0FF2">
        <w:rPr>
          <w:bCs/>
          <w:iCs/>
        </w:rPr>
        <w:t>24.</w:t>
      </w:r>
      <w:r w:rsidRPr="00DB0FF2">
        <w:rPr>
          <w:bCs/>
          <w:iCs/>
        </w:rPr>
        <w:tab/>
      </w:r>
      <w:r w:rsidRPr="00DB0FF2">
        <w:t>επισημαίνει την ανάγκη να καταστεί ο τομέας της αλιείας και της υδατοκαλλιέργειας της ΕΕ ελκυστικός και ανταγωνιστικός σε σύγκριση με τους παγκόσμιους ανταγωνιστές· καλεί την Επιτροπή να διασφαλίσει ότι όλα τα κράτη μέλη και οι σχετικοί παράγοντες δεσμεύονται για την ταχεία εφαρμογή του συστήματος CATCH σε όλα τα προϊόντα αλιείας και υδατοκαλλιέργειας που εισάγονται στην ΕΕ, καθώς και να προωθήσει την εθελοντική χρήση του συστήματος από τρίτες χώρες·</w:t>
      </w:r>
    </w:p>
    <w:p w:rsidR="003D60A8" w:rsidRPr="00DB0FF2" w:rsidP="000F5DDF" w14:paraId="5CB459F6" w14:textId="77E37D24">
      <w:pPr>
        <w:pStyle w:val="NormalHanging12a"/>
        <w:ind w:left="567" w:hanging="570"/>
      </w:pPr>
      <w:r w:rsidRPr="00DB0FF2">
        <w:rPr>
          <w:bCs/>
          <w:iCs/>
        </w:rPr>
        <w:t>25.</w:t>
      </w:r>
      <w:r w:rsidRPr="00DB0FF2">
        <w:rPr>
          <w:bCs/>
          <w:iCs/>
        </w:rPr>
        <w:tab/>
      </w:r>
      <w:r w:rsidRPr="00DB0FF2">
        <w:t>ζητεί τη λήψη στοχευμένων μέτρων για τη διασφάλιση της ανανέωσης των γενεών και την ενίσχυση της ελκυστικότητας της σταδιοδρομίας στον τομέα της αλιείας, επίσης και για τις γυναίκες, διασφαλίζοντας τη βιώσιμη διαχείριση και την ανασύσταση των ιχθυαποθεμάτων, την επένδυση σε σύγχρονους, ασφαλείς και ψηφιοποιημένους αλιευτικούς στόλους χωρίς να αυξάνεται η αλιευτική τους ικανότητα, προγράμματα κατάρτισης, την ασφάλεια στη θάλασσα, την ανάπτυξη επαγγελματικής κατάρτισης, ιδίως σε θέματα συντήρησης ναυτικών δρόνων και τηλεκατευθυνόμενων ρομπότ, την πρόληψη επαγγελματικών και μη επαγγελματικών ασθενειών, πρωτοβουλίες πρόληψης κινδύνων και βελτίωση των συνθηκών εργασίας·</w:t>
      </w:r>
    </w:p>
    <w:p w:rsidR="003D60A8" w:rsidRPr="00DB0FF2" w:rsidP="000F5DDF" w14:paraId="0DEC1A85" w14:textId="79EC436C">
      <w:pPr>
        <w:pStyle w:val="NormalHanging12a"/>
        <w:ind w:left="567" w:hanging="570"/>
      </w:pPr>
      <w:r w:rsidRPr="00DB0FF2">
        <w:rPr>
          <w:bCs/>
          <w:iCs/>
        </w:rPr>
        <w:t>26.</w:t>
      </w:r>
      <w:r w:rsidRPr="00DB0FF2">
        <w:rPr>
          <w:bCs/>
          <w:iCs/>
        </w:rPr>
        <w:tab/>
      </w:r>
      <w:r w:rsidRPr="00DB0FF2">
        <w:t>υπενθυμίζει ότι οι νησιωτικές και εξόχως απόκεντρες περιοχές αντιμετωπίζουν μόνιμους φυσικούς και γεωγραφικούς περιορισμούς που επηρεάζουν την ανταγωνιστικότητα των αλιευτικών στόλων τους και τη νησιωτική οικονομία· ζητεί να δοθεί ιδιαίτερη προσοχή στις επενδύσεις, καθώς και μέτρα, χρηματοδότηση και στήριξη, για παράδειγμα, για την απανθρακοποίηση, την ανανέωση και τον εκσυγχρονισμό αλιευτικών στόλων και βελτιώσεις υποδομών, ιδίως στις εξόχως απόκεντρες περιοχές, προκειμένου να αυξηθεί η ελκυστικότητα, να διασφαλιστεί η ανανέωση των γενεών και το μέλλον του αλιευτικού τομέα σε αυτές τις περιοχές και να συμβάλουν στη βιώσιμη τοπική ανάπτυξη· ζητεί από την Επιτροπή να δώσει ιδιαίτερη προσοχή στη συμμετοχή των εξόχως απόκεντρων περιοχών στις εταιρικές σχέσεις της ΕΕ με τρίτες χώρες στον αλιευτικό τομέα, ιδίως με γειτονικές χώρες ή περιφέρειες, για παράδειγμα με τη μορφή υποδομών, στόλου ή τομεακής στήριξης, προκειμένου να αποφευχθεί κάθε κατάσταση αθέμιτου ανταγωνισμού μεταξύ αλιέων στις εξόχως απόκεντρες περιοχές και αλιέων σε γειτονικές τρίτες χώρες των οποίων τα σκάφη ανανεώνονται·</w:t>
      </w:r>
    </w:p>
    <w:p w:rsidR="003D60A8" w:rsidRPr="00DB0FF2" w:rsidP="000F5DDF" w14:paraId="35C2263A" w14:textId="09576C8E">
      <w:pPr>
        <w:pStyle w:val="NormalHanging12a"/>
        <w:ind w:left="567" w:hanging="570"/>
      </w:pPr>
      <w:r w:rsidRPr="00DB0FF2">
        <w:rPr>
          <w:bCs/>
          <w:iCs/>
        </w:rPr>
        <w:t>27.</w:t>
      </w:r>
      <w:r w:rsidRPr="00DB0FF2">
        <w:rPr>
          <w:bCs/>
          <w:iCs/>
        </w:rPr>
        <w:tab/>
      </w:r>
      <w:r w:rsidRPr="00DB0FF2">
        <w:t>καλεί την Επιτροπή και τα κράτη μέλη να προωθήσουν την ευαισθητοποίηση των καταναλωτών και να ενθαρρύνουν τη διαφάνεια και ιχνηλασιμότητα, διασφαλίζοντας ότι παρέχονται λεπτομερείς πληροφορίες, επίσης και με ψηφιακή μορφή, σχετικά με την προέλευση, την ποιότητα και τη βιωσιμότητα των θαλασσινών προϊόντων· τονίζει την ανάγκη να διασφαλιστεί ότι τα θαλασσινά και τα θαλάσσια προϊόντα της ΕΕ και εκείνα που εισάγονται στην ΕΕ πληρούν παρόμοια περιβαλλοντικά, κοινωνικά πρότυπα, πρότυπα ιχνηλασιμότητας, βιωσιμότητας και καλής διαβίωσης των ζώων, τα οποία επιβάλλονται με αποτελεσματική παρακολούθηση και κυρώσεις, σύμφωνα με τους κανόνες του ΠΟΕ και τις μελλοντικές κατοπτρικές ρήτρες·</w:t>
      </w:r>
    </w:p>
    <w:p w:rsidR="003D60A8" w:rsidRPr="00DB0FF2" w:rsidP="000F5DDF" w14:paraId="7441449A" w14:textId="04DF65F7">
      <w:pPr>
        <w:pStyle w:val="NormalHanging12a"/>
        <w:ind w:left="567" w:hanging="570"/>
      </w:pPr>
      <w:r w:rsidRPr="00DB0FF2">
        <w:rPr>
          <w:bCs/>
          <w:iCs/>
        </w:rPr>
        <w:t>28.</w:t>
      </w:r>
      <w:r w:rsidRPr="00DB0FF2">
        <w:rPr>
          <w:bCs/>
          <w:iCs/>
        </w:rPr>
        <w:tab/>
      </w:r>
      <w:r w:rsidRPr="00DB0FF2">
        <w:t>ζητεί να αναληφθεί δράση σε σχέση με τις προσπάθειες απαλλαγής από τις ανθρακούχες εκπομπές και την ανανέωση και τον εκσυγχρονισμό του στόλου, με ιδιαίτερη προσοχή στην κατάσταση και τις ανάγκες του αλιευτικού στόλου στις εξόχως απόκεντρες περιοχές και τα νησιά· επισημαίνει ότι, σύμφωνα με πρόσφατη μελέτη του</w:t>
      </w:r>
      <w:r>
        <w:rPr>
          <w:vertAlign w:val="superscript"/>
        </w:rPr>
        <w:footnoteReference w:id="6"/>
      </w:r>
      <w:r w:rsidRPr="00DB0FF2">
        <w:t>, τα μελλοντικά μέσα στήριξης της αλιείας θα πρέπει να εξετάζουν λιγότερο περιοριστικούς όρους όσον αφορά τη στήριξη για απόκτηση πρώτου αλιευτικού σκάφους, για την ανακαίνιση ή την αντικατάσταση κινητήρα και για βελτιώσεις των σκαφών που απαιτούν πρόσθετη χωρητικότητα, με παράλληλη εφαρμογή περιορισμών για την αποφυγή της πλεονάζουσας αλιευτικής ικανότητας ή της υπεραλίευσης σε επίπεδο επιμέρους τμημάτων ή ολόκληρου του εθνικού στόλου· καλεί, στο πλαίσιο αυτό, την Επιτροπή, να επιληφθεί του θέματος, κατά την αξιολόγηση και την απλούστευση των περιττών κανονιστικών φραγμών στο πλαίσιο της ΚΑΠ και του Ευρωπαϊκού Ταμείου Θάλασσας, Αλιείας και Υδατοκαλλιέργειας (ΕΤΘΑΥ)·</w:t>
      </w:r>
    </w:p>
    <w:p w:rsidR="003D60A8" w:rsidRPr="00DB0FF2" w:rsidP="003D60A8" w14:paraId="06F1B75E" w14:textId="77777777">
      <w:pPr>
        <w:pStyle w:val="NormalHanging12a"/>
        <w:rPr>
          <w:b/>
          <w:bCs/>
          <w:i/>
        </w:rPr>
      </w:pPr>
      <w:r w:rsidRPr="00DB0FF2">
        <w:rPr>
          <w:b/>
          <w:i/>
        </w:rPr>
        <w:t>Περιβαλλοντική και επιστημονική πρωτοπορία</w:t>
      </w:r>
    </w:p>
    <w:p w:rsidR="003D60A8" w:rsidRPr="00DB0FF2" w:rsidP="000F5DDF" w14:paraId="02144886" w14:textId="2E120891">
      <w:pPr>
        <w:pStyle w:val="NormalHanging12a"/>
        <w:ind w:left="567" w:hanging="570"/>
      </w:pPr>
      <w:r w:rsidRPr="00DB0FF2">
        <w:rPr>
          <w:bCs/>
          <w:iCs/>
        </w:rPr>
        <w:t>29.</w:t>
      </w:r>
      <w:r w:rsidRPr="00DB0FF2">
        <w:rPr>
          <w:bCs/>
          <w:iCs/>
        </w:rPr>
        <w:tab/>
      </w:r>
      <w:r w:rsidRPr="00DB0FF2">
        <w:t>εκφράζει την ικανοποίησή του για τον ηγετικό ρόλο της ΕΕ στην παγκόσμια διακυβέρνηση των ωκεανών, ιδίως μέσω του ρόλου της στη δημιουργία του συνασπισμού υψηλών φιλοδοξιών για τη βιοποικιλότητα πέραν της εθνικής δικαιοδοσίας από 47 μέλη· εκφράζει ικανοποίηση για την έναρξη ισχύος της συμφωνίας BBNJ στο πλαίσιο της UNCLOS για τη διασφάλιση της αποτελεσματικής διατήρησης και της βιώσιμης χρήσης της θαλάσσιας βιοποικιλότητας σε περιοχές πέραν της εθνικής δικαιοδοσίας, προκειμένου να διασφαλιστεί, στη συνέχεια, η αποτελεσματική προστασία και η βιώσιμη διαχείριση της ανοικτής θάλασσας· ζητεί το νέο πλαίσιο να λειτουργεί με συντονισμένο και συμπληρωματικό τρόπο με τους υφιστάμενους διεθνείς φορείς, συμπεριλαμβανομένων των ΠΟΔΑ, του FAO και του Διεθνούς Ναυτιλιακού Οργανισμού, καθώς και με την ΚΑΠ· τονίζει ότι η συμφωνία θα πρέπει να εφαρμοστεί και η οδηγία να μεταφερθεί στο εθνικό δίκαιο με σεβασμό των αρμοδιοτήτων αυτών των οργάνων, του κεκτημένου της ΕΕ και των αρμοδιοτήτων των κρατών μελών·</w:t>
      </w:r>
    </w:p>
    <w:p w:rsidR="003D60A8" w:rsidRPr="00DB0FF2" w:rsidP="000F5DDF" w14:paraId="5F2EF912" w14:textId="2D5196C7">
      <w:pPr>
        <w:pStyle w:val="NormalHanging12a"/>
        <w:ind w:left="567" w:hanging="570"/>
        <w:rPr>
          <w:bCs/>
          <w:iCs/>
        </w:rPr>
      </w:pPr>
      <w:r w:rsidRPr="00DB0FF2">
        <w:rPr>
          <w:bCs/>
          <w:iCs/>
        </w:rPr>
        <w:t>30.</w:t>
      </w:r>
      <w:r w:rsidRPr="00DB0FF2">
        <w:rPr>
          <w:bCs/>
          <w:iCs/>
        </w:rPr>
        <w:tab/>
      </w:r>
      <w:r w:rsidRPr="00DB0FF2">
        <w:t xml:space="preserve">εκφράζει την ικανοποίησή του για την επιβεβαίωση ότι η μη έγκριση, η μη εφαρμογή ή η μη επιβολή μέτρων διαχείρισης της αλιείας —είτε στο πλαίσιο των ΠΟΔΑ είτε στο πλαίσιο διμερών και πολυμερών συμφωνιών— συνιστά πλέον μη συνεργασία βάσει του δικαίου της ΕΕ· ζητεί, στο πλαίσιο αυτό, από την Επιτροπή, σε συνεργασία με τα κράτη μέλη, να χρησιμοποιήσει όλα τα διαθέσιμα μέσα για να διασφαλίσει τη συνεργασία </w:t>
      </w:r>
      <w:r w:rsidRPr="00DB0FF2">
        <w:t>τρίτων χωρών, συμπεριλαμβανομένου του κανονισμού (ΕΕ) αριθ. 1026/2012</w:t>
      </w:r>
      <w:r>
        <w:rPr>
          <w:rStyle w:val="FootnoteReference"/>
          <w:bCs/>
          <w:iCs/>
        </w:rPr>
        <w:footnoteReference w:id="7"/>
      </w:r>
      <w:r w:rsidRPr="00DB0FF2">
        <w:t>, ο οποίος θεσπίζει πλαίσιο για τον προσδιορισμό και την έγκριση μέτρων για τρίτες χώρες που δεν συνεργάζονται και επιτρέπουν τη μη βιώσιμη αλιεία αποθέματος κοινού ενδιαφέροντος για την Ένωση·</w:t>
      </w:r>
    </w:p>
    <w:p w:rsidR="003D60A8" w:rsidRPr="00DB0FF2" w:rsidP="000F5DDF" w14:paraId="281610D1" w14:textId="7E20044A">
      <w:pPr>
        <w:pStyle w:val="NormalHanging12a"/>
        <w:ind w:left="567" w:hanging="570"/>
      </w:pPr>
      <w:r w:rsidRPr="00DB0FF2">
        <w:rPr>
          <w:bCs/>
          <w:iCs/>
        </w:rPr>
        <w:t>31.</w:t>
      </w:r>
      <w:r w:rsidRPr="00DB0FF2">
        <w:rPr>
          <w:bCs/>
          <w:iCs/>
        </w:rPr>
        <w:tab/>
      </w:r>
      <w:r w:rsidRPr="00DB0FF2">
        <w:t>αναγνωρίζει τη σημασία της αρχής της προφύλαξης ενός διεθνούς μορατόριουμ για την εξόρυξη ανοικτής θαλάσσης ως ζήτημα παγκόσμιας περιβαλλοντικής ευθύνης που θα μπορούσε να επηρεάσει τη διακυβέρνηση των ωκεανών και την αλιεία· τονίζει, στο πλαίσιο αυτό, τη σημασία της εφαρμογής της αρχής της προφύλαξης σε έργα εξόρυξης ανοικτής θαλάσσης έως ότου μελετηθούν και διερευνηθούν επαρκώς οι επιπτώσεις τους στο θαλάσσιο περιβάλλον και τη βιοποικιλότητα· επιμένει ότι η ΕΕ πρέπει να συνεχίσει να συμμετέχει ενεργά στις παγκόσμιες προσπάθειες για την έρευνα και την εξερεύνηση της ανοικτής θάλασσας, θέτοντας παράλληλα τα υψηλότερα δυνατά πρότυπα για τη βιώσιμη διαχείριση των πόρων· εκφράζει την ικανοποίησή του για την προληπτική παύση της εξόρυξης ανοικτής θαλάσσης που υποστηρίζει η Επιτροπή· καλεί, ως εκ τούτου, τα κράτη μέλη να στηρίξουν την προσέγγιση αυτή, μεταξύ άλλων μέσω της Διεθνούς Αρχής Θαλάσσιων Βυθών, έως ότου καταστούν διαθέσιμες ολοκληρωμένες επιστημονικές έρευνες και γνώσεις σχετικά με τον αντίκτυπο της εξόρυξης ανοικτής θαλάσσης και έως ότου αποδειχθεί ότι οι εν λόγω δραστηριότητες μπορούν να αποτελέσουν αντικείμενο διαχείρισης χωρίς να προκληθεί απώλεια βιοποικιλότητας ή υποβάθμιση του οικοσυστήματος·</w:t>
      </w:r>
    </w:p>
    <w:p w:rsidR="003D60A8" w:rsidRPr="00DB0FF2" w:rsidP="000F5DDF" w14:paraId="718FF445" w14:textId="2F5C2C66">
      <w:pPr>
        <w:pStyle w:val="NormalHanging12a"/>
        <w:ind w:left="567" w:hanging="570"/>
      </w:pPr>
      <w:r w:rsidRPr="00DB0FF2">
        <w:rPr>
          <w:bCs/>
          <w:iCs/>
        </w:rPr>
        <w:t>32.</w:t>
      </w:r>
      <w:r w:rsidRPr="00DB0FF2">
        <w:rPr>
          <w:bCs/>
          <w:iCs/>
        </w:rPr>
        <w:tab/>
      </w:r>
      <w:r w:rsidRPr="00DB0FF2">
        <w:t>ζητεί να υποστηριχθεί ένα διεθνές μορατόριουμ για την εξόρυξη ανοικτής θαλάσσης και υπενθυμίζει στην ΕΕ και τα κράτη μέλη της, ως μέλη της διεθνούς αρχής των θαλάσσιων βυθών και σύμφωνα με την UNCLOS, τη νομική τους υποχρέωση να ανταποκρίνονται με κατάλληλα μέτρα σε κάθε απόπειρα παράκαμψης της διεθνούς αρχής των θαλάσσιων βυθών ως αρμόδιου διεθνούς φορέα για τη ρύθμιση των δραστηριοτήτων εξόρυξης ανοικτής θαλάσσης πέραν των εθνικών δικαιοδοσιών, καθώς τέτοιες απόπειρες ενδέχεται να έχουν αντίκτυπο στη διεθνή διακυβέρνηση των ωκεανών·</w:t>
      </w:r>
    </w:p>
    <w:p w:rsidR="003D60A8" w:rsidRPr="00DB0FF2" w:rsidP="000F5DDF" w14:paraId="3A9AECCF" w14:textId="0C90F037">
      <w:pPr>
        <w:pStyle w:val="NormalHanging12a"/>
        <w:ind w:left="567" w:hanging="570"/>
        <w:rPr>
          <w:b/>
          <w:i/>
        </w:rPr>
      </w:pPr>
      <w:r w:rsidRPr="00DB0FF2">
        <w:rPr>
          <w:bCs/>
          <w:iCs/>
        </w:rPr>
        <w:t>33.</w:t>
      </w:r>
      <w:r w:rsidRPr="00DB0FF2">
        <w:rPr>
          <w:bCs/>
          <w:iCs/>
        </w:rPr>
        <w:tab/>
      </w:r>
      <w:r w:rsidRPr="00DB0FF2">
        <w:t xml:space="preserve">καλεί την Επιτροπή και τα κράτη μέλη να ασκήσουν πιέσεις ώστε το διεθνές μορατόριουμ για τη </w:t>
      </w:r>
      <w:r w:rsidRPr="00DB0FF2">
        <w:t>φαλαινοθηρία</w:t>
      </w:r>
      <w:r w:rsidRPr="00DB0FF2">
        <w:t xml:space="preserve"> και τη θήρα μεγάλων κητοειδών της Διεθνούς Επιτροπής </w:t>
      </w:r>
      <w:r w:rsidRPr="00DB0FF2">
        <w:t>Φαλαινοθηρίας</w:t>
      </w:r>
      <w:r w:rsidRPr="00DB0FF2">
        <w:t xml:space="preserve"> και των διεθνών οργανισμών να τηρείται από όλες τις χώρες και τις περιφέρειες, και οι υφιστάμενες εξαιρέσεις να μην χρησιμοποιούνται καταχρηστικά για τη στήριξη εμπορικών στόχων·</w:t>
      </w:r>
    </w:p>
    <w:p w:rsidR="003D60A8" w:rsidRPr="00DB0FF2" w:rsidP="000F5DDF" w14:paraId="647B90D9" w14:textId="27FF69F7">
      <w:pPr>
        <w:pStyle w:val="NormalHanging12a"/>
        <w:ind w:left="567" w:hanging="570"/>
      </w:pPr>
      <w:r w:rsidRPr="00DB0FF2">
        <w:rPr>
          <w:bCs/>
          <w:iCs/>
        </w:rPr>
        <w:t>34.</w:t>
      </w:r>
      <w:r w:rsidRPr="00DB0FF2">
        <w:rPr>
          <w:bCs/>
          <w:iCs/>
        </w:rPr>
        <w:tab/>
      </w:r>
      <w:r w:rsidRPr="00DB0FF2">
        <w:t xml:space="preserve">τονίζει ότι ο χαρακτηρισμός οποιωνδήποτε προστατευόμενων θαλάσσιων περιοχών πρέπει να πραγματοποιείται κατόπιν πλήρους εκτίμησης επιπτώσεων και αποτελεσματικής διαβούλευσης με τα ενδιαφερόμενα μέρη, και πρέπει να έχει σαφείς στόχους και αποτελεσματικά μέτρα παρακολούθησης, ελέγχου και επιτήρησης, με βάση τις βέλτιστες διαθέσιμες επιστημονικές γνώσεις και γνωμοδοτήσεις· τονίζει την ανάγκη να ληφθούν υπόψη οι τρεις πυλώνες της βιώσιμης ανάπτυξης που πρέπει να συμβαδίζουν με τη στρατηγική αυτονομία της ΕΕ και τη σημασία των αλιέων και των </w:t>
      </w:r>
      <w:r w:rsidRPr="00DB0FF2">
        <w:t>παράκτιων κοινοτήτων για τη συνοχή της ΕΕ·</w:t>
      </w:r>
    </w:p>
    <w:p w:rsidR="003D60A8" w:rsidRPr="00CC574F" w:rsidP="000F5DDF" w14:paraId="7370B1E4" w14:textId="28678FAB">
      <w:pPr>
        <w:pStyle w:val="NormalHanging12a"/>
        <w:ind w:left="567" w:hanging="570"/>
        <w:rPr>
          <w:bCs/>
          <w:iCs/>
        </w:rPr>
      </w:pPr>
      <w:r w:rsidRPr="00CC574F">
        <w:rPr>
          <w:bCs/>
          <w:iCs/>
        </w:rPr>
        <w:t>35.</w:t>
      </w:r>
      <w:r w:rsidRPr="00CC574F">
        <w:rPr>
          <w:bCs/>
          <w:iCs/>
        </w:rPr>
        <w:tab/>
      </w:r>
      <w:r w:rsidRPr="00DB0FF2">
        <w:t xml:space="preserve">υπενθυμίζει την ανάγκη να δοθεί ιδιαίτερη προσοχή στην περιοχή της Αρκτικής, σύμφωνα με τη στρατηγική του 2021 για την Αρκτική, και εκφράζει την υποστήριξή του ιδίως στις προσπάθειες που καταβάλλονται για τη δημιουργία των δύο νέων ΠΘΠ στην ανατολική Ανταρκτική και στη Θάλασσα </w:t>
      </w:r>
      <w:r w:rsidRPr="00DB0FF2">
        <w:t>Weddell</w:t>
      </w:r>
      <w:r w:rsidRPr="00DB0FF2">
        <w:t xml:space="preserve"> στον Ανταρκτικό Ωκεανό· σημειώνει τις εκτιμήσεις επιπτώσεων και την αντίθεση στις προτάσεις για τις ΠΘΠ που εξέφρασαν ορισμένα μέρη εντός της Επιτροπής για τη Διατήρηση της Θαλάσσιας Χλωρίδας και Πανίδας της Ανταρκτικής· ζητεί την ενεργή υποστήριξη αυτών των προστατευόμενων θαλάσσιων περιοχών στο πλαίσιο μιας αναγκαίας απάντησης στις αυξανόμενες και ενδεχομένως μη βιώσιμες φιλοδοξίες άλλων παγκόσμιων παραγόντων σε αυτές τις περιοχές, καθώς και να εντατικοποιηθούν οι διμερείς και πολυμερείς προσπάθειές για την εξασφάλιση στήριξης για τη δημιουργία νέων ΠΘΠ·</w:t>
      </w:r>
    </w:p>
    <w:p w:rsidR="00CC574F" w:rsidP="000F5DDF" w14:paraId="0D19940B" w14:textId="1C69F84E">
      <w:pPr>
        <w:pStyle w:val="NormalHanging12a"/>
        <w:ind w:left="567" w:hanging="570"/>
        <w:rPr>
          <w:bCs/>
          <w:iCs/>
        </w:rPr>
      </w:pPr>
      <w:r>
        <w:rPr>
          <w:bCs/>
          <w:iCs/>
        </w:rPr>
        <w:t>36.</w:t>
      </w:r>
      <w:r>
        <w:rPr>
          <w:bCs/>
          <w:iCs/>
        </w:rPr>
        <w:tab/>
      </w:r>
      <w:r w:rsidRPr="00CC574F">
        <w:rPr>
          <w:bCs/>
          <w:iCs/>
        </w:rPr>
        <w:t xml:space="preserve">εκφράζει την ανησυχία του για την επέκταση και τη συγκέντρωση αλιευμάτων </w:t>
      </w:r>
      <w:r w:rsidRPr="00CC574F">
        <w:rPr>
          <w:bCs/>
          <w:iCs/>
        </w:rPr>
        <w:t>κριλ</w:t>
      </w:r>
      <w:r w:rsidRPr="00CC574F">
        <w:rPr>
          <w:bCs/>
          <w:iCs/>
        </w:rPr>
        <w:t xml:space="preserve"> στον Νότιο Ωκεανό από ορισμένες τρίτες χώρες κατά την τελευταία δεκαετία και για τις συναφείς απειλές για τα οικοσυστήματα της Ανταρκτικής·</w:t>
      </w:r>
    </w:p>
    <w:p w:rsidR="00CC574F" w:rsidRPr="00DB0FF2" w:rsidP="000F5DDF" w14:paraId="2906B6A6" w14:textId="18660211">
      <w:pPr>
        <w:pStyle w:val="NormalHanging12a"/>
        <w:ind w:left="567" w:hanging="570"/>
        <w:rPr>
          <w:bCs/>
          <w:iCs/>
        </w:rPr>
      </w:pPr>
      <w:r w:rsidRPr="00DB0FF2">
        <w:rPr>
          <w:bCs/>
          <w:iCs/>
        </w:rPr>
        <w:t>37.</w:t>
      </w:r>
      <w:r w:rsidRPr="00DB0FF2">
        <w:rPr>
          <w:bCs/>
          <w:iCs/>
        </w:rPr>
        <w:tab/>
      </w:r>
      <w:r w:rsidRPr="00CC574F">
        <w:rPr>
          <w:bCs/>
          <w:iCs/>
        </w:rPr>
        <w:t xml:space="preserve">καλεί την Επιτροπή να στηρίξει ένα πενταετές μορατόριουμ στην αλιεία </w:t>
      </w:r>
      <w:r w:rsidRPr="00CC574F">
        <w:rPr>
          <w:bCs/>
          <w:iCs/>
        </w:rPr>
        <w:t>κριλ</w:t>
      </w:r>
      <w:r w:rsidRPr="00CC574F">
        <w:rPr>
          <w:bCs/>
          <w:iCs/>
        </w:rPr>
        <w:t xml:space="preserve"> στον Νότιο Ωκεανό·</w:t>
      </w:r>
    </w:p>
    <w:p w:rsidR="003D60A8" w:rsidRPr="00DB0FF2" w:rsidP="000F5DDF" w14:paraId="45656898" w14:textId="430E5880">
      <w:pPr>
        <w:pStyle w:val="NormalHanging12a"/>
        <w:ind w:left="567" w:hanging="570"/>
      </w:pPr>
      <w:r w:rsidRPr="00DB0FF2">
        <w:rPr>
          <w:bCs/>
          <w:iCs/>
        </w:rPr>
        <w:t>38.</w:t>
      </w:r>
      <w:r w:rsidRPr="00DB0FF2">
        <w:rPr>
          <w:bCs/>
          <w:iCs/>
        </w:rPr>
        <w:tab/>
      </w:r>
      <w:r w:rsidRPr="00DB0FF2">
        <w:t>τονίζει ότι τα επιστημονικά στοιχεία πρέπει να παραμείνουν η ραχοκοκαλιά της λήψης αποφάσεων στη διεθνή διακυβέρνηση των ωκεανών, λειτουργώντας ως κοινό νόμισμα στις πολυμερείς διαπραγματεύσεις και στηρίζοντας τη βιώσιμη διακυβέρνηση στον τομέα της αλιείας και της υδατοκαλλιέργειας· τονίζει περαιτέρω την ανάγκη να παρασχεθούν επενδύσεις και βοήθεια στους επιστημονικούς φορείς που παρέχουν τα στοιχεία στα οποία βασίζονται οι εν λόγω αποφάσεις·</w:t>
      </w:r>
    </w:p>
    <w:p w:rsidR="003D60A8" w:rsidRPr="00DB0FF2" w:rsidP="000F5DDF" w14:paraId="5E6A774B" w14:textId="52EF57F6">
      <w:pPr>
        <w:pStyle w:val="NormalHanging12a"/>
        <w:ind w:left="567" w:hanging="570"/>
        <w:rPr>
          <w:b/>
          <w:i/>
        </w:rPr>
      </w:pPr>
      <w:r w:rsidRPr="00DB0FF2">
        <w:rPr>
          <w:bCs/>
          <w:iCs/>
        </w:rPr>
        <w:t>39.</w:t>
      </w:r>
      <w:r w:rsidRPr="00DB0FF2">
        <w:rPr>
          <w:bCs/>
          <w:iCs/>
        </w:rPr>
        <w:tab/>
      </w:r>
      <w:r w:rsidRPr="00DB0FF2">
        <w:t xml:space="preserve">υπενθυμίζει τη σημασία του παγκόσμιου ηγετικού ρόλου της ΕΕ στην εφαρμογή του παγκόσμιου πλαισίου για τη βιοποικιλότητα </w:t>
      </w:r>
      <w:r w:rsidRPr="00DB0FF2">
        <w:t>Κουνμίνγκ</w:t>
      </w:r>
      <w:r w:rsidRPr="00DB0FF2">
        <w:t>-Μόντρεαλ που αναγνωρίζει τη σημασία άλλων αποτελεσματικών μέτρων διατήρησης βάσει περιοχής (OECM) ως συμπληρωματικής προσέγγισης για την προστασία των ΠΘΠ· τονίζει ότι είναι σημαντικό να συμπεριληφθούν τα άλλα αποτελεσματικά μέτρα διατήρησης βάσει περιοχής (OECM) για την επίτευξη του στόχου της προστασίας του 30 % των ωκεανών σε παγκόσμιο επίπεδο έως το 2030, υπό τον όρο ότι τα OECM πληρούν τα κριτήρια σε αυτό το πλαίσιο·</w:t>
      </w:r>
    </w:p>
    <w:p w:rsidR="003D60A8" w:rsidRPr="00DB0FF2" w:rsidP="000F5DDF" w14:paraId="356F5D8D" w14:textId="6B811AD5">
      <w:pPr>
        <w:pStyle w:val="NormalHanging12a"/>
        <w:ind w:left="567" w:hanging="570"/>
      </w:pPr>
      <w:r w:rsidRPr="00DB0FF2">
        <w:rPr>
          <w:bCs/>
          <w:iCs/>
        </w:rPr>
        <w:t>40.</w:t>
      </w:r>
      <w:r w:rsidRPr="00DB0FF2">
        <w:rPr>
          <w:bCs/>
          <w:iCs/>
        </w:rPr>
        <w:tab/>
      </w:r>
      <w:r w:rsidRPr="00DB0FF2">
        <w:t>υποστηρίζει τη δέσμευση του ευρωπαϊκού συμφώνου για τους ωκεανούς να θεσπίσει μια πανευρωπαϊκή πρωτοβουλία παρατήρησης των ωκεανών ως ακρογωνιαίο λίθο για τη βελτίωση της κατανόησης και της διαχείρισης των θαλάσσιων οικοσυστημάτων· υποστηρίζει τη δημιουργία ενός ευρωπαϊκού παρατηρητηρίου ανοικτής θάλασσας στον Ατλαντικό, προωθώντας παράλληλα τη δημιουργία ενός παγκόσμιου δικτύου παρατηρητηρίων που ανταλλάσσουν δεδομένα και ενθαρρύνουν την κινητικότητα μεταξύ επιστημόνων· ζητεί ενισχυμένη συνεργασία εντός της ΕΕ στον τομέα της έρευνας και της καινοτομίας για την ενδυνάμωση της θαλάσσιας επιστημονικής συνεργασίας και κινητικότητας και την ενίσχυση του ηγετικού ρόλου της ΕΕ στις επιστήμες της θάλασσας· καλεί την ΕΕ, ενόψει της οπισθοχώρησης που παρατηρείται στις προσπάθειες ορισμένων παγκόσμιων εταίρων για μείωση των εκπομπών αερίων του θερμοκηπίου, να ενισχύσει τη δράση και τη δέσμευσή της στην επιστημονική συνεργασία για τη διαφύλαξη των θαλάσσιων και παράκτιων οικοσυστημάτων· υπογραμμίζει την ανάγκη παροχής επαρκούς χρηματοδοτικής στήριξης·</w:t>
      </w:r>
    </w:p>
    <w:p w:rsidR="003D60A8" w:rsidRPr="00DB0FF2" w:rsidP="000F5DDF" w14:paraId="0C64B3E1" w14:textId="540F56C8">
      <w:pPr>
        <w:pStyle w:val="NormalHanging12a"/>
        <w:ind w:left="567" w:hanging="570"/>
        <w:rPr>
          <w:bCs/>
          <w:iCs/>
        </w:rPr>
      </w:pPr>
      <w:r w:rsidRPr="00DB0FF2">
        <w:rPr>
          <w:bCs/>
          <w:iCs/>
        </w:rPr>
        <w:t>41.</w:t>
      </w:r>
      <w:r w:rsidRPr="00DB0FF2">
        <w:rPr>
          <w:bCs/>
          <w:iCs/>
        </w:rPr>
        <w:tab/>
      </w:r>
      <w:r w:rsidRPr="00DB0FF2">
        <w:t>καλεί την Επιτροπή να θεσπίσει, στο πλαίσιο του ευρωπαϊκού συμφώνου για τους ωκεανούς, μια ειδική πρωτοβουλία για «Καθαρή Βαλτική» για την αντιμετώπιση των μοναδικών προκλήσεων για το περιβάλλον και την ασφάλεια της Βαλτικής Θάλασσας· υπογραμμίζει ότι η θαλάσσια λεκάνη εξακολουθεί να πλήττεται σε μεγάλο βαθμό από τον ευτροφισμό, τη ρύπανση και την παρουσία επικίνδυνων πολεμικών καταλοίπων, συμπεριλαμβανομένων πυρομαχικών, χημικών παραγόντων και άλλων ρύπων στον θαλάσσιο βυθό·</w:t>
      </w:r>
    </w:p>
    <w:p w:rsidR="003D60A8" w:rsidRPr="00DB0FF2" w:rsidP="003D60A8" w14:paraId="0E55876C" w14:textId="77777777">
      <w:pPr>
        <w:pStyle w:val="NormalHanging12a"/>
        <w:rPr>
          <w:b/>
          <w:bCs/>
          <w:i/>
        </w:rPr>
      </w:pPr>
      <w:r w:rsidRPr="00DB0FF2">
        <w:rPr>
          <w:b/>
          <w:i/>
        </w:rPr>
        <w:t>Εμπορική πολιτική και παγκόσμια διακυβέρνηση των ωκεανών</w:t>
      </w:r>
    </w:p>
    <w:p w:rsidR="003D60A8" w:rsidRPr="00DB0FF2" w:rsidP="000F5DDF" w14:paraId="0238F50F" w14:textId="15861639">
      <w:pPr>
        <w:pStyle w:val="NormalHanging12a"/>
        <w:ind w:left="567" w:hanging="570"/>
      </w:pPr>
      <w:r w:rsidRPr="00DB0FF2">
        <w:rPr>
          <w:bCs/>
          <w:iCs/>
        </w:rPr>
        <w:t>42.</w:t>
      </w:r>
      <w:r w:rsidRPr="00DB0FF2">
        <w:rPr>
          <w:bCs/>
          <w:iCs/>
        </w:rPr>
        <w:tab/>
      </w:r>
      <w:r w:rsidRPr="00DB0FF2">
        <w:t>τονίζει την ευθύνη της ΕΕ να διατηρήσει τον ηγετικό της ρόλο στα διεθνή φόρουμ μέσω της προώθησης της πολυμερούς προσέγγισης, της συνεργασίας με όλους τους σχετικούς εταίρους για τη βιωσιμότητα της αλιείας και τη διακυβέρνηση των ωκεανών, μεταξύ άλλων τις Ηνωμένες Πολιτείες και την Κίνα, και του καθορισμού παγκόσμιων προτύπων για τη θαλάσσια βιωσιμότητα και τον θεμιτό ανταγωνισμό· επισημαίνει, επιπλέον, τον σημαντικό ρόλο των γνωμοδοτικών συμβουλίων, όπως το γνωμοδοτικό συμβούλιο «στόλοι μεγάλων αποστάσεων», στην παροχή συμβουλών στην Επιτροπή σχετικά με τη χάραξη και την εφαρμογή πολιτικής· επισημαίνει ότι είναι σημαντικό να λαμβάνονται δεόντως υπόψη οι συμβουλές τους κατά τη λήψη αποφάσεων·</w:t>
      </w:r>
    </w:p>
    <w:p w:rsidR="003D60A8" w:rsidRPr="00DB0FF2" w:rsidP="000F5DDF" w14:paraId="5E1DE41D" w14:textId="1F6C36FC">
      <w:pPr>
        <w:pStyle w:val="NormalHanging12a"/>
        <w:ind w:left="567" w:hanging="570"/>
        <w:rPr>
          <w:bCs/>
          <w:iCs/>
        </w:rPr>
      </w:pPr>
      <w:r w:rsidRPr="00DB0FF2">
        <w:rPr>
          <w:bCs/>
          <w:iCs/>
        </w:rPr>
        <w:t>43.</w:t>
      </w:r>
      <w:r w:rsidRPr="00DB0FF2">
        <w:rPr>
          <w:bCs/>
          <w:iCs/>
        </w:rPr>
        <w:tab/>
      </w:r>
      <w:r w:rsidRPr="00DB0FF2">
        <w:t>χαιρετίζει την έναρξη ισχύος της συμφωνίας του ΠΟΕ για τις επιδοτήσεις στον τομέα της αλιείας· υπογραμμίζει ότι η συμφωνία αυτή αποτελεί ορόσημο στην εξάλειψη των επιζήμιων αλιευτικών επιδοτήσεων που συμβάλλουν στην υπεραλίευση και την πλεονάζουσα αλιευτική ικανότητα, προωθώντας έτσι ισότιμους όρους ανταγωνισμού και τη βιώσιμη διαχείριση των θαλάσσιων πόρων παγκοσμίως· ενθαρρύνει την Επιτροπή να αξιοποιήσει αυτή την επιτυχία μέσω της ωκεάνιας διπλωματίας, συνεργαζόμενη προορατικά με τρίτες χώρες, ιδίως με μεγάλα αλιευτικά έθνη, να προωθήσει την κύρωση και την αποτελεσματική εφαρμογή της εν λόγω συμφωνίας και τις εν εξελίξει διαπραγματεύσεις ώστε να συμφωνηθούν τα επόμενα βήματα, καθώς και να προωθήσει τις παγκόσμιες δεσμεύσεις για βιώσιμη, διαφανή και δίκαιη διαχείριση της αλιείας·</w:t>
      </w:r>
    </w:p>
    <w:p w:rsidR="003D60A8" w:rsidRPr="00DB0FF2" w:rsidP="000F5DDF" w14:paraId="3BC5180F" w14:textId="36CADC25">
      <w:pPr>
        <w:pStyle w:val="NormalHanging12a"/>
        <w:ind w:left="567" w:hanging="570"/>
        <w:rPr>
          <w:bCs/>
          <w:iCs/>
        </w:rPr>
      </w:pPr>
      <w:r w:rsidRPr="00DB0FF2">
        <w:rPr>
          <w:bCs/>
          <w:iCs/>
        </w:rPr>
        <w:t>44.</w:t>
      </w:r>
      <w:r w:rsidRPr="00DB0FF2">
        <w:rPr>
          <w:bCs/>
          <w:iCs/>
        </w:rPr>
        <w:tab/>
      </w:r>
      <w:r w:rsidRPr="00DB0FF2">
        <w:t>τονίζει ότι οι ΠΟΔΑ υπό χρηστή διαχείριση, οι οποίες μεριμνούν για αποτελεσματικές πολυμερείς διαπραγματεύσεις που οδηγούν σε ισχυρούς κοινούς κανόνες και σωστή συμμόρφωση με αυτούς τους κανόνες, είναι καίριας σημασίας για την επίτευξη ανταγωνιστικότητας στην αλιεία και την υδατοκαλλιέργεια, τονίζοντας έτσι τη σημασία των επενδύσεων στην ικανότητα των εν λόγω ΠΟΔΑ, της συνεργασίας με οργανισμούς των Ηνωμένων Εθνών και της ενίσχυσης της διπλωματίας της ΕΕ σε αυτά τα φόρουμ· τονίζει ότι οι φορείς συμμόρφωσης των ΠΟΔΑ εξακολουθούν να μην χρησιμοποιούνται επαρκώς από την ΕΕ και καλεί, ως εκ τούτου, την Επιτροπή να εγείρει το ζήτημα και να αντιμετωπίσει περιπτώσεις μη συμμόρφωσης τρίτων χωρών στις σχετικές επιτροπές συμμόρφωσης των ΠΟΔΑ·</w:t>
      </w:r>
    </w:p>
    <w:p w:rsidR="003D60A8" w:rsidRPr="00DB0FF2" w:rsidP="000F5DDF" w14:paraId="1338DB08" w14:textId="27BDC8BE">
      <w:pPr>
        <w:pStyle w:val="NormalHanging12a"/>
        <w:ind w:left="567" w:hanging="570"/>
        <w:rPr>
          <w:b/>
          <w:i/>
        </w:rPr>
      </w:pPr>
      <w:r w:rsidRPr="00DB0FF2">
        <w:rPr>
          <w:bCs/>
          <w:iCs/>
        </w:rPr>
        <w:t>45.</w:t>
      </w:r>
      <w:r w:rsidRPr="00DB0FF2">
        <w:rPr>
          <w:bCs/>
          <w:iCs/>
        </w:rPr>
        <w:tab/>
      </w:r>
      <w:r w:rsidRPr="00DB0FF2">
        <w:t xml:space="preserve">καλεί την Επιτροπή και τα κράτη μέλη να ενισχύσουν τους τελωνειακούς ελέγχους με αυξημένες εξουσίες, αξιοποιώντας πλήρως μια νέα τελωνειακή αρχή της ΕΕ για να προστατεύσουν τους αλιείς από τους διακινητές ναρκωτικών και μεταναστών και άλλες παράνομες δραστηριότητες που απειλούν την ασφάλεια και την περιφερειακή σταθερότητα των αλιέων· υπενθυμίζει ότι η διασφάλιση της ιχνηλασιμότητας των θαλασσινών προϊόντων, η αποτελεσματική συμμόρφωση με τα πρότυπα βιωσιμότητας και η αμοιβαιότητα με τρίτες χώρες όσον αφορά τα προϊόντα αλιείας και υδατοκαλλιέργειας προστατεύουν τους αλιείς από παράνομες δραστηριότητες και </w:t>
      </w:r>
      <w:r w:rsidRPr="00DB0FF2">
        <w:t>διατηρούν την εμπιστοσύνη των καταναλωτών· τονίζει ότι τα εγκληματικά δίκτυα που χρησιμοποιούν τον τομέα της αλιείας για τη δράση τους υπονομεύουν τη βιώσιμη διακυβέρνηση των ωκεανών, στρεβλώνουν τις τοπικές οικονομίες και θέτουν σε κίνδυνο τα μέσα διαβίωσης στις παράκτιες περιοχές· τονίζει ότι η αποτελεσματική αντιμετώπιση του οργανωμένου εγκλήματος στον τομέα της αλιείας θα συμβάλει σε μια ασφαλέστερη και ανθεκτικότερη ωκεάνια οικονομία·</w:t>
      </w:r>
    </w:p>
    <w:p w:rsidR="003D60A8" w:rsidRPr="00DB0FF2" w:rsidP="000F5DDF" w14:paraId="073784BF" w14:textId="6948C516">
      <w:pPr>
        <w:pStyle w:val="NormalHanging12a"/>
        <w:ind w:left="567" w:hanging="570"/>
      </w:pPr>
      <w:r w:rsidRPr="00DB0FF2">
        <w:rPr>
          <w:bCs/>
          <w:iCs/>
        </w:rPr>
        <w:t>46.</w:t>
      </w:r>
      <w:r w:rsidRPr="00DB0FF2">
        <w:rPr>
          <w:bCs/>
          <w:iCs/>
        </w:rPr>
        <w:tab/>
      </w:r>
      <w:r w:rsidRPr="00DB0FF2">
        <w:t xml:space="preserve">εκφράζει την ικανοποίησή του για τις μακροπρόθεσμες ρυθμίσεις μεταξύ της ΕΕ και του Ηνωμένου Βασιλείου, με τις οποίες χορηγείται πλήρης αμοιβαία πρόσβαση στα αλιευτικά ύδατα έως τις 30 Ιουνίου 2038· ζητεί από την Επιτροπή να επαγρυπνεί όσον αφορά την παρακολούθηση των μέτρων που λαμβάνει το Ηνωμένο Βασίλειο, προκειμένου να διασφαλιστούν τα συμφέροντα της ΕΕ και των φορέων εκμετάλλευσης και των πολιτών της, και να παραμείνει σθεναρά αντίθετη σε κάθε μονομερή απόφαση που θα μείωνε de facto την πρόσβαση των αλιέων της ΕΕ στα ύδατα του Ηνωμένου Βασιλείου, όπως εκείνες που σχετίζονται με την εφαρμογή ή τον προγραμματισμένο χαρακτηρισμό ΠΘΠ και την απαγόρευση της αλίευσης </w:t>
      </w:r>
      <w:r w:rsidRPr="00DB0FF2">
        <w:t>αμμόχελου</w:t>
      </w:r>
      <w:r w:rsidRPr="00DB0FF2">
        <w:t>, και να χρησιμοποιήσει τους μηχανισμούς της συμφωνίας εμπορίου και συνεργασίας για την αποκατάσταση τυχόν επακόλουθης απώλειας αλιευτικών δικαιωμάτων· καλεί την Επιτροπή να διασφαλίσει επίσης μακροπρόθεσμες και σταθερές αλιευτικές ρυθμίσεις ΕΕ-Ηνωμένου Βασιλείου και μετά το 2038·</w:t>
      </w:r>
    </w:p>
    <w:p w:rsidR="003D60A8" w:rsidRPr="00DB0FF2" w:rsidP="000F5DDF" w14:paraId="77EC47C2" w14:textId="70797C2B">
      <w:pPr>
        <w:pStyle w:val="NormalHanging12a"/>
        <w:ind w:left="567" w:hanging="570"/>
        <w:rPr>
          <w:bCs/>
          <w:iCs/>
        </w:rPr>
      </w:pPr>
      <w:r w:rsidRPr="00DB0FF2">
        <w:rPr>
          <w:bCs/>
          <w:iCs/>
        </w:rPr>
        <w:t>47.</w:t>
      </w:r>
      <w:r w:rsidRPr="00DB0FF2">
        <w:rPr>
          <w:bCs/>
          <w:iCs/>
        </w:rPr>
        <w:tab/>
      </w:r>
      <w:r w:rsidRPr="00DB0FF2">
        <w:t xml:space="preserve">καλεί την ΕΕ να εντείνει τη συνεργασία της με τη Νορβηγία μέσω της συζήτησης στρογγυλής τραπέζης υψηλού επιπέδου για την αλιεία και τους ωκεανούς για την επίλυση εκκρεμών ζητημάτων όπως το χρέος για τον γάδο από το 2021 που οφείλει η Νορβηγία στην ΕΕ και τη διασφάλιση δίκαιων και ισότιμων όρων ανταγωνισμού μεταξύ των αλιέων της ΕΕ και της Νορβηγίας· ζητεί από την Επιτροπή να καταβάλει κάθε προσπάθεια για την επίτευξη συνολικής συμφωνίας σχετικά με τα κοινά αποθέματα με τα παράκτια κράτη, προκειμένου να αποτραπεί η υπεραλίευση αυτών των αποθεμάτων και να διασφαλιστούν ισότιμες και βιώσιμες δυνατότητες αλιείας για τους αλιείς της ΕΕ· ζητεί από την Επιτροπή να αξιοποιήσει όλες τις δυνατότητες που παρέχονται στον κανονισμό </w:t>
      </w:r>
      <w:r w:rsidR="007C2111">
        <w:t xml:space="preserve">(ΕΕ) αριθ. </w:t>
      </w:r>
      <w:r w:rsidRPr="00DB0FF2">
        <w:t>1026/2012 όσον αφορά τις χώρες οι οποίες επιτρέπουν τη διεξαγωγή μη βιώσιμης αλιείας, συμπεριλαμβανομένης της επιβολής κυρώσεων·</w:t>
      </w:r>
    </w:p>
    <w:p w:rsidR="003D60A8" w:rsidRPr="00DB0FF2" w:rsidP="000F5DDF" w14:paraId="3E89DC68" w14:textId="6B4A208F">
      <w:pPr>
        <w:pStyle w:val="NormalHanging12a"/>
        <w:ind w:left="567" w:hanging="570"/>
        <w:rPr>
          <w:bCs/>
          <w:iCs/>
        </w:rPr>
      </w:pPr>
      <w:r w:rsidRPr="00DB0FF2">
        <w:rPr>
          <w:bCs/>
          <w:iCs/>
        </w:rPr>
        <w:t>48.</w:t>
      </w:r>
      <w:r w:rsidRPr="00DB0FF2">
        <w:rPr>
          <w:bCs/>
          <w:iCs/>
        </w:rPr>
        <w:tab/>
      </w:r>
      <w:r w:rsidRPr="00DB0FF2">
        <w:t>τονίζει ότι η ΕΕ θα πρέπει να χρησιμοποιήσει την ισχύ της στην αγορά ως στρατηγικό εργαλείο για την υπεράσπιση των συμφερόντων της και την προώθηση της βιωσιμότητας· υπογραμμίζει ότι η πρόσβαση στην αγορά της ΕΕ πρέπει να εξαρτάται από τη συμμόρφωση με τα πρότυπα της ΕΕ, διασφαλίζοντας ότι τα θαλασσινά που εισάγονται στην Ένωση δεν προέρχονται από παράνομες ή μη βιώσιμες πηγές ούτε από δραστηριότητες που συνδέονται με παραβιάσεις των ανθρωπίνων δικαιωμάτων·</w:t>
      </w:r>
    </w:p>
    <w:p w:rsidR="003D60A8" w:rsidRPr="00DB0FF2" w:rsidP="000F5DDF" w14:paraId="49D9503B" w14:textId="4E995476">
      <w:pPr>
        <w:pStyle w:val="NormalHanging12a"/>
        <w:ind w:left="567" w:hanging="570"/>
        <w:rPr>
          <w:b/>
          <w:i/>
        </w:rPr>
      </w:pPr>
      <w:r w:rsidRPr="00DB0FF2">
        <w:rPr>
          <w:bCs/>
          <w:iCs/>
        </w:rPr>
        <w:t>49.</w:t>
      </w:r>
      <w:r w:rsidRPr="00DB0FF2">
        <w:rPr>
          <w:bCs/>
          <w:iCs/>
        </w:rPr>
        <w:tab/>
      </w:r>
      <w:r w:rsidRPr="00DB0FF2">
        <w:t>επισημαίνει τη μακροχρόνια σχέση της ΕΕ με τη Γροιλανδία σε θέματα που σχετίζονται με την αλιεία και επισημαίνει τη σημασία της εμβάθυνσης της σχέσης για τους αλιείς της ΕΕ καθώς και για κοινές δράσεις για τη διασφάλιση της βιώσιμης διαχείρισης των αλιευτικών αποθεμάτων στον Βόρειο Ατλαντικό·</w:t>
      </w:r>
    </w:p>
    <w:p w:rsidR="003D60A8" w:rsidRPr="00DB0FF2" w:rsidP="000F5DDF" w14:paraId="30E7C818" w14:textId="4D519A4D">
      <w:pPr>
        <w:pStyle w:val="NormalHanging12a"/>
        <w:ind w:left="567" w:hanging="570"/>
      </w:pPr>
      <w:r w:rsidRPr="00DB0FF2">
        <w:rPr>
          <w:bCs/>
          <w:iCs/>
        </w:rPr>
        <w:t>50.</w:t>
      </w:r>
      <w:r w:rsidRPr="00DB0FF2">
        <w:rPr>
          <w:bCs/>
          <w:iCs/>
        </w:rPr>
        <w:tab/>
      </w:r>
      <w:r w:rsidRPr="00DB0FF2">
        <w:t xml:space="preserve">καλεί την Επιτροπή να διασφαλίσει την ορθή και πλήρη εφαρμογή των κανόνων της ΕΕ σε σχέση με τρίτες χώρες που επιτρέπουν τη διεξαγωγή μη βιώσιμης αλιείας, να παράσχει μεγαλύτερη νομική σαφήνεια σχετικά με τις μη βιώσιμες αλιευτικές πρακτικές και να ενεργοποιήσει μέτρα επιβολής της ΕΕ βάσει της νομοθεσίας της ΕΕ, συμπεριλαμβανομένων των εμπορικών περιορισμών, όπως απαγορεύσεις εισαγωγών, </w:t>
      </w:r>
      <w:r w:rsidRPr="00DB0FF2">
        <w:t>προκειμένου να ενισχυθεί η ικανότητα της ΕΕ να αντιμετωπίζει τις μη βιώσιμες πρακτικές, ιδίως εκείνες που επηρεάζουν μικρά πελαγικά αποθέματα, όπως το σκουμπρί, και να διασφαλίσει τη συνοχή μεταξύ της εμπορικής πολιτικής και των στόχων της ωκεάνιας διπλωματίας· τονίζει ότι πολλές από αυτές τις πρακτικές έχουν ήδη προσδιοριστεί επαρκώς αλλά δεν αντιμετωπίζονται αρκούντως με τα ισχύοντα μέτρα επιβολής·</w:t>
      </w:r>
    </w:p>
    <w:p w:rsidR="003D60A8" w:rsidRPr="00DB0FF2" w:rsidP="000F5DDF" w14:paraId="46F40055" w14:textId="5F90B3E1">
      <w:pPr>
        <w:pStyle w:val="NormalHanging12a"/>
        <w:ind w:left="567" w:hanging="570"/>
        <w:rPr>
          <w:bCs/>
          <w:iCs/>
        </w:rPr>
      </w:pPr>
      <w:r w:rsidRPr="00DB0FF2">
        <w:rPr>
          <w:bCs/>
          <w:iCs/>
        </w:rPr>
        <w:t>51.</w:t>
      </w:r>
      <w:r w:rsidRPr="00DB0FF2">
        <w:rPr>
          <w:bCs/>
          <w:iCs/>
        </w:rPr>
        <w:tab/>
      </w:r>
      <w:r w:rsidRPr="00DB0FF2">
        <w:t xml:space="preserve">παροτρύνει την Επιτροπή να ενισχύσει τους μηχανισμούς παρακολούθησης, ελέγχου και επιβολής όσον αφορά τις ρωσικές αλιευτικές δραστηριότητες και τις εμπορικές ροές θαλασσινών, συμπεριλαμβανομένων των μεταφορτώσεων και των </w:t>
      </w:r>
      <w:r w:rsidRPr="00DB0FF2">
        <w:t>επανεξαγωγών</w:t>
      </w:r>
      <w:r w:rsidRPr="00DB0FF2">
        <w:t xml:space="preserve"> μέσω τρίτων χωρών· ζητεί περαιτέρω περιορισμούς στις εισαγωγές αλιευτικών προϊόντων από τη Ρωσία· ζητεί να θεσπιστούν αυστηρές απαιτήσεις ιχνηλασιμότητας και συντονισμένες επιθεωρήσεις και να αποτραπεί η είσοδος στην αγορά της ΕΕ ιχθύων που αλιεύονται ή μεταποιούνται από ρωσικές επιχειρήσεις·</w:t>
      </w:r>
    </w:p>
    <w:p w:rsidR="003D60A8" w:rsidRPr="00DB0FF2" w:rsidP="000F5DDF" w14:paraId="19BD9EE3" w14:textId="67D488CB">
      <w:pPr>
        <w:pStyle w:val="NormalHanging12a"/>
        <w:ind w:left="567" w:hanging="570"/>
        <w:rPr>
          <w:bCs/>
          <w:iCs/>
        </w:rPr>
      </w:pPr>
      <w:r w:rsidRPr="00DB0FF2">
        <w:rPr>
          <w:bCs/>
          <w:iCs/>
        </w:rPr>
        <w:t>52.</w:t>
      </w:r>
      <w:r w:rsidRPr="00DB0FF2">
        <w:rPr>
          <w:bCs/>
          <w:iCs/>
        </w:rPr>
        <w:tab/>
      </w:r>
      <w:r w:rsidRPr="00DB0FF2">
        <w:t>επιμένει ότι είναι σημαντικό να διασφαλιστεί συνοχή μεταξύ των προτύπων που επιβάλλονται στους παραγωγούς της ΕΕ και αυτών που εφαρμόζονται στα εισαγόμενα προϊόντα, ιδίως στο πλαίσιο των ισχυουσών ή μελλοντικών εμπορικών συμφωνιών μεταξύ της ΕΕ και των εμπορικών εταίρων της, για παράδειγμα με την εισαγωγή κατοπτρικών μέτρων· καλεί επιπλέον την Ευρωπαϊκή Επιτροπή να συνεχίσει την αξιολόγηση της σημασίας των αυτόνομων δασμολογικών ποσοστώσεων υπό το φως των επιπτώσεών τους στον αλιευτικό τομέα της ΕΕ και να τις προσαρμόσει όπου αυτό είναι αναγκαίο· επαναλαμβάνει την έκκλησή του να αντιμετωπίζονται τα κονσερβοποιημένα ψάρια και θαλασσινά ως «ευαίσθητα προϊόντα» στις εμπορικές διαπραγματεύσεις· καλεί τις αρχές της ΕΕ να επιδείξουν προσοχή και να ενισχύσουν τους ελέγχους ώστε να διασφαλίσουν ότι οι εξαγωγές που επωφελούνται από αυτόνομες δασμολογικές ποσοστώσεις δεν προέρχονται από ΠΑΑ αλιεία·</w:t>
      </w:r>
    </w:p>
    <w:p w:rsidR="003D60A8" w:rsidRPr="00DB0FF2" w:rsidP="000F5DDF" w14:paraId="1A85346C" w14:textId="79E1D5D0">
      <w:pPr>
        <w:pStyle w:val="NormalHanging12a"/>
        <w:ind w:left="567" w:hanging="570"/>
        <w:rPr>
          <w:bCs/>
          <w:iCs/>
        </w:rPr>
      </w:pPr>
      <w:r w:rsidRPr="00DB0FF2">
        <w:rPr>
          <w:bCs/>
          <w:iCs/>
        </w:rPr>
        <w:t>53.</w:t>
      </w:r>
      <w:r w:rsidRPr="00DB0FF2">
        <w:rPr>
          <w:bCs/>
          <w:iCs/>
        </w:rPr>
        <w:tab/>
      </w:r>
      <w:r w:rsidRPr="00DB0FF2">
        <w:t>καλεί την Επιτροπή να διασφαλίσει ότι οι στόχοι της ΚΑΠ ενσωματώνονται πλήρως στη θέση της ΕΕ σε όλα τα διεθνή φόρουμ, όπως η Σύμβαση για τη βιολογική ποικιλότητα ή η Σύμβαση για το διεθνές εμπόριο ειδών άγριας πανίδας και χλωρίδας που απειλούνται με εξαφάνιση, όπου συζητούνται ζητήματα σχετικά με τους θαλάσσιους βιολογικούς πόρους, συμπεριλαμβανομένων των αλιευτικών πόρων·</w:t>
      </w:r>
    </w:p>
    <w:p w:rsidR="003D60A8" w:rsidRPr="00DB0FF2" w:rsidP="003D60A8" w14:paraId="0338D16E" w14:textId="77777777">
      <w:pPr>
        <w:pStyle w:val="NormalHanging12a"/>
        <w:rPr>
          <w:b/>
          <w:bCs/>
          <w:i/>
        </w:rPr>
      </w:pPr>
      <w:r w:rsidRPr="00DB0FF2">
        <w:rPr>
          <w:b/>
          <w:i/>
        </w:rPr>
        <w:t>Δημοσιονομικά και θεσμικά μέτρα</w:t>
      </w:r>
    </w:p>
    <w:p w:rsidR="003D60A8" w:rsidRPr="00DB0FF2" w:rsidP="000F5DDF" w14:paraId="35C7134C" w14:textId="559DD418">
      <w:pPr>
        <w:pStyle w:val="NormalHanging12a"/>
        <w:ind w:left="567" w:hanging="570"/>
      </w:pPr>
      <w:r w:rsidRPr="00DB0FF2">
        <w:rPr>
          <w:bCs/>
          <w:iCs/>
        </w:rPr>
        <w:t>54.</w:t>
      </w:r>
      <w:r w:rsidRPr="00DB0FF2">
        <w:rPr>
          <w:bCs/>
          <w:iCs/>
        </w:rPr>
        <w:tab/>
      </w:r>
      <w:r w:rsidRPr="00DB0FF2">
        <w:t>επιμένει σθεναρά στην ανάγκη για σημαντική χρηματοδότηση της ωκεάνιας διακυβέρνησης και διπλωματίας, ειδικά για τη διατήρηση στρατηγικού αλιευτικού τομέα, προκειμένου να διασφαλιστεί ότι η ΕΕ μπορεί να υλοποιήσει τις παγκόσμιες δεσμεύσεις της, να ενισχύσει τον στρατηγικό της ρόλο και να στηρίξει τη μελλοντική ανθεκτικότητα των παράκτιων κοινοτήτων· σημειώνει με ανησυχία ότι οι προτάσεις για το επόμενο πολυετές δημοσιονομικό πλαίσιο προβλέπουν οριοθέτηση ύψους μόλις 2</w:t>
      </w:r>
      <w:r w:rsidR="007C2111">
        <w:t> </w:t>
      </w:r>
      <w:r w:rsidRPr="00DB0FF2">
        <w:t>δισεκατομμυρίων EUR για την αλιεία και την υδατοκαλλιέργεια για την περίοδο 2028-2034, ποσό που αντιστοιχεί μόλις στο ένα τρίτο του προηγούμενου εγγυημένου επιπέδου χρηματοδότησής του·</w:t>
      </w:r>
    </w:p>
    <w:p w:rsidR="003D60A8" w:rsidRPr="00DB0FF2" w:rsidP="000F5DDF" w14:paraId="313C1624" w14:textId="40AA0305">
      <w:pPr>
        <w:pStyle w:val="NormalHanging12a"/>
        <w:ind w:left="567" w:hanging="570"/>
        <w:rPr>
          <w:bCs/>
          <w:iCs/>
        </w:rPr>
      </w:pPr>
      <w:r w:rsidRPr="00DB0FF2">
        <w:rPr>
          <w:bCs/>
          <w:iCs/>
        </w:rPr>
        <w:t>55.</w:t>
      </w:r>
      <w:r w:rsidRPr="00DB0FF2">
        <w:rPr>
          <w:bCs/>
          <w:iCs/>
        </w:rPr>
        <w:tab/>
      </w:r>
      <w:r w:rsidRPr="00DB0FF2">
        <w:t xml:space="preserve">καλεί την Επιτροπή να εγγυηθεί επαρκές επίπεδο χρηματοδότησης στο πολυετές δημοσιονομικό πλαίσιο μετά το 2028 για τις δαπάνες που σχετίζονται με την αλιεία, όπως οι στόχοι που καλύπτονται επί του παρόντος από το ΕΤΘΑΥ· επισημαίνει ότι είναι σημαντικό τα κονδύλια της ΕΕ να παραμείνουν ισχυρό εργαλείο για τη στήριξη της ανανέωσης των γενεών, της ισότητας των φύλων, της επισιτιστικής ασφάλειας, του </w:t>
      </w:r>
      <w:r w:rsidRPr="00DB0FF2">
        <w:t>εκσυγχρονισμού του στόλου και της κοινωνικοοικονομικής βιωσιμότητας·</w:t>
      </w:r>
    </w:p>
    <w:p w:rsidR="003D60A8" w:rsidRPr="00DB0FF2" w:rsidP="000F5DDF" w14:paraId="692A3127" w14:textId="323BF16F">
      <w:pPr>
        <w:pStyle w:val="NormalHanging12a"/>
        <w:ind w:left="567" w:hanging="570"/>
      </w:pPr>
      <w:r w:rsidRPr="00DB0FF2">
        <w:rPr>
          <w:bCs/>
          <w:iCs/>
        </w:rPr>
        <w:t>56.</w:t>
      </w:r>
      <w:r w:rsidRPr="00DB0FF2">
        <w:rPr>
          <w:bCs/>
          <w:iCs/>
        </w:rPr>
        <w:tab/>
      </w:r>
      <w:r w:rsidRPr="00DB0FF2">
        <w:t>υπογραμμίζει τον καίριο ρόλο της αλιείας μικρής κλίμακας στη διατήρηση των τοπικών οικονομιών και κοινοτήτων σε ολόκληρο τον κόσμο· τονίζει ότι, προκειμένου η ΕΕ να βελτιώσει τη στρατηγική και επισιτιστική αυτονομία της, είναι ζωτικής σημασίας να ανασυσταθούν τα αποθέματα της ΕΕ και, προκειμένου να δημιουργηθούν οι συνθήκες για τη μακροπρόθεσμη ανθεκτικότητα και ανταγωνιστικότητα της ΕΕ, είναι σημαντικό ο τομέας της αλιείας μικρής κλίμακας της ΕΕ να υποστηριχθεί επαρκώς τόσο από την ΕΕ όσο και σε εθνικό επίπεδο·</w:t>
      </w:r>
    </w:p>
    <w:p w:rsidR="003D60A8" w:rsidRPr="00DB0FF2" w:rsidP="000F5DDF" w14:paraId="12AC895A" w14:textId="6E4A44BD">
      <w:pPr>
        <w:pStyle w:val="NormalHanging12a"/>
        <w:ind w:left="567" w:hanging="570"/>
        <w:rPr>
          <w:b/>
          <w:i/>
        </w:rPr>
      </w:pPr>
      <w:r w:rsidRPr="00DB0FF2">
        <w:rPr>
          <w:bCs/>
          <w:iCs/>
        </w:rPr>
        <w:t>57.</w:t>
      </w:r>
      <w:r w:rsidRPr="00DB0FF2">
        <w:rPr>
          <w:bCs/>
          <w:iCs/>
        </w:rPr>
        <w:tab/>
      </w:r>
      <w:r w:rsidRPr="00DB0FF2">
        <w:t xml:space="preserve">σημειώνει ότι κάθε μορφή διπλωματίας ενέχει μια δαπανηρή ικανότητα προβολής και, ως εκ τούτου, θα ήταν σκόπιμο να θεσπιστεί ένα ειδικό χρηματοδοτικό μέσο για την αλιεία σε νησιωτικές και εξόχως απόκεντρες περιοχές, για παράδειγμα με την επαναφορά του προγράμματος ειδικών μέτρων λόγω του απομακρυσμένου και νησιωτικού χαρακτήρα ορισμένων περιφερειών (POSEI-Αλιεία), το οποίο έχει πλέον ενσωματωθεί στο ΕΤΘΑΥ, προκειμένου να στηριχθεί ο τομέας κατά την υπέρβαση των γεωγραφικών και διαρθρωτικών περιορισμών και να διασφαλιστεί η μακροπρόθεσμη βιωσιμότητα των τοπικών αλιευτικών κοινοτήτων· τονίζει ότι είναι σημαντικό να διασφαλιστεί η χρήση των υφιστάμενων εργαλείων, όπως η θαλάσσια υπηρεσία </w:t>
      </w:r>
      <w:r w:rsidRPr="00DB0FF2">
        <w:t>Copernicus</w:t>
      </w:r>
      <w:r w:rsidRPr="00DB0FF2">
        <w:t>, και νέων δυνατοτήτων ή τεχνολογιών, όπως οι δρόνοι·</w:t>
      </w:r>
    </w:p>
    <w:p w:rsidR="003D60A8" w:rsidRPr="00DB0FF2" w:rsidP="000F5DDF" w14:paraId="001DEF8E" w14:textId="391824D8">
      <w:pPr>
        <w:pStyle w:val="NormalHanging12a"/>
        <w:ind w:left="567" w:hanging="570"/>
      </w:pPr>
      <w:r w:rsidRPr="00DB0FF2">
        <w:rPr>
          <w:bCs/>
          <w:iCs/>
        </w:rPr>
        <w:t>58.</w:t>
      </w:r>
      <w:r w:rsidRPr="00DB0FF2">
        <w:rPr>
          <w:bCs/>
          <w:iCs/>
        </w:rPr>
        <w:tab/>
      </w:r>
      <w:r w:rsidRPr="00DB0FF2">
        <w:t xml:space="preserve">καλεί την Επιτροπή και τα κράτη μέλη να διασφαλίσουν ότι οι αλιείς και τα ενδιαφερόμενα μέρη στη γαλάζια οικονομία έχουν αποτελεσματική και απλούστερη πρόσβαση σε χρηματοδοτικά μέσα, με τη διάθεση ελάχιστων ειδικών κονδυλίων, όπως το Ευρωπαϊκό Ταμείο Ανταγωνιστικότητας, το οποίο στηρίζει τις επενδύσεις σε μια βιώσιμη γαλάζια οικονομία, και ο Μηχανισμός Γειτονίας, Ανάπτυξης και Διεθνούς Συνεργασίας της ΕΕ – η Ευρώπη στον κόσμο, ο οποίος στηρίζει τη διακυβέρνηση των ωκεανών, την ωκεάνια διπλωματία, τις προσπάθειες για την καταπολέμηση της ΠΑΑ αλιείας, καθώς και χρηματοδότηση για τις ΣΑΣ και συμπληρωματικές πηγές χρηματοδότησης, όπως το Ταμείο Δίκαιης Μετάβασης, το </w:t>
      </w:r>
      <w:r w:rsidRPr="00DB0FF2">
        <w:t>REPowerEU</w:t>
      </w:r>
      <w:r w:rsidRPr="00DB0FF2">
        <w:t>, το πρόγραμμα «Ορίζων Ευρώπη» και η Ευρωπαϊκή Τράπεζα Επενδύσεων· προτρέπει την Επιτροπή να εγγυηθεί επαρκή διοικητική και νομική σταθερότητα για τις ιδιωτικές επενδύσεις με σκοπό την προώθηση της ανάπτυξης των θαλάσσιων τομέων·</w:t>
      </w:r>
    </w:p>
    <w:p w:rsidR="003D60A8" w:rsidRPr="00DB0FF2" w:rsidP="003D60A8" w14:paraId="177BD45C" w14:textId="77777777">
      <w:pPr>
        <w:pStyle w:val="NormalCenter12a"/>
      </w:pPr>
      <w:r w:rsidRPr="00DB0FF2">
        <w:t>°</w:t>
      </w:r>
    </w:p>
    <w:p w:rsidR="003D60A8" w:rsidRPr="00DB0FF2" w:rsidP="003D60A8" w14:paraId="048E82A0" w14:textId="77777777">
      <w:pPr>
        <w:pStyle w:val="NormalCenter12a"/>
      </w:pPr>
      <w:r w:rsidRPr="00DB0FF2">
        <w:t>°</w:t>
      </w:r>
      <w:r w:rsidRPr="00DB0FF2">
        <w:tab/>
        <w:t>°</w:t>
      </w:r>
    </w:p>
    <w:p w:rsidR="00DB0FF2" w:rsidRPr="00DB0FF2" w:rsidP="000F5DDF" w14:paraId="6A35F49E" w14:textId="58BF2C6D">
      <w:pPr>
        <w:pStyle w:val="NormalHanging12a"/>
        <w:ind w:left="567" w:hanging="570"/>
      </w:pPr>
      <w:r w:rsidRPr="00DB0FF2">
        <w:rPr>
          <w:bCs/>
          <w:iCs/>
        </w:rPr>
        <w:t>59.</w:t>
      </w:r>
      <w:r w:rsidRPr="00DB0FF2">
        <w:rPr>
          <w:bCs/>
          <w:iCs/>
        </w:rPr>
        <w:tab/>
      </w:r>
      <w:r w:rsidRPr="00DB0FF2" w:rsidR="003D60A8">
        <w:t>αναθέτει στην Πρόεδρό του να διαβιβάσει το παρόν ψήφισμα στο Συμβούλιο και στην Επιτροπή.</w:t>
      </w:r>
    </w:p>
    <w:p w:rsidR="00E365E1" w:rsidRPr="00DB0FF2" w:rsidP="00411CCC" w14:paraId="65CD3A04" w14:textId="19FCF983"/>
    <w:sectPr w:rsidSect="00DB0FF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0FF2" w14:paraId="2075514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0FF2" w14:paraId="6747714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0FF2" w14:paraId="2E4FDA5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11CCC" w:rsidRPr="00DB0FF2" w14:paraId="34DF445F" w14:textId="77777777">
      <w:r w:rsidRPr="00DB0FF2">
        <w:separator/>
      </w:r>
    </w:p>
  </w:footnote>
  <w:footnote w:type="continuationSeparator" w:id="1">
    <w:p w:rsidR="00411CCC" w:rsidRPr="00DB0FF2" w14:paraId="0D1D573A" w14:textId="77777777">
      <w:r w:rsidRPr="00DB0FF2">
        <w:continuationSeparator/>
      </w:r>
    </w:p>
  </w:footnote>
  <w:footnote w:id="2">
    <w:p w:rsidR="003D60A8" w:rsidRPr="000F5DDF" w:rsidP="00DB0FF2" w14:paraId="2C547550" w14:textId="33EC6429">
      <w:pPr>
        <w:pStyle w:val="FootnoteText"/>
        <w:ind w:left="567" w:hanging="567"/>
        <w:rPr>
          <w:sz w:val="24"/>
          <w:lang w:val="fi-FI"/>
        </w:rPr>
      </w:pPr>
      <w:r w:rsidRPr="00DB0FF2">
        <w:rPr>
          <w:rStyle w:val="FootnoteReference"/>
          <w:sz w:val="24"/>
          <w:lang w:val="el-GR"/>
        </w:rPr>
        <w:footnoteRef/>
      </w:r>
      <w:r w:rsidRPr="000F5DDF" w:rsidR="00DB0FF2">
        <w:rPr>
          <w:sz w:val="24"/>
          <w:lang w:val="fi-FI"/>
        </w:rPr>
        <w:t xml:space="preserve"> </w:t>
      </w:r>
      <w:r w:rsidRPr="000F5DDF" w:rsidR="00DB0FF2">
        <w:rPr>
          <w:sz w:val="24"/>
          <w:lang w:val="fi-FI"/>
        </w:rPr>
        <w:tab/>
      </w:r>
      <w:r w:rsidRPr="00DB0FF2">
        <w:rPr>
          <w:sz w:val="24"/>
          <w:lang w:val="el-GR"/>
        </w:rPr>
        <w:t>ΕΕ</w:t>
      </w:r>
      <w:r w:rsidRPr="000F5DDF">
        <w:rPr>
          <w:sz w:val="24"/>
          <w:lang w:val="fi-FI"/>
        </w:rPr>
        <w:t xml:space="preserve"> L, 2025/2077, 14.10.2025, ELI: </w:t>
      </w:r>
      <w:hyperlink r:id="rId1" w:history="1">
        <w:r w:rsidRPr="000F5DDF" w:rsidR="00CE43A7">
          <w:rPr>
            <w:rStyle w:val="Hyperlink"/>
            <w:sz w:val="24"/>
            <w:lang w:val="fi-FI"/>
          </w:rPr>
          <w:t>http://data.europa.eu/eli/reg/2025/2077/oj</w:t>
        </w:r>
      </w:hyperlink>
      <w:r w:rsidRPr="000F5DDF">
        <w:rPr>
          <w:sz w:val="24"/>
          <w:lang w:val="fi-FI"/>
        </w:rPr>
        <w:t>.</w:t>
      </w:r>
    </w:p>
  </w:footnote>
  <w:footnote w:id="3">
    <w:p w:rsidR="003D60A8" w:rsidRPr="00DB0FF2" w:rsidP="00DB0FF2" w14:paraId="3F2538CF" w14:textId="4CFD45C0">
      <w:pPr>
        <w:pStyle w:val="FootnoteText"/>
        <w:ind w:left="567" w:hanging="567"/>
        <w:rPr>
          <w:sz w:val="24"/>
          <w:lang w:val="el-GR"/>
        </w:rPr>
      </w:pPr>
      <w:r w:rsidRPr="00DB0FF2">
        <w:rPr>
          <w:rStyle w:val="FootnoteReference"/>
          <w:sz w:val="24"/>
          <w:lang w:val="el-GR"/>
        </w:rPr>
        <w:footnoteRef/>
      </w:r>
      <w:r w:rsidRPr="00DB0FF2" w:rsidR="00DB0FF2">
        <w:rPr>
          <w:sz w:val="24"/>
          <w:lang w:val="el-GR"/>
        </w:rPr>
        <w:t xml:space="preserve"> </w:t>
      </w:r>
      <w:r w:rsidRPr="00DB0FF2" w:rsidR="00DB0FF2">
        <w:rPr>
          <w:sz w:val="24"/>
          <w:lang w:val="el-GR"/>
        </w:rPr>
        <w:tab/>
      </w:r>
      <w:r w:rsidRPr="00DB0FF2">
        <w:rPr>
          <w:sz w:val="24"/>
          <w:lang w:val="el-GR"/>
        </w:rPr>
        <w:t>ΕΕ L 73 της 15.3.2019, σ. 3.</w:t>
      </w:r>
    </w:p>
  </w:footnote>
  <w:footnote w:id="4">
    <w:p w:rsidR="003D60A8" w:rsidRPr="007C2111" w:rsidP="00DB0FF2" w14:paraId="12012043" w14:textId="64FC7E82">
      <w:pPr>
        <w:pStyle w:val="FootnoteText"/>
        <w:ind w:left="567" w:hanging="567"/>
        <w:rPr>
          <w:sz w:val="24"/>
          <w:lang w:val="el-GR"/>
        </w:rPr>
      </w:pPr>
      <w:r w:rsidRPr="00DB0FF2">
        <w:rPr>
          <w:rStyle w:val="FootnoteReference"/>
          <w:sz w:val="24"/>
          <w:lang w:val="el-GR"/>
        </w:rPr>
        <w:footnoteRef/>
      </w:r>
      <w:r w:rsidRPr="007C2111" w:rsidR="00DB0FF2">
        <w:rPr>
          <w:sz w:val="24"/>
          <w:lang w:val="el-GR"/>
        </w:rPr>
        <w:t xml:space="preserve"> </w:t>
      </w:r>
      <w:r w:rsidRPr="007C2111" w:rsidR="00DB0FF2">
        <w:rPr>
          <w:sz w:val="24"/>
          <w:lang w:val="el-GR"/>
        </w:rPr>
        <w:tab/>
      </w:r>
      <w:r w:rsidRPr="00DB0FF2">
        <w:rPr>
          <w:sz w:val="24"/>
          <w:lang w:val="el-GR"/>
        </w:rPr>
        <w:t>ΕΕ</w:t>
      </w:r>
      <w:r w:rsidRPr="007C2111">
        <w:rPr>
          <w:sz w:val="24"/>
          <w:lang w:val="el-GR"/>
        </w:rPr>
        <w:t xml:space="preserve"> </w:t>
      </w:r>
      <w:r w:rsidRPr="000F5DDF">
        <w:rPr>
          <w:sz w:val="24"/>
          <w:lang w:val="fi-FI"/>
        </w:rPr>
        <w:t>C</w:t>
      </w:r>
      <w:r w:rsidRPr="007C2111">
        <w:rPr>
          <w:sz w:val="24"/>
          <w:lang w:val="el-GR"/>
        </w:rPr>
        <w:t xml:space="preserve">, </w:t>
      </w:r>
      <w:r w:rsidRPr="000F5DDF">
        <w:rPr>
          <w:sz w:val="24"/>
          <w:lang w:val="fi-FI"/>
        </w:rPr>
        <w:t>C</w:t>
      </w:r>
      <w:r w:rsidRPr="007C2111">
        <w:rPr>
          <w:sz w:val="24"/>
          <w:lang w:val="el-GR"/>
        </w:rPr>
        <w:t xml:space="preserve">/2024/2652, 29.4.2024, </w:t>
      </w:r>
      <w:r w:rsidRPr="000F5DDF">
        <w:rPr>
          <w:sz w:val="24"/>
          <w:lang w:val="fi-FI"/>
        </w:rPr>
        <w:t>ELI</w:t>
      </w:r>
      <w:r w:rsidRPr="007C2111">
        <w:rPr>
          <w:sz w:val="24"/>
          <w:lang w:val="el-GR"/>
        </w:rPr>
        <w:t xml:space="preserve">: </w:t>
      </w:r>
      <w:hyperlink r:id="rId2" w:history="1">
        <w:r w:rsidRPr="000F5DDF" w:rsidR="00CE43A7">
          <w:rPr>
            <w:rStyle w:val="Hyperlink"/>
            <w:sz w:val="24"/>
            <w:lang w:val="fi-FI"/>
          </w:rPr>
          <w:t>http</w:t>
        </w:r>
        <w:r w:rsidRPr="007C2111" w:rsidR="00CE43A7">
          <w:rPr>
            <w:rStyle w:val="Hyperlink"/>
            <w:sz w:val="24"/>
            <w:lang w:val="el-GR"/>
          </w:rPr>
          <w:t>://</w:t>
        </w:r>
        <w:r w:rsidRPr="000F5DDF" w:rsidR="00CE43A7">
          <w:rPr>
            <w:rStyle w:val="Hyperlink"/>
            <w:sz w:val="24"/>
            <w:lang w:val="fi-FI"/>
          </w:rPr>
          <w:t>data</w:t>
        </w:r>
        <w:r w:rsidRPr="007C2111" w:rsidR="00CE43A7">
          <w:rPr>
            <w:rStyle w:val="Hyperlink"/>
            <w:sz w:val="24"/>
            <w:lang w:val="el-GR"/>
          </w:rPr>
          <w:t>.</w:t>
        </w:r>
        <w:r w:rsidRPr="000F5DDF" w:rsidR="00CE43A7">
          <w:rPr>
            <w:rStyle w:val="Hyperlink"/>
            <w:sz w:val="24"/>
            <w:lang w:val="fi-FI"/>
          </w:rPr>
          <w:t>europa</w:t>
        </w:r>
        <w:r w:rsidRPr="007C2111" w:rsidR="00CE43A7">
          <w:rPr>
            <w:rStyle w:val="Hyperlink"/>
            <w:sz w:val="24"/>
            <w:lang w:val="el-GR"/>
          </w:rPr>
          <w:t>.</w:t>
        </w:r>
        <w:r w:rsidRPr="000F5DDF" w:rsidR="00CE43A7">
          <w:rPr>
            <w:rStyle w:val="Hyperlink"/>
            <w:sz w:val="24"/>
            <w:lang w:val="fi-FI"/>
          </w:rPr>
          <w:t>eu</w:t>
        </w:r>
        <w:r w:rsidRPr="007C2111" w:rsidR="00CE43A7">
          <w:rPr>
            <w:rStyle w:val="Hyperlink"/>
            <w:sz w:val="24"/>
            <w:lang w:val="el-GR"/>
          </w:rPr>
          <w:t>/</w:t>
        </w:r>
        <w:r w:rsidRPr="000F5DDF" w:rsidR="00CE43A7">
          <w:rPr>
            <w:rStyle w:val="Hyperlink"/>
            <w:sz w:val="24"/>
            <w:lang w:val="fi-FI"/>
          </w:rPr>
          <w:t>eli</w:t>
        </w:r>
        <w:r w:rsidRPr="007C2111" w:rsidR="00CE43A7">
          <w:rPr>
            <w:rStyle w:val="Hyperlink"/>
            <w:sz w:val="24"/>
            <w:lang w:val="el-GR"/>
          </w:rPr>
          <w:t>/</w:t>
        </w:r>
        <w:r w:rsidRPr="000F5DDF" w:rsidR="00CE43A7">
          <w:rPr>
            <w:rStyle w:val="Hyperlink"/>
            <w:sz w:val="24"/>
            <w:lang w:val="fi-FI"/>
          </w:rPr>
          <w:t>C</w:t>
        </w:r>
        <w:r w:rsidRPr="007C2111" w:rsidR="00CE43A7">
          <w:rPr>
            <w:rStyle w:val="Hyperlink"/>
            <w:sz w:val="24"/>
            <w:lang w:val="el-GR"/>
          </w:rPr>
          <w:t>/2024/2652/</w:t>
        </w:r>
        <w:r w:rsidRPr="000F5DDF" w:rsidR="00CE43A7">
          <w:rPr>
            <w:rStyle w:val="Hyperlink"/>
            <w:sz w:val="24"/>
            <w:lang w:val="fi-FI"/>
          </w:rPr>
          <w:t>oj</w:t>
        </w:r>
      </w:hyperlink>
      <w:r w:rsidRPr="007C2111">
        <w:rPr>
          <w:sz w:val="24"/>
          <w:lang w:val="el-GR"/>
        </w:rPr>
        <w:t>.</w:t>
      </w:r>
    </w:p>
  </w:footnote>
  <w:footnote w:id="5">
    <w:p w:rsidR="003D60A8" w:rsidRPr="00DB0FF2" w:rsidP="00DB0FF2" w14:paraId="503F739E" w14:textId="56F454C9">
      <w:pPr>
        <w:pStyle w:val="FootnoteText"/>
        <w:ind w:left="567" w:hanging="567"/>
        <w:rPr>
          <w:sz w:val="24"/>
          <w:lang w:val="el-GR"/>
        </w:rPr>
      </w:pPr>
      <w:r w:rsidRPr="00DB0FF2">
        <w:rPr>
          <w:rStyle w:val="FootnoteReference"/>
          <w:sz w:val="24"/>
          <w:lang w:val="el-GR"/>
        </w:rPr>
        <w:footnoteRef/>
      </w:r>
      <w:r w:rsidRPr="00DB0FF2" w:rsidR="00DB0FF2">
        <w:rPr>
          <w:sz w:val="24"/>
          <w:lang w:val="el-GR"/>
        </w:rPr>
        <w:t xml:space="preserve"> </w:t>
      </w:r>
      <w:r w:rsidRPr="00DB0FF2" w:rsidR="00DB0FF2">
        <w:rPr>
          <w:sz w:val="24"/>
          <w:lang w:val="el-GR"/>
        </w:rPr>
        <w:tab/>
      </w:r>
      <w:r w:rsidRPr="00DB0FF2">
        <w:rPr>
          <w:sz w:val="24"/>
          <w:lang w:val="el-GR"/>
        </w:rPr>
        <w:t xml:space="preserve">Κανονισμός (ΕΚ) αριθ. 1005/2008 του Συμβουλίου, της 29ης Σεπτεμβρίου 2008, περί δημιουργίας κοινοτικού συστήματος πρόληψης, αποτροπής και εξάλειψης της παράνομης, λαθραίας και άναρχης αλιείας, τροποποίησης των κανονισμών (ΕΟΚ) αριθ. 2847/93, (ΕΚ) αριθ. 1936/2001 και (ΕΚ) αριθ. 601/2004 και κατάργησης των κανονισμών (ΕΚ) αριθ. 1093/94 και (ΕΚ) αριθ. 1447/1999 (ΕΕ L 286 της 29.10.2008, σ. 1, ELI: </w:t>
      </w:r>
      <w:hyperlink r:id="rId3" w:history="1">
        <w:r w:rsidR="00CE43A7">
          <w:rPr>
            <w:rStyle w:val="Hyperlink"/>
            <w:sz w:val="24"/>
            <w:lang w:val="el-GR"/>
          </w:rPr>
          <w:t>http://data.europa.eu/eli/reg/2008/1005/oj</w:t>
        </w:r>
      </w:hyperlink>
      <w:r w:rsidRPr="00DB0FF2">
        <w:rPr>
          <w:sz w:val="24"/>
          <w:lang w:val="el-GR"/>
        </w:rPr>
        <w:t>).</w:t>
      </w:r>
    </w:p>
  </w:footnote>
  <w:footnote w:id="6">
    <w:p w:rsidR="003D60A8" w:rsidRPr="00DB0FF2" w:rsidP="00DB0FF2" w14:paraId="2D4366F7" w14:textId="41DAF47A">
      <w:pPr>
        <w:pStyle w:val="FootnoteText"/>
        <w:ind w:left="567" w:hanging="567"/>
        <w:rPr>
          <w:sz w:val="24"/>
          <w:lang w:val="el-GR"/>
        </w:rPr>
      </w:pPr>
      <w:r w:rsidRPr="00DB0FF2">
        <w:rPr>
          <w:rStyle w:val="FootnoteReference"/>
          <w:sz w:val="24"/>
          <w:lang w:val="el-GR"/>
        </w:rPr>
        <w:footnoteRef/>
      </w:r>
      <w:r w:rsidRPr="00DB0FF2" w:rsidR="00DB0FF2">
        <w:rPr>
          <w:sz w:val="24"/>
          <w:lang w:val="el-GR"/>
        </w:rPr>
        <w:t xml:space="preserve"> </w:t>
      </w:r>
      <w:r w:rsidRPr="00DB0FF2" w:rsidR="00DB0FF2">
        <w:rPr>
          <w:sz w:val="24"/>
          <w:lang w:val="el-GR"/>
        </w:rPr>
        <w:tab/>
      </w:r>
      <w:r w:rsidRPr="00DB0FF2">
        <w:rPr>
          <w:sz w:val="24"/>
          <w:lang w:val="el-GR"/>
        </w:rPr>
        <w:t xml:space="preserve">Ευρωπαϊκό Κοινοβούλιο, Γενική Διεύθυνση Εσωτερικών Πολιτικών, Θεματικό Τμήμα Διαρθρωτικής Πολιτικής και Πολιτικής Συνοχής, «The </w:t>
      </w:r>
      <w:r w:rsidRPr="00DB0FF2">
        <w:rPr>
          <w:sz w:val="24"/>
          <w:lang w:val="el-GR"/>
        </w:rPr>
        <w:t>future</w:t>
      </w:r>
      <w:r w:rsidRPr="00DB0FF2">
        <w:rPr>
          <w:sz w:val="24"/>
          <w:lang w:val="el-GR"/>
        </w:rPr>
        <w:t xml:space="preserve"> of the EU </w:t>
      </w:r>
      <w:r w:rsidRPr="00DB0FF2">
        <w:rPr>
          <w:sz w:val="24"/>
          <w:lang w:val="el-GR"/>
        </w:rPr>
        <w:t>fishing</w:t>
      </w:r>
      <w:r w:rsidRPr="00DB0FF2">
        <w:rPr>
          <w:sz w:val="24"/>
          <w:lang w:val="el-GR"/>
        </w:rPr>
        <w:t xml:space="preserve"> </w:t>
      </w:r>
      <w:r w:rsidRPr="00DB0FF2">
        <w:rPr>
          <w:sz w:val="24"/>
          <w:lang w:val="el-GR"/>
        </w:rPr>
        <w:t>fleet</w:t>
      </w:r>
      <w:r w:rsidRPr="00DB0FF2">
        <w:rPr>
          <w:sz w:val="24"/>
          <w:lang w:val="el-GR"/>
        </w:rPr>
        <w:t xml:space="preserve"> — First </w:t>
      </w:r>
      <w:r w:rsidRPr="00DB0FF2">
        <w:rPr>
          <w:sz w:val="24"/>
          <w:lang w:val="el-GR"/>
        </w:rPr>
        <w:t>assessment</w:t>
      </w:r>
      <w:r w:rsidRPr="00DB0FF2">
        <w:rPr>
          <w:sz w:val="24"/>
          <w:lang w:val="el-GR"/>
        </w:rPr>
        <w:t xml:space="preserve"> of </w:t>
      </w:r>
      <w:r w:rsidRPr="00DB0FF2">
        <w:rPr>
          <w:sz w:val="24"/>
          <w:lang w:val="el-GR"/>
        </w:rPr>
        <w:t>Member</w:t>
      </w:r>
      <w:r w:rsidRPr="00DB0FF2">
        <w:rPr>
          <w:sz w:val="24"/>
          <w:lang w:val="el-GR"/>
        </w:rPr>
        <w:t xml:space="preserve"> States’ EMFAF </w:t>
      </w:r>
      <w:r w:rsidRPr="00DB0FF2">
        <w:rPr>
          <w:sz w:val="24"/>
          <w:lang w:val="el-GR"/>
        </w:rPr>
        <w:t>programmes</w:t>
      </w:r>
      <w:r w:rsidRPr="00DB0FF2">
        <w:rPr>
          <w:sz w:val="24"/>
          <w:lang w:val="el-GR"/>
        </w:rPr>
        <w:t xml:space="preserve"> for 2021-27» (Το μέλλον του αλιευτικού στόλου της ΕΕ – Πρώτη αξιολόγηση των προγραμμάτων του ΕΤΘΑΥ των κρατών μελών για την περίοδο 2021-27), Νοέμβριος 2024.</w:t>
      </w:r>
    </w:p>
  </w:footnote>
  <w:footnote w:id="7">
    <w:p w:rsidR="003D60A8" w:rsidRPr="00DB0FF2" w:rsidP="00DB0FF2" w14:paraId="0DD1E128" w14:textId="12C04E78">
      <w:pPr>
        <w:pStyle w:val="FootnoteText"/>
        <w:ind w:left="567" w:hanging="567"/>
        <w:rPr>
          <w:sz w:val="24"/>
          <w:lang w:val="el-GR"/>
        </w:rPr>
      </w:pPr>
      <w:r w:rsidRPr="00DB0FF2">
        <w:rPr>
          <w:rStyle w:val="FootnoteReference"/>
          <w:sz w:val="24"/>
          <w:lang w:val="el-GR"/>
        </w:rPr>
        <w:footnoteRef/>
      </w:r>
      <w:r w:rsidRPr="00DB0FF2" w:rsidR="00DB0FF2">
        <w:rPr>
          <w:sz w:val="24"/>
          <w:lang w:val="el-GR"/>
        </w:rPr>
        <w:t xml:space="preserve"> </w:t>
      </w:r>
      <w:r w:rsidRPr="00DB0FF2" w:rsidR="00DB0FF2">
        <w:rPr>
          <w:sz w:val="24"/>
          <w:lang w:val="el-GR"/>
        </w:rPr>
        <w:tab/>
      </w:r>
      <w:r w:rsidRPr="00DB0FF2">
        <w:rPr>
          <w:sz w:val="24"/>
          <w:lang w:val="el-GR"/>
        </w:rPr>
        <w:t xml:space="preserve">Κανονισμός (EE) αριθ. 1026/2012 του Ευρωπαϊκού Κοινοβουλίου και του Συμβουλίου, της 25ης Οκτωβρίου 2012, για τη λήψη ορισμένων μέτρων με στόχο τη διατήρηση των ιχθυαποθεμάτων, κατά των χωρών οι οποίες επιτρέπουν τη διεξαγωγή μη βιώσιμης αλιείας (ΕΕ L 316 της 14.11.2012, σ. 34, ELI: </w:t>
      </w:r>
      <w:hyperlink r:id="rId4" w:history="1">
        <w:r w:rsidR="00CE43A7">
          <w:rPr>
            <w:rStyle w:val="Hyperlink"/>
            <w:sz w:val="24"/>
            <w:lang w:val="el-GR"/>
          </w:rPr>
          <w:t>http://data.europa.eu/eli/reg/2012/1026/oj</w:t>
        </w:r>
      </w:hyperlink>
      <w:r w:rsidRPr="00DB0FF2">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0FF2" w14:paraId="78466CA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0FF2" w14:paraId="254CA1A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0FF2" w14:paraId="7B76B24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6CB2447E"/>
    <w:multiLevelType w:val="hybridMultilevel"/>
    <w:tmpl w:val="A0E874B2"/>
    <w:lvl w:ilvl="0">
      <w:start w:val="1"/>
      <w:numFmt w:val="decimal"/>
      <w:lvlText w:val="%1."/>
      <w:lvlJc w:val="left"/>
      <w:pPr>
        <w:ind w:left="930" w:hanging="570"/>
      </w:pPr>
      <w:rPr>
        <w:rFonts w:hint="default"/>
        <w:b w:val="0"/>
        <w:bCs/>
        <w:i w:val="0"/>
        <w:i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121650283">
    <w:abstractNumId w:val="0"/>
  </w:num>
  <w:num w:numId="2" w16cid:durableId="1793591834">
    <w:abstractNumId w:val="1"/>
  </w:num>
  <w:num w:numId="3" w16cid:durableId="135326380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CCC"/>
    <w:rsid w:val="00002272"/>
    <w:rsid w:val="00064002"/>
    <w:rsid w:val="000677B9"/>
    <w:rsid w:val="000831BA"/>
    <w:rsid w:val="000A42CC"/>
    <w:rsid w:val="000E7DD9"/>
    <w:rsid w:val="000F5DDF"/>
    <w:rsid w:val="0010095E"/>
    <w:rsid w:val="00125B37"/>
    <w:rsid w:val="00187494"/>
    <w:rsid w:val="001F32AE"/>
    <w:rsid w:val="00227294"/>
    <w:rsid w:val="002767FF"/>
    <w:rsid w:val="002B18FE"/>
    <w:rsid w:val="002B5493"/>
    <w:rsid w:val="00343214"/>
    <w:rsid w:val="00361C00"/>
    <w:rsid w:val="00385161"/>
    <w:rsid w:val="00395FA1"/>
    <w:rsid w:val="003D60A8"/>
    <w:rsid w:val="003E15D4"/>
    <w:rsid w:val="00411CC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514D"/>
    <w:rsid w:val="006F74FA"/>
    <w:rsid w:val="00731ADD"/>
    <w:rsid w:val="00734777"/>
    <w:rsid w:val="00747932"/>
    <w:rsid w:val="00751A4A"/>
    <w:rsid w:val="00756632"/>
    <w:rsid w:val="00762C74"/>
    <w:rsid w:val="00786EC0"/>
    <w:rsid w:val="007C2111"/>
    <w:rsid w:val="007D1690"/>
    <w:rsid w:val="007E22AD"/>
    <w:rsid w:val="00817416"/>
    <w:rsid w:val="00842779"/>
    <w:rsid w:val="00865F67"/>
    <w:rsid w:val="00881A7B"/>
    <w:rsid w:val="008840E5"/>
    <w:rsid w:val="00887B3E"/>
    <w:rsid w:val="008C2AC6"/>
    <w:rsid w:val="00930C23"/>
    <w:rsid w:val="0093193B"/>
    <w:rsid w:val="009509D8"/>
    <w:rsid w:val="00950B64"/>
    <w:rsid w:val="00957929"/>
    <w:rsid w:val="009617B0"/>
    <w:rsid w:val="00981893"/>
    <w:rsid w:val="009D30AE"/>
    <w:rsid w:val="00A1687D"/>
    <w:rsid w:val="00A43E52"/>
    <w:rsid w:val="00A4678D"/>
    <w:rsid w:val="00A778C7"/>
    <w:rsid w:val="00AB441E"/>
    <w:rsid w:val="00AB6293"/>
    <w:rsid w:val="00AE0928"/>
    <w:rsid w:val="00AF3B82"/>
    <w:rsid w:val="00B12E95"/>
    <w:rsid w:val="00B22876"/>
    <w:rsid w:val="00B412B8"/>
    <w:rsid w:val="00B558F0"/>
    <w:rsid w:val="00BB2692"/>
    <w:rsid w:val="00BD48FE"/>
    <w:rsid w:val="00BD7BD8"/>
    <w:rsid w:val="00BE6ADC"/>
    <w:rsid w:val="00C05BFE"/>
    <w:rsid w:val="00C23CD4"/>
    <w:rsid w:val="00C61C0C"/>
    <w:rsid w:val="00C941CB"/>
    <w:rsid w:val="00CC2357"/>
    <w:rsid w:val="00CC574F"/>
    <w:rsid w:val="00CE43A7"/>
    <w:rsid w:val="00CF071A"/>
    <w:rsid w:val="00D058B8"/>
    <w:rsid w:val="00D56C11"/>
    <w:rsid w:val="00D834A0"/>
    <w:rsid w:val="00D872DF"/>
    <w:rsid w:val="00D91E21"/>
    <w:rsid w:val="00DA7FCD"/>
    <w:rsid w:val="00DB0FF2"/>
    <w:rsid w:val="00E365E1"/>
    <w:rsid w:val="00E820A4"/>
    <w:rsid w:val="00EB006A"/>
    <w:rsid w:val="00EB082F"/>
    <w:rsid w:val="00EB4772"/>
    <w:rsid w:val="00ED169E"/>
    <w:rsid w:val="00ED4235"/>
    <w:rsid w:val="00F04346"/>
    <w:rsid w:val="00F075DC"/>
    <w:rsid w:val="00F149E9"/>
    <w:rsid w:val="00F5134D"/>
    <w:rsid w:val="00F74202"/>
    <w:rsid w:val="00F87713"/>
    <w:rsid w:val="00FB4360"/>
    <w:rsid w:val="00FD0C70"/>
  </w:rsids>
  <w:docVars>
    <w:docVar w:name="dvdocse" w:val="A10-0043/2026"/>
    <w:docVar w:name="dvlangue" w:val="EL"/>
    <w:docVar w:name="dvnumam" w:val="0"/>
    <w:docVar w:name="dvpe" w:val="777.039"/>
    <w:docVar w:name="dvrapporteur" w:val="Εισηγήτρια: "/>
    <w:docVar w:name="dvtitre" w:val="Ψήφισμα του Ευρωπαϊκού Κοινοβουλίου της ... 2026 σχετικά με τον ρόλο της ωκεάνιας διπλωματίας στην ανταγωνιστικότητα της αλιείας και της υδατοκαλλιέργειας της ΕΕ(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008D6B"/>
  <w15:chartTrackingRefBased/>
  <w15:docId w15:val="{6167D3B9-74E1-4C42-8B8A-0B9D1E7CF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D60A8"/>
    <w:pPr>
      <w:spacing w:after="240"/>
      <w:ind w:left="566" w:hanging="566"/>
    </w:pPr>
    <w:rPr>
      <w:szCs w:val="24"/>
      <w:lang w:eastAsia="en-US"/>
    </w:rPr>
  </w:style>
  <w:style w:type="paragraph" w:customStyle="1" w:styleId="NormalCenter12a">
    <w:name w:val="NormalCenter12a"/>
    <w:basedOn w:val="Normal"/>
    <w:rsid w:val="003D60A8"/>
    <w:pPr>
      <w:spacing w:after="240"/>
      <w:jc w:val="center"/>
    </w:pPr>
    <w:rPr>
      <w:szCs w:val="24"/>
      <w:lang w:eastAsia="en-US"/>
    </w:rPr>
  </w:style>
  <w:style w:type="character" w:customStyle="1" w:styleId="NormalHanging12aChar">
    <w:name w:val="NormalHanging12a Char"/>
    <w:basedOn w:val="DefaultParagraphFont"/>
    <w:link w:val="NormalHanging12a"/>
    <w:rsid w:val="003D60A8"/>
    <w:rPr>
      <w:sz w:val="24"/>
      <w:szCs w:val="24"/>
      <w:lang w:val="el-GR" w:eastAsia="en-US"/>
    </w:rPr>
  </w:style>
  <w:style w:type="character" w:styleId="Hyperlink">
    <w:name w:val="Hyperlink"/>
    <w:basedOn w:val="DefaultParagraphFont"/>
    <w:unhideWhenUsed/>
    <w:rsid w:val="003D60A8"/>
    <w:rPr>
      <w:color w:val="0563C1" w:themeColor="hyperlink"/>
      <w:u w:val="single"/>
    </w:rPr>
  </w:style>
  <w:style w:type="paragraph" w:styleId="Revision">
    <w:name w:val="Revision"/>
    <w:hidden/>
    <w:uiPriority w:val="99"/>
    <w:semiHidden/>
    <w:rsid w:val="00CE43A7"/>
    <w:rPr>
      <w:sz w:val="24"/>
      <w:lang w:val="el-GR"/>
    </w:rPr>
  </w:style>
  <w:style w:type="character" w:styleId="UnresolvedMention">
    <w:name w:val="Unresolved Mention"/>
    <w:basedOn w:val="DefaultParagraphFont"/>
    <w:uiPriority w:val="99"/>
    <w:semiHidden/>
    <w:unhideWhenUsed/>
    <w:rsid w:val="00CE43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7571</Words>
  <Characters>45390</Characters>
  <Application>Microsoft Office Word</Application>
  <DocSecurity>0</DocSecurity>
  <Lines>378</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2026-04-28T12:30:00Z</dcterms:created>
  <dcterms:modified xsi:type="dcterms:W3CDTF">2026-04-28T12:30:00Z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A10-0043/2026</vt:lpwstr>
  </property>
  <property fmtid="{D5CDD505-2E9C-101B-9397-08002B2CF9AE}" pid="4" name="&lt;Type&gt;">
    <vt:lpwstr>RR</vt:lpwstr>
  </property>
</Properties>
</file>