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7E6D51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6594" w:rsidP="0010095E" w14:paraId="76073505" w14:textId="77777777">
            <w:pPr>
              <w:pStyle w:val="EPName"/>
            </w:pPr>
            <w:r w:rsidRPr="00786594">
              <w:t>Evropský parlament</w:t>
            </w:r>
          </w:p>
          <w:p w:rsidR="00751A4A" w:rsidRPr="00786594" w:rsidP="005F1B17" w14:paraId="0D89ED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6594">
              <w:t>2024</w:t>
            </w:r>
            <w:r w:rsidRPr="00786594" w:rsidR="00817416">
              <w:t>-202</w:t>
            </w:r>
            <w:r w:rsidRPr="007865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86594" w:rsidP="0010095E" w14:paraId="7F67B063" w14:textId="77777777">
            <w:pPr>
              <w:pStyle w:val="EPLogo"/>
            </w:pPr>
            <w:r w:rsidRPr="0078659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6594" w:rsidP="004C5D52" w14:paraId="7D8937B4" w14:textId="77777777">
      <w:pPr>
        <w:pStyle w:val="LineTop"/>
      </w:pPr>
    </w:p>
    <w:p w:rsidR="00680577" w:rsidRPr="00786594" w:rsidP="00680577" w14:paraId="142AF39F" w14:textId="77777777">
      <w:pPr>
        <w:pStyle w:val="EPBodyTA1"/>
      </w:pPr>
      <w:r w:rsidRPr="00786594">
        <w:t>PŘIJATÉ TEXTY</w:t>
      </w:r>
    </w:p>
    <w:p w:rsidR="00D058B8" w:rsidRPr="00786594" w:rsidP="00D058B8" w14:paraId="4ED0DEB9" w14:textId="77777777">
      <w:pPr>
        <w:pStyle w:val="LineBottom"/>
      </w:pPr>
    </w:p>
    <w:p w:rsidR="00BF213B" w:rsidRPr="00786594" w:rsidP="00BF213B" w14:paraId="3DFD2F61" w14:textId="3B0F6426">
      <w:pPr>
        <w:pStyle w:val="ATHeading1"/>
      </w:pPr>
      <w:bookmarkStart w:id="0" w:name="TANumber"/>
      <w:r w:rsidRPr="00786594">
        <w:t>P10_TA(2026)0</w:t>
      </w:r>
      <w:r w:rsidR="00C66533">
        <w:t>122</w:t>
      </w:r>
      <w:bookmarkEnd w:id="0"/>
    </w:p>
    <w:p w:rsidR="00BF213B" w:rsidRPr="00786594" w:rsidP="00BF213B" w14:paraId="350F83B7" w14:textId="77777777">
      <w:pPr>
        <w:pStyle w:val="ATHeading2"/>
      </w:pPr>
      <w:bookmarkStart w:id="1" w:name="title"/>
      <w:r w:rsidRPr="00786594">
        <w:t>Kontrola, transparentnost a sledovatelnost nástrojů založených na výkonnosti</w:t>
      </w:r>
      <w:bookmarkEnd w:id="1"/>
    </w:p>
    <w:p w:rsidR="00BF213B" w:rsidRPr="00786594" w:rsidP="00BF213B" w14:paraId="2F3CD767" w14:textId="77777777">
      <w:pPr>
        <w:rPr>
          <w:i/>
          <w:vanish/>
        </w:rPr>
      </w:pPr>
      <w:r>
        <w:rPr>
          <w:i/>
        </w:rPr>
        <w:fldChar w:fldCharType="begin"/>
      </w:r>
      <w:r w:rsidRPr="00786594">
        <w:rPr>
          <w:i/>
        </w:rPr>
        <w:instrText xml:space="preserve"> TC"(</w:instrText>
      </w:r>
      <w:bookmarkStart w:id="2" w:name="DocNumber"/>
      <w:r w:rsidRPr="00786594">
        <w:rPr>
          <w:i/>
        </w:rPr>
        <w:instrText>A10-0022/2026</w:instrText>
      </w:r>
      <w:bookmarkEnd w:id="2"/>
      <w:r w:rsidRPr="00786594">
        <w:rPr>
          <w:i/>
        </w:rPr>
        <w:instrText xml:space="preserve"> - Zpravodajka: Monika Hohlmeier)"\l3 \n&gt; \* MERGEFORMAT </w:instrText>
      </w:r>
      <w:r>
        <w:rPr>
          <w:i/>
        </w:rPr>
        <w:fldChar w:fldCharType="end"/>
      </w:r>
    </w:p>
    <w:p w:rsidR="00BF213B" w:rsidRPr="00786594" w:rsidP="00BF213B" w14:paraId="4C204EAD" w14:textId="77777777">
      <w:pPr>
        <w:rPr>
          <w:vanish/>
        </w:rPr>
      </w:pPr>
      <w:bookmarkStart w:id="3" w:name="Commission"/>
      <w:r w:rsidRPr="00786594">
        <w:rPr>
          <w:vanish/>
        </w:rPr>
        <w:t>Výbor pro rozpočtovou kontrolu</w:t>
      </w:r>
      <w:bookmarkEnd w:id="3"/>
    </w:p>
    <w:p w:rsidR="00BF213B" w:rsidRPr="00786594" w:rsidP="00BF213B" w14:paraId="0E772EE6" w14:textId="77777777">
      <w:pPr>
        <w:rPr>
          <w:vanish/>
        </w:rPr>
      </w:pPr>
      <w:bookmarkStart w:id="4" w:name="PE"/>
      <w:r w:rsidRPr="00786594">
        <w:rPr>
          <w:vanish/>
        </w:rPr>
        <w:t>PE778.127</w:t>
      </w:r>
      <w:bookmarkEnd w:id="4"/>
    </w:p>
    <w:p w:rsidR="00BF213B" w:rsidRPr="00786594" w:rsidP="00BF213B" w14:paraId="0D4EDE30" w14:textId="77777777">
      <w:pPr>
        <w:pStyle w:val="ATHeading3"/>
      </w:pPr>
      <w:bookmarkStart w:id="5" w:name="Sujet"/>
      <w:r w:rsidRPr="00786594">
        <w:t>Usnesení Evropského parlamentu ze dne 28. dubna 2026 o kontrole, transparentnosti a sledovatelnosti nástrojů založených na výkonnosti</w:t>
      </w:r>
      <w:bookmarkEnd w:id="5"/>
      <w:r w:rsidRPr="00786594">
        <w:t xml:space="preserve"> </w:t>
      </w:r>
      <w:bookmarkStart w:id="6" w:name="References"/>
      <w:r w:rsidRPr="00786594">
        <w:t>(2025/2032(INI))</w:t>
      </w:r>
      <w:bookmarkEnd w:id="6"/>
    </w:p>
    <w:p w:rsidR="007A0E22" w:rsidRPr="00786594" w:rsidP="00176A12" w14:paraId="21CA5954" w14:textId="77777777">
      <w:pPr>
        <w:pStyle w:val="Normal12"/>
        <w:spacing w:before="480"/>
      </w:pPr>
      <w:r w:rsidRPr="00786594">
        <w:rPr>
          <w:i/>
        </w:rPr>
        <w:t>Evropský parlament</w:t>
      </w:r>
      <w:r w:rsidRPr="00786594">
        <w:t>,</w:t>
      </w:r>
    </w:p>
    <w:p w:rsidR="007A0E22" w:rsidRPr="00786594" w:rsidP="00786594" w14:paraId="6AD1B3AB" w14:textId="77777777">
      <w:pPr>
        <w:pStyle w:val="NormalHanging"/>
      </w:pPr>
      <w:r w:rsidRPr="00786594">
        <w:t>–</w:t>
      </w:r>
      <w:r w:rsidRPr="00786594">
        <w:tab/>
        <w:t>s ohledem na články 311, 312, 319, 323 a 324 Smlouvy o fungování Evropské unie (SFEU),</w:t>
      </w:r>
    </w:p>
    <w:p w:rsidR="007A0E22" w:rsidRPr="00786594" w:rsidP="00786594" w14:paraId="09E6A441" w14:textId="77777777">
      <w:pPr>
        <w:pStyle w:val="NormalHanging"/>
      </w:pPr>
      <w:r w:rsidRPr="00786594">
        <w:t>–</w:t>
      </w:r>
      <w:r w:rsidRPr="00786594">
        <w:tab/>
        <w:t>s ohledem na nařízení Rady (EU, Euratom) 2020/2093 ze dne 17. prosince 2020, kterým se stanoví víceletý finanční rámec na období 2021–2027</w:t>
      </w:r>
      <w:r>
        <w:rPr>
          <w:rStyle w:val="FootnoteReference"/>
        </w:rPr>
        <w:footnoteReference w:customMarkFollows="1" w:id="2"/>
        <w:t xml:space="preserve">1</w:t>
      </w:r>
      <w:r w:rsidRPr="00786594">
        <w:t>, a na společná prohlášení, na nichž se v této souvislosti dohodly Parlament, Rada a Komise, i na související jednostranná prohlášení,</w:t>
      </w:r>
    </w:p>
    <w:p w:rsidR="007A0E22" w:rsidRPr="00786594" w:rsidP="00786594" w14:paraId="70381246" w14:textId="77777777">
      <w:pPr>
        <w:pStyle w:val="NormalHanging"/>
      </w:pPr>
      <w:r w:rsidRPr="00786594">
        <w:t>–</w:t>
      </w:r>
      <w:r w:rsidRPr="00786594">
        <w:tab/>
        <w:t>s ohledem na nařízení Evropského parlamentu a Rady (EU, Euratom) 2024/2509 ze dne 23. září 2024, kterým se stanoví finanční pravidla pro souhrnný rozpočet Unie</w:t>
      </w:r>
      <w:r>
        <w:rPr>
          <w:rStyle w:val="FootnoteReference"/>
        </w:rPr>
        <w:footnoteReference w:customMarkFollows="1" w:id="3"/>
        <w:t xml:space="preserve">2</w:t>
      </w:r>
      <w:r w:rsidRPr="00786594">
        <w:t xml:space="preserve"> (finanční nařízení),</w:t>
      </w:r>
    </w:p>
    <w:p w:rsidR="007A0E22" w:rsidRPr="00786594" w:rsidP="00786594" w14:paraId="3221FE44" w14:textId="77777777">
      <w:pPr>
        <w:pStyle w:val="NormalHanging"/>
      </w:pPr>
      <w:r w:rsidRPr="00786594">
        <w:t>–</w:t>
      </w:r>
      <w:r w:rsidRPr="00786594">
        <w:tab/>
        <w:t>s ohledem na nařízení Evropského parlamentu a Rady (EU, Euratom) 2020/2092 ze dne 16. prosince 2020 o obecném režimu podmíněnosti na ochranu rozpočtu Unie</w:t>
      </w:r>
      <w:r>
        <w:rPr>
          <w:rStyle w:val="FootnoteReference"/>
        </w:rPr>
        <w:footnoteReference w:customMarkFollows="1" w:id="4"/>
        <w:t xml:space="preserve">3</w:t>
      </w:r>
      <w:r w:rsidRPr="00786594">
        <w:t xml:space="preserve"> (nařízení o podmíněnosti dodržováním zásad právního státu),</w:t>
      </w:r>
    </w:p>
    <w:p w:rsidR="007A0E22" w:rsidRPr="00786594" w:rsidP="00786594" w14:paraId="5D2453D6" w14:textId="77777777">
      <w:pPr>
        <w:pStyle w:val="NormalHanging"/>
      </w:pPr>
      <w:r w:rsidRPr="00786594">
        <w:t>–</w:t>
      </w:r>
      <w:r w:rsidRPr="00786594">
        <w:tab/>
        <w:t>s ohledem na nařízení Evropského parlamentu a Rady (EU) 2024/1263 ze dne 29. dubna 2024 o účinné koordinaci hospodářských politik a mnohostranném rozpočtovém dohledu a o zrušení nařízení Rady (ES) č. 1466/97</w:t>
      </w:r>
      <w:r>
        <w:rPr>
          <w:rStyle w:val="FootnoteReference"/>
        </w:rPr>
        <w:footnoteReference w:customMarkFollows="1" w:id="5"/>
        <w:t xml:space="preserve">4</w:t>
      </w:r>
      <w:r w:rsidRPr="00786594">
        <w:t>,</w:t>
      </w:r>
    </w:p>
    <w:p w:rsidR="007A0E22" w:rsidRPr="00786594" w:rsidP="00786594" w14:paraId="55B1307A" w14:textId="77777777">
      <w:pPr>
        <w:pStyle w:val="NormalHanging"/>
      </w:pPr>
      <w:r w:rsidRPr="00786594">
        <w:t>–</w:t>
      </w:r>
      <w:r w:rsidRPr="00786594">
        <w:tab/>
        <w:t>s ohledem na své usnesení ze dne 15. prosince 2022 o navýšení víceletého finančního rámce na období 2021–2027: odolný rozpočet EU připravený na nové výzvy</w:t>
      </w:r>
      <w:r>
        <w:rPr>
          <w:rStyle w:val="FootnoteReference"/>
        </w:rPr>
        <w:footnoteReference w:customMarkFollows="1" w:id="6"/>
        <w:t xml:space="preserve">5</w:t>
      </w:r>
      <w:r w:rsidRPr="00786594">
        <w:t>,</w:t>
      </w:r>
    </w:p>
    <w:p w:rsidR="007A0E22" w:rsidRPr="00786594" w:rsidP="00786594" w14:paraId="099D9C34" w14:textId="77777777">
      <w:pPr>
        <w:pStyle w:val="NormalHanging"/>
      </w:pPr>
      <w:r w:rsidRPr="00786594">
        <w:t>–</w:t>
      </w:r>
      <w:r w:rsidRPr="00786594">
        <w:tab/>
        <w:t>s ohledem na svůj postoj ze dne 27. února 2024 k návrhu nařízení Rady, kterým se mění nařízení (EU, Euratom) 2020/2093, kterým se stanoví víceletý finanční rámec na období 2021–2027</w:t>
      </w:r>
      <w:r>
        <w:rPr>
          <w:rStyle w:val="FootnoteReference"/>
        </w:rPr>
        <w:footnoteReference w:customMarkFollows="1" w:id="7"/>
        <w:t xml:space="preserve">6</w:t>
      </w:r>
      <w:r w:rsidRPr="00786594">
        <w:t>,</w:t>
      </w:r>
    </w:p>
    <w:p w:rsidR="007A0E22" w:rsidRPr="00786594" w:rsidP="00786594" w14:paraId="7E7E2F3C" w14:textId="77777777">
      <w:pPr>
        <w:pStyle w:val="NormalHanging"/>
      </w:pPr>
      <w:r w:rsidRPr="00786594">
        <w:t>–</w:t>
      </w:r>
      <w:r w:rsidRPr="00786594">
        <w:tab/>
        <w:t>s ohledem na interinstitucionální dohodu ze dne 16. prosince 2020 mezi Evropským parlamentem, Radou Evropské unie a Evropskou komisí o rozpočtové kázni, spolupráci v rozpočtových záležitostech a řádném finančním řízení, jakož i o nových vlastních zdrojích, včetně plánu zavádění nových vlastních zdrojů</w:t>
      </w:r>
      <w:r>
        <w:rPr>
          <w:rStyle w:val="FootnoteReference"/>
        </w:rPr>
        <w:footnoteReference w:customMarkFollows="1" w:id="8"/>
        <w:t xml:space="preserve">7</w:t>
      </w:r>
      <w:r w:rsidRPr="00786594">
        <w:t xml:space="preserve"> (dále jen „interinstitucionální dohoda“),</w:t>
      </w:r>
    </w:p>
    <w:p w:rsidR="007A0E22" w:rsidRPr="00786594" w:rsidP="00786594" w14:paraId="49E7016A" w14:textId="77777777">
      <w:pPr>
        <w:pStyle w:val="NormalHanging"/>
      </w:pPr>
      <w:r w:rsidRPr="00786594">
        <w:t>–</w:t>
      </w:r>
      <w:r w:rsidRPr="00786594">
        <w:tab/>
        <w:t>s ohledem na svůj postoj ze dne 16. prosince 2020 k návrhu nařízení Rady, kterým se stanoví víceletý finanční rámec na období 2021–2027</w:t>
      </w:r>
      <w:r>
        <w:rPr>
          <w:rStyle w:val="FootnoteReference"/>
        </w:rPr>
        <w:footnoteReference w:customMarkFollows="1" w:id="9"/>
        <w:t xml:space="preserve">8</w:t>
      </w:r>
      <w:r w:rsidRPr="00786594">
        <w:t>,</w:t>
      </w:r>
    </w:p>
    <w:p w:rsidR="007A0E22" w:rsidRPr="00786594" w:rsidP="00786594" w14:paraId="3E2E19A6" w14:textId="77777777">
      <w:pPr>
        <w:pStyle w:val="NormalHanging"/>
      </w:pPr>
      <w:r w:rsidRPr="00786594">
        <w:t>–</w:t>
      </w:r>
      <w:r w:rsidRPr="00786594">
        <w:tab/>
        <w:t>s ohledem na výroční zprávu Evropského účetního dvora (EÚD) ze dne 10. října 2024 o plnění rozpočtu EU na rozpočtový rok 2023 spolu s odpověďmi orgánů,</w:t>
      </w:r>
    </w:p>
    <w:p w:rsidR="007A0E22" w:rsidRPr="00786594" w:rsidP="00786594" w14:paraId="099ABC7D" w14:textId="07E8E560">
      <w:pPr>
        <w:pStyle w:val="NormalHanging"/>
      </w:pPr>
      <w:r w:rsidRPr="00786594">
        <w:t>–</w:t>
      </w:r>
      <w:r w:rsidRPr="00786594">
        <w:tab/>
        <w:t>s ohledem na zvláštní zprávu EÚD 13/2024 ze dne 2. září 2024 nazvanou „Čerpání finančních prostředků z Nástroje pro oživení a odolnost – Postupuje se zpožděním a přetrvávají rizika pro dokončení opatření, a tudíž pro dosažení cílů nástroje“, zvláštní zprávu EÚD 14/2024 ze dne 11. září 2024 nazvanou „Ekologická transformace – nejasný příspěvek Nástroje pro oživení a odolnost“ a zvláštní zprávu EÚD 22/2024 ze dne 21. října 2024 nazvanou „Dvojí financování z rozpočtu EU – kontrolní systémy postrádají základní prvky, které by zmírňovaly zvýšené riziko plynoucí ze skutečnosti, že model financování Nástroje pro oživení a odolnost není spojen s náklady“,</w:t>
      </w:r>
    </w:p>
    <w:p w:rsidR="007A0E22" w:rsidRPr="00786594" w:rsidP="00786594" w14:paraId="103DD052" w14:textId="77777777">
      <w:pPr>
        <w:pStyle w:val="NormalHanging"/>
      </w:pPr>
      <w:r w:rsidRPr="00786594">
        <w:t>–</w:t>
      </w:r>
      <w:r w:rsidRPr="00786594">
        <w:tab/>
        <w:t>s ohledem na přezkum EÚD 03/2025 ze dne 16. června 2025 nazvaný „Příležitosti víceletého finančního rámce na období po roce 2027“, přezkum EÚD 04/2025 ze dne 19. června 2025 nazvaný „Budoucnost politiky soudržnosti EU: Poučení z minulosti“,</w:t>
      </w:r>
    </w:p>
    <w:p w:rsidR="007A0E22" w:rsidRPr="00786594" w:rsidP="00786594" w14:paraId="2E6D8327" w14:textId="77777777">
      <w:pPr>
        <w:pStyle w:val="NormalHanging"/>
      </w:pPr>
      <w:r w:rsidRPr="00786594">
        <w:t>–</w:t>
      </w:r>
      <w:r w:rsidRPr="00786594">
        <w:tab/>
        <w:t>s ohledem na své usnesení ze dne 7. května 2025 o přepracovaném dlouhodobém rozpočtu Unie v měnícím se světě a na stanovisko Výboru pro rozpočtovou kontrolu pro Rozpočtový výbor k přepracovanému dlouhodobému rozpočtu Unie v měnícím se světě</w:t>
      </w:r>
      <w:r>
        <w:rPr>
          <w:rStyle w:val="FootnoteReference"/>
        </w:rPr>
        <w:footnoteReference w:customMarkFollows="1" w:id="10"/>
        <w:t xml:space="preserve">9</w:t>
      </w:r>
      <w:r w:rsidRPr="00786594">
        <w:t>,</w:t>
      </w:r>
    </w:p>
    <w:p w:rsidR="007A0E22" w:rsidRPr="00786594" w:rsidP="00786594" w14:paraId="3A4D2CD6" w14:textId="77777777">
      <w:pPr>
        <w:pStyle w:val="NormalHanging"/>
      </w:pPr>
      <w:r w:rsidRPr="00786594">
        <w:t>–</w:t>
      </w:r>
      <w:r w:rsidRPr="00786594">
        <w:tab/>
        <w:t>s ohledem na zprávu Výboru pro rozpočtovou kontrolu ze dne 23. dubna 2025 o udělení absolutoria za plnění souhrnného rozpočtu Evropské unie na rozpočtový rok 2023, oddíl III – Komise a výkonné agentury a devátý, desátý a jedenáctý Evropský rozvojový fond,</w:t>
      </w:r>
    </w:p>
    <w:p w:rsidR="007A0E22" w:rsidRPr="00786594" w:rsidP="00786594" w14:paraId="3DBDD407" w14:textId="77777777">
      <w:pPr>
        <w:pStyle w:val="NormalHanging"/>
      </w:pPr>
      <w:r w:rsidRPr="00786594">
        <w:t>–</w:t>
      </w:r>
      <w:r w:rsidRPr="00786594">
        <w:tab/>
        <w:t>s ohledem na zprávu Komise z prosince 2023 doplňující hodnocení Nástroje pro oživení a odolnost v polovině období,</w:t>
      </w:r>
    </w:p>
    <w:p w:rsidR="007A0E22" w:rsidRPr="00786594" w:rsidP="00786594" w14:paraId="367BD28E" w14:textId="77777777">
      <w:pPr>
        <w:pStyle w:val="NormalHanging"/>
      </w:pPr>
      <w:r w:rsidRPr="00786594">
        <w:t>–</w:t>
      </w:r>
      <w:r w:rsidRPr="00786594">
        <w:tab/>
        <w:t>s ohledem na výroční zprávu Úřadu evropského veřejného žalobce (EPPO) za rok 2024, která byla zveřejněna dne 3. března 2025,</w:t>
      </w:r>
    </w:p>
    <w:p w:rsidR="007A0E22" w:rsidRPr="00786594" w:rsidP="00786594" w14:paraId="47496C66" w14:textId="77777777">
      <w:pPr>
        <w:pStyle w:val="NormalHanging"/>
      </w:pPr>
      <w:r w:rsidRPr="00786594">
        <w:t>–</w:t>
      </w:r>
      <w:r w:rsidRPr="00786594">
        <w:tab/>
        <w:t>s ohledem na zprávu Maria Draghiho ze září 2024 nazvanou „Budoucnost evropské konkurenceschopnosti“ (Draghiho zpráva),</w:t>
      </w:r>
    </w:p>
    <w:p w:rsidR="007A0E22" w:rsidRPr="00786594" w:rsidP="00786594" w14:paraId="66D06496" w14:textId="77777777">
      <w:pPr>
        <w:pStyle w:val="NormalHanging"/>
      </w:pPr>
      <w:r w:rsidRPr="00786594">
        <w:t>–</w:t>
      </w:r>
      <w:r w:rsidRPr="00786594">
        <w:tab/>
        <w:t>s ohledem na stanovisko Evropského výboru regionů ze dne 8. října 2024 nazvané „Přezkum evropského plánu na podporu oživení po pandemii covid-19 v polovině období (Nástroj pro oživení a odolnost)“</w:t>
      </w:r>
      <w:r>
        <w:rPr>
          <w:rStyle w:val="FootnoteReference"/>
        </w:rPr>
        <w:footnoteReference w:customMarkFollows="1" w:id="11"/>
        <w:t xml:space="preserve">10</w:t>
      </w:r>
      <w:r w:rsidRPr="00786594">
        <w:t>,</w:t>
      </w:r>
    </w:p>
    <w:p w:rsidR="007A0E22" w:rsidRPr="00786594" w:rsidP="00786594" w14:paraId="63AFBF08" w14:textId="77777777">
      <w:pPr>
        <w:pStyle w:val="NormalHanging"/>
      </w:pPr>
      <w:r w:rsidRPr="00786594">
        <w:t>–</w:t>
      </w:r>
      <w:r w:rsidRPr="00786594">
        <w:tab/>
        <w:t>s ohledem na informace zveřejněné ve srovnávacím přehledu pro Nástroj pro oživení a odolnosti (srovnávací přehled RRF),</w:t>
      </w:r>
    </w:p>
    <w:p w:rsidR="007A0E22" w:rsidRPr="00786594" w:rsidP="00786594" w14:paraId="68408F5D" w14:textId="77777777">
      <w:pPr>
        <w:pStyle w:val="NormalHanging"/>
      </w:pPr>
      <w:r w:rsidRPr="00786594">
        <w:t>–</w:t>
      </w:r>
      <w:r w:rsidRPr="00786594">
        <w:tab/>
        <w:t>s ohledem na svůj interní výzkum, hloubkovou analýzu a publikace týkající se provádění Nástroje pro oživení a odolnost,</w:t>
      </w:r>
    </w:p>
    <w:p w:rsidR="007A0E22" w:rsidRPr="00786594" w:rsidP="00786594" w14:paraId="0FC8CD7C" w14:textId="77777777">
      <w:pPr>
        <w:pStyle w:val="NormalHanging"/>
      </w:pPr>
      <w:r w:rsidRPr="00786594">
        <w:t>–</w:t>
      </w:r>
      <w:r w:rsidRPr="00786594">
        <w:tab/>
        <w:t>s ohledem na zprávu ze dne 17. dubna 2024 s názvem „Much more than a market – speed, security, solidarity: empowering the Single Market to deliver a sustainable future and prosperity for all EU Citizens“ (Mnohem více než jen trh – Rychlost, bezpečnost, solidarita. Posílení jednotného trhu s cílem zajistit udržitelnou budoucnost a prosperitu pro všechny občany EU)“, kterou vypracoval Enrico Letta (Lettova zpráva),</w:t>
      </w:r>
    </w:p>
    <w:p w:rsidR="007A0E22" w:rsidRPr="00786594" w:rsidP="00786594" w14:paraId="257FDAB3" w14:textId="77777777">
      <w:pPr>
        <w:pStyle w:val="NormalHanging"/>
      </w:pPr>
      <w:r w:rsidRPr="00786594">
        <w:t>–</w:t>
      </w:r>
      <w:r w:rsidRPr="00786594">
        <w:tab/>
        <w:t>s ohledem na zprávu skupiny Komise na vysoké úrovni pro budoucnost politiky soudržnosti ze dne 20. února 2024 nazvanou „Forging a sustainable future together – Cohesion for a competitive and inclusive Europe“ (Společné budování udržitelné budoucnosti: soudržnost pro konkurenceschopnou a inkluzivní Evropu),</w:t>
      </w:r>
    </w:p>
    <w:p w:rsidR="007A0E22" w:rsidRPr="00786594" w:rsidP="00786594" w14:paraId="34F5D7E6" w14:textId="77777777">
      <w:pPr>
        <w:pStyle w:val="NormalHanging"/>
      </w:pPr>
      <w:r w:rsidRPr="00786594">
        <w:t>–</w:t>
      </w:r>
      <w:r w:rsidRPr="00786594">
        <w:tab/>
        <w:t xml:space="preserve">s ohledem na sdělení Komise ze dne 11. února 2025 nazvané „Cesta k příštímu víceletému finančnímu rámci“ (COM(2025)0046), </w:t>
      </w:r>
    </w:p>
    <w:p w:rsidR="007A0E22" w:rsidRPr="00786594" w:rsidP="00786594" w14:paraId="56686859" w14:textId="77777777">
      <w:pPr>
        <w:pStyle w:val="NormalHanging"/>
      </w:pPr>
      <w:r w:rsidRPr="00786594">
        <w:t>–</w:t>
      </w:r>
      <w:r w:rsidRPr="00786594">
        <w:tab/>
        <w:t>s ohledem na sdělení Komise ze dne 29. ledna 2025 nazvané „Kompas konkurenceschopnosti pro EU“ (COM(2025)0030),</w:t>
      </w:r>
    </w:p>
    <w:p w:rsidR="007A0E22" w:rsidRPr="00786594" w:rsidP="00786594" w14:paraId="7E77F758" w14:textId="77777777">
      <w:pPr>
        <w:pStyle w:val="NormalHanging"/>
      </w:pPr>
      <w:r w:rsidRPr="00786594">
        <w:t>–</w:t>
      </w:r>
      <w:r w:rsidRPr="00786594">
        <w:tab/>
        <w:t>s ohledem na závěry Evropské rady z 20. března 2025, 6. března 2025 a 19. prosince 2024,</w:t>
      </w:r>
    </w:p>
    <w:p w:rsidR="007A0E22" w:rsidRPr="00786594" w:rsidP="00786594" w14:paraId="5B58E314" w14:textId="77777777">
      <w:pPr>
        <w:pStyle w:val="NormalHanging"/>
      </w:pPr>
      <w:r w:rsidRPr="00786594">
        <w:t>–</w:t>
      </w:r>
      <w:r w:rsidRPr="00786594">
        <w:tab/>
        <w:t>s ohledem na politické směry na funkční období Komise 2024–2029, které nově zvolená předsedkyně Komise předložila dne 18. července 2024,</w:t>
      </w:r>
    </w:p>
    <w:p w:rsidR="007A0E22" w:rsidRPr="00786594" w:rsidP="00786594" w14:paraId="7C0C56B2" w14:textId="77777777">
      <w:pPr>
        <w:pStyle w:val="NormalHanging"/>
      </w:pPr>
      <w:r w:rsidRPr="00786594">
        <w:t>–</w:t>
      </w:r>
      <w:r w:rsidRPr="00786594">
        <w:tab/>
        <w:t>s ohledem na stanovisko Evropského výboru regionů ze dne 20. listopadu 2024 nazvané „Rozpočet EU a místně orientované politiky: návrhy nových mechanismů týkajících se navrhování a provádění ve VFR na období po roce 2027“</w:t>
      </w:r>
      <w:r>
        <w:rPr>
          <w:rStyle w:val="FootnoteReference"/>
        </w:rPr>
        <w:footnoteReference w:customMarkFollows="1" w:id="12"/>
        <w:t xml:space="preserve">11</w:t>
      </w:r>
      <w:r w:rsidRPr="00786594">
        <w:t>,</w:t>
      </w:r>
    </w:p>
    <w:p w:rsidR="007A0E22" w:rsidRPr="00786594" w:rsidP="00786594" w14:paraId="0066E21B" w14:textId="77777777">
      <w:pPr>
        <w:pStyle w:val="NormalHanging"/>
      </w:pPr>
      <w:r w:rsidRPr="00786594">
        <w:t>–</w:t>
      </w:r>
      <w:r w:rsidRPr="00786594">
        <w:tab/>
        <w:t>s ohledem na návrh nařízení Evropského parlamentu a Rady, kterým se stanoví rámec pro sledování rozpočtových výdajů a výkonnost rozpočtu a další horizontální pravidla programů a činností Unie (COM(2025)0545), který předložila Komise dne 16. července 2025,</w:t>
      </w:r>
    </w:p>
    <w:p w:rsidR="007A0E22" w:rsidRPr="00786594" w:rsidP="00786594" w14:paraId="05FCC79B" w14:textId="77777777">
      <w:pPr>
        <w:pStyle w:val="NormalHanging"/>
      </w:pPr>
      <w:r w:rsidRPr="00786594">
        <w:t>–</w:t>
      </w:r>
      <w:r w:rsidRPr="00786594">
        <w:tab/>
        <w:t>s ohledem na usnesení Evropského parlamentu ze dne 18. června 2025 o provádění Nástroje pro oživení a odolnost</w:t>
      </w:r>
      <w:r>
        <w:rPr>
          <w:rStyle w:val="FootnoteReference"/>
        </w:rPr>
        <w:footnoteReference w:customMarkFollows="1" w:id="13"/>
        <w:t xml:space="preserve">12</w:t>
      </w:r>
      <w:r w:rsidRPr="00786594">
        <w:t>,</w:t>
      </w:r>
    </w:p>
    <w:p w:rsidR="007A0E22" w:rsidRPr="00786594" w:rsidP="00786594" w14:paraId="4D8235B7" w14:textId="77777777">
      <w:pPr>
        <w:pStyle w:val="NormalHanging"/>
      </w:pPr>
      <w:r w:rsidRPr="00786594">
        <w:t>–</w:t>
      </w:r>
      <w:r w:rsidRPr="00786594">
        <w:tab/>
        <w:t>s ohledem na zprávu Výboru pro rozpočtovou kontrolu (A10-0074/2025),</w:t>
      </w:r>
    </w:p>
    <w:p w:rsidR="007A0E22" w:rsidRPr="00786594" w:rsidP="00786594" w14:paraId="17537C5E" w14:textId="77777777">
      <w:pPr>
        <w:pStyle w:val="NormalHanging"/>
      </w:pPr>
      <w:r w:rsidRPr="00786594">
        <w:t>–</w:t>
      </w:r>
      <w:r w:rsidRPr="00786594">
        <w:tab/>
        <w:t>s ohledem na článek 55 a na čl. 148 odst. 2 jednacího řádu,</w:t>
      </w:r>
    </w:p>
    <w:p w:rsidR="007A0E22" w:rsidRPr="00786594" w:rsidP="00786594" w14:paraId="78D6EF65" w14:textId="77777777">
      <w:pPr>
        <w:pStyle w:val="NormalHanging"/>
      </w:pPr>
      <w:r w:rsidRPr="00786594">
        <w:t>–</w:t>
      </w:r>
      <w:r w:rsidRPr="00786594">
        <w:tab/>
        <w:t>s ohledem na zprávu Výboru pro rozpočtovou kontrolu (A10</w:t>
      </w:r>
      <w:r w:rsidRPr="00786594">
        <w:noBreakHyphen/>
        <w:t>0022/2026),</w:t>
      </w:r>
    </w:p>
    <w:p w:rsidR="007A0E22" w:rsidRPr="00786594" w:rsidP="00786594" w14:paraId="68AB004E" w14:textId="77777777">
      <w:pPr>
        <w:pStyle w:val="NormalHanging12a"/>
      </w:pPr>
      <w:r w:rsidRPr="00786594">
        <w:t>A.</w:t>
      </w:r>
      <w:r w:rsidRPr="00786594">
        <w:tab/>
        <w:t>vzhledem k tomu, že rostoucí počet politických priorit v Unii vytváří další tlak na rozpočet EU, čímž se odpovědné využívání dostupných finančních zdrojů stává důležitějším než kdy jindy; vzhledem k tomu, že řádné finanční řízení, jak je definováno ve finančním nařízení, vyžaduje, aby byly finanční prostředky EU vynakládány v souladu se zásadami hospodárnosti, účinnosti a účelnosti a aby bylo zajištěno, že zdroje budou využívány nákladově efektivním způsobem, že cílů bude dosaženo včas, v přiměřeném množství a za nejlepší cenu a že bude dosaženo zamýšlených výsledků a dopadů; vzhledem k tomu, že to posiluje nutnost obezřetnosti ve finančním řízení, aby bylo zaručeno, že výdaje přinesou prokazatelnou návratnost investic, pokud jde o hospodářský růst, konkurenceschopnost a dosažení priorit EU;</w:t>
      </w:r>
    </w:p>
    <w:p w:rsidR="007A0E22" w:rsidRPr="00786594" w:rsidP="00786594" w14:paraId="0337B20A" w14:textId="77777777">
      <w:pPr>
        <w:pStyle w:val="NormalHanging"/>
      </w:pPr>
      <w:r w:rsidRPr="00786594">
        <w:t>B.</w:t>
      </w:r>
      <w:r w:rsidRPr="00786594">
        <w:tab/>
        <w:t>vzhledem k tomu, že pokud má financování EU podobu podpory, která není spojena s proplacením způsobilých nákladů, ale s výsledky, výstupy nebo jinými ukazateli výkonnosti, závisí platby na dosažení předem stanovených milníků nebo cílů, které musí být před vyplacením prostředků ověřeny;</w:t>
      </w:r>
    </w:p>
    <w:p w:rsidR="007A0E22" w:rsidRPr="00786594" w:rsidP="00786594" w14:paraId="0AB5ED39" w14:textId="77777777">
      <w:pPr>
        <w:pStyle w:val="NormalHanging"/>
      </w:pPr>
      <w:r w:rsidRPr="00786594">
        <w:t>C.</w:t>
      </w:r>
      <w:r w:rsidRPr="00786594">
        <w:tab/>
        <w:t>vzhledem k tomu, že tento přístup tím, že odděluje platby od skutečných výdajů, maří přístup k údajům o skutečných nákladech, a tudíž omezuje posouzení hospodárnosti, účinnosti a účelnosti; poukazuje na to, že tyto nedostatky v údajích brání systematické identifikaci nesrovnalostí, rizik podvodů a dvojího financování a zároveň oslabuje schopnost EU zavádět mechanismy včasného varování a posouzení rizik založená na datech;</w:t>
      </w:r>
    </w:p>
    <w:p w:rsidR="007A0E22" w:rsidRPr="00786594" w:rsidP="00786594" w14:paraId="005A510C" w14:textId="77777777">
      <w:pPr>
        <w:pStyle w:val="NormalHanging"/>
      </w:pPr>
      <w:r w:rsidRPr="00786594">
        <w:t>D.</w:t>
      </w:r>
      <w:r w:rsidRPr="00786594">
        <w:tab/>
        <w:t>vzhledem k tomu, že absence ověřování výdajů zvyšuje riziko nepřesnosti odhadů nákladů, což oslabuje řádné finanční řízení, transparentnost a odpovědnost; vzhledem k tomu, že EÚD opakovaně varoval před nedostatky v posuzování nákladů, variabilitou vnitrostátních auditorských standardů a nedostatečnými kapacitami Komise v oblasti dohledu;</w:t>
      </w:r>
    </w:p>
    <w:p w:rsidR="007A0E22" w:rsidRPr="00786594" w:rsidP="00786594" w14:paraId="23E3D959" w14:textId="77777777">
      <w:pPr>
        <w:pStyle w:val="NormalHanging"/>
      </w:pPr>
      <w:r w:rsidRPr="00786594">
        <w:t>E.</w:t>
      </w:r>
      <w:r w:rsidRPr="00786594">
        <w:tab/>
        <w:t>vzhledem k tomu, že velká volnost při posuzování toho, zda byly milníky a cíle splněny, může vést ze strany Komise k nejednotnému zacházení s členskými státy nebo k předčasnému uvolnění finančních prostředků před tím, než jsou zcela splněny podmínky pro jejich vyplacení;</w:t>
      </w:r>
    </w:p>
    <w:p w:rsidR="007A0E22" w:rsidRPr="00786594" w:rsidP="00786594" w14:paraId="7715E50E" w14:textId="77777777">
      <w:pPr>
        <w:pStyle w:val="NormalHanging"/>
      </w:pPr>
      <w:r w:rsidRPr="00786594">
        <w:t>F.</w:t>
      </w:r>
      <w:r w:rsidRPr="00786594">
        <w:tab/>
        <w:t>vzhledem k tomu, že EÚD zjistil nedostatky v koncepci kontrolního systému Nástroje pro oživení a odolnost, včetně nadměrného spoléhání se na vnitrostátní orgány, neúplných auditních stop, systémových selhání a rizik nejednotného uplatňování v členských státech; konstatuje, že tyto nedostatky dále zhoršuje roztříštěnost a nekompatibilita vnitrostátních datových systémů, což brání interoperabilitě, včasnému odhalování rizik a účinné ochraně osobních údajů při auditních a kontrolních operacích;</w:t>
      </w:r>
    </w:p>
    <w:p w:rsidR="007A0E22" w:rsidRPr="00786594" w:rsidP="00786594" w14:paraId="1E013473" w14:textId="77777777">
      <w:pPr>
        <w:pStyle w:val="NormalHanging"/>
      </w:pPr>
      <w:r w:rsidRPr="00786594">
        <w:t>G.</w:t>
      </w:r>
      <w:r w:rsidRPr="00786594">
        <w:tab/>
        <w:t xml:space="preserve">vzhledem k tomu, že kontrola nástrojů založených na výkonnosti závisí na důvěryhodnosti vnitrostátních monitorovacích mechanismů; vzhledem k tomu, že nedostatky v oblasti právního státu zvyšují riziko pro finanční zájmy EU, neboť jejich </w:t>
      </w:r>
      <w:r w:rsidRPr="00786594">
        <w:t>ochrana závisí na nezávislosti soudnictví a autonomním rozhodování orgánů pro boj proti podvodům;</w:t>
      </w:r>
    </w:p>
    <w:p w:rsidR="007A0E22" w:rsidRPr="00786594" w:rsidP="00786594" w14:paraId="2F45E04B" w14:textId="77777777">
      <w:pPr>
        <w:pStyle w:val="NormalHanging"/>
      </w:pPr>
      <w:r w:rsidRPr="00786594">
        <w:t>H.</w:t>
      </w:r>
      <w:r w:rsidRPr="00786594">
        <w:tab/>
        <w:t>vzhledem k tomu, že demokratická odpovědnost vyžaduje, aby byla zachována úloha Parlamentu jako normotvůrce a rozpočtového orgánu a orgánu příslušného k udělení absolutoria, včetně přísných mechanismů odpovědnosti a plné transparentnosti, pokud jde o konečné příjemce finančních prostředků Unie, a vzhledem k tomu, že členské státy a další vnitrostátní orgány by neměly být považovány za konečné příjemce finančních prostředků Unie;</w:t>
      </w:r>
    </w:p>
    <w:p w:rsidR="007A0E22" w:rsidRPr="00786594" w:rsidP="00176A12" w14:paraId="26BA5FC9" w14:textId="676794A6">
      <w:pPr>
        <w:pStyle w:val="Normal12a"/>
      </w:pPr>
      <w:r w:rsidRPr="00786594">
        <w:rPr>
          <w:b/>
          <w:i/>
        </w:rPr>
        <w:t>Problémy mající dopad na transparentnost, odpovědnost a účinnou kontrolu nástrojů založených na výkonnosti</w:t>
      </w:r>
    </w:p>
    <w:p w:rsidR="007A0E22" w:rsidRPr="00786594" w:rsidP="00786594" w14:paraId="56F960E2" w14:textId="77777777">
      <w:pPr>
        <w:pStyle w:val="NormalHanging12a"/>
      </w:pPr>
      <w:r w:rsidRPr="00786594">
        <w:t>1.</w:t>
      </w:r>
      <w:r w:rsidRPr="00786594">
        <w:tab/>
        <w:t>zdůrazňuje, že jak je stanoveno ve finančním nařízení, nástroje založené na výkonnosti musí dodržovat zásady legality, správnosti, hospodárnosti, účinnosti a účelnosti a že zjednodušení by nikdy nemělo být na úkor řádného finančního řízení a transparentnosti; požaduje přiměřené kontroly založené na posouzení rizik a trvá na tom, že ukazatele pro nástroje založené na výkonnosti by měly zachycovat hmatatelné výsledky a přidanou hodnotu EU, a nikoli pouze předem definované výstupy; zdůrazňuje, že pokud jsou tyto nástroje správně navrženy, mohou posílit zaměření na výsledky, reformy a konkurenceschopnost;</w:t>
      </w:r>
    </w:p>
    <w:p w:rsidR="007A0E22" w:rsidRPr="00786594" w:rsidP="00786594" w14:paraId="3806A727" w14:textId="77777777">
      <w:pPr>
        <w:pStyle w:val="NormalHanging12a"/>
      </w:pPr>
      <w:r w:rsidRPr="00786594">
        <w:t>2.</w:t>
      </w:r>
      <w:r w:rsidRPr="00786594">
        <w:tab/>
        <w:t>konstatuje, že Nástroj pro oživení a odolnost je svým zaměřením na vyplácení prostředků na základě uspokojivého splnění milníků a cílů prvním významným nástrojem na úrovni EU založeným na výkonnosti, který je postaven výhradně na financování, které není spojeno s náklady; dále konstatuje, že model Nástroje pro oživení a odolnost byl použit i v jiných finančních nástrojích, jako je Nástroj pro Ukrajinu a Nástroj pro západní Balkán; je znepokojen návrhy Komise, aby byl podobný model použit v příštím víceletém finančním rámci (VFR) u většiny programů financování EU, včetně okruhu 1; konstatuje, že Nástroj pro oživení a odolnost podnítil do jisté míry některé vnitrostátní investice a reformy;</w:t>
      </w:r>
    </w:p>
    <w:p w:rsidR="007A0E22" w:rsidRPr="00786594" w:rsidP="00786594" w14:paraId="72474FF7" w14:textId="77777777">
      <w:pPr>
        <w:pStyle w:val="NormalHanging12a"/>
      </w:pPr>
      <w:r w:rsidRPr="00786594">
        <w:t>3.</w:t>
      </w:r>
      <w:r w:rsidRPr="00786594">
        <w:tab/>
        <w:t>zdůrazňuje, že je důležité vyvodit poučení z kritických nedostatků, které odhalil centralizovaný model provádění Nástroje pro oživení a odolnost založený na výkonnosti, jak uznaly EÚD a Komise, včetně snížené odpovědnosti a omezeného dohledu nad dodržováním pravidel a předpisů na úrovni EU; zdůrazňuje, že transparentnost, pokud jde o konečné příjemce, musí být zajištěna prostřednictvím jednotného a interoperabilního celounijního systému podávání zpráv přístupného Komisi, EÚD, úřadu EPPO a Parlamentu; zdůrazňuje, že přidanou hodnotu EU lze posílit zvýšením počtu přeshraničních projektů a zajištěním dostatečných rozhodovacích pravomocí subjektů na nižší než celostátní úrovni, zejména místních a regionálních orgánů, při navrhování a provádění tohoto nástroje;</w:t>
      </w:r>
    </w:p>
    <w:p w:rsidR="007A0E22" w:rsidRPr="00786594" w:rsidP="00786594" w14:paraId="34D3BDE7" w14:textId="77777777">
      <w:pPr>
        <w:pStyle w:val="NormalHanging12a"/>
      </w:pPr>
      <w:r w:rsidRPr="00786594">
        <w:t>4.</w:t>
      </w:r>
      <w:r w:rsidRPr="00786594">
        <w:tab/>
        <w:t xml:space="preserve">domnívá se, že ačkoli má být Nástroj pro oživení a odolnost nástrojem založeným na výkonnosti, při jeho provádění jsou často upřednostňovány výstupy před výsledky; vyjadřuje politování nad tím, že vágně definované milníky a cíle, které kladou důraz především na vstupy a výstupy, a nikoli na výsledky, mohou ohrozit dosažení cílů Nástroje pro oživení a odolnost; domnívá se, že budoucí nástroje založené na výkonnosti by měly stanovit konkrétnější klíčové ukazatele výkonnosti a zajistit, aby investice byly v souladu s cíli nástroje, měly pozitivní dopad a přinášely EU jasnou přidanou hodnotu; vyzývá Komisi, aby zajistila, že budoucí nástroje založené na </w:t>
      </w:r>
      <w:r w:rsidRPr="00786594">
        <w:t>výkonnosti budou ve všech členských státech harmonizovány, budou koncipovány transparentně a budou stabilní v čase, aby se podpořila soudržnost, odpovědnost a dlouhodobá účinnost;</w:t>
      </w:r>
    </w:p>
    <w:p w:rsidR="007A0E22" w:rsidRPr="00786594" w:rsidP="00786594" w14:paraId="3A291478" w14:textId="77777777">
      <w:pPr>
        <w:pStyle w:val="NormalHanging12a"/>
      </w:pPr>
      <w:r w:rsidRPr="00786594">
        <w:t>5.</w:t>
      </w:r>
      <w:r w:rsidRPr="00786594">
        <w:tab/>
        <w:t>zdůrazňuje, že při spoléhání se na odhady nákladů ex ante bez ověření skutečných výdajů hrozí, že vznikne strukturální nedostatek v oblasti vyvozování odpovědnosti, omezí se možnost posoudit efektivnost nákladů, a budou tak oslabeny zásady hospodárnosti a účinnosti; poukazuje na to, že je nezbytné zavést ověřovací mechanismy založené na rizicích a významnosti s jasně definovanými prahovými hodnotami pro povinné kontroly; vyzývá Komisi, aby do budoucích nástrojů založených na výkonnosti systematicky začleňovala vytěžování údajů, nástroje křížové kontroly a analytické metody s cílem odhalovat nesrovnalosti a rizika korupce a střetů zájmů;</w:t>
      </w:r>
    </w:p>
    <w:p w:rsidR="007A0E22" w:rsidRPr="00786594" w:rsidP="00786594" w14:paraId="5503195B" w14:textId="77777777">
      <w:pPr>
        <w:pStyle w:val="NormalHanging12a"/>
      </w:pPr>
      <w:r w:rsidRPr="00786594">
        <w:t>6.</w:t>
      </w:r>
      <w:r w:rsidRPr="00786594">
        <w:tab/>
        <w:t>je krajně znepokojen návrhy Komise na všeobecné využívání financování, které není spojeno s náklady, v příštím VFR a zdůrazňuje důležitost zavedení odpovídajících záruk k zajištění řádného finančního řízení při čerpání finančních prostředků Unie; poukazuje na to, že tento významný posun směrem k využívání financování, které není spojeno s náklady, je třeba pečlivě posoudit a vzít při tom v úvahu nedostatky zjištěné v předchozích nebo stávajících nástrojích založených na výkonnosti, a zdůrazňuje nezbytnost provedení komplexního hodnocení Nástroje pro oživení a odolnost;</w:t>
      </w:r>
    </w:p>
    <w:p w:rsidR="007A0E22" w:rsidRPr="00786594" w:rsidP="00786594" w14:paraId="72F0A91F" w14:textId="77777777">
      <w:pPr>
        <w:pStyle w:val="NormalHanging12a"/>
      </w:pPr>
      <w:r w:rsidRPr="00786594">
        <w:t>7.</w:t>
      </w:r>
      <w:r w:rsidRPr="00786594">
        <w:tab/>
        <w:t>vyjadřuje znepokojení nad rostoucím dluhovým zatížením EU a výpůjčními náklady; konstatuje, že podle odhadu výroční zprávy EÚD za rok 2024 by nesplacené výpůjčky EU mohly do roku 2027 přesáhnout 900 miliard EUR, což je téměř desetinásobek úrovně z roku 2020 před zavedením souboru opatření na podporu oživení NextGenerationEU (NGEU); varuje, že rostoucí výpůjční náklady představují riziko pro budoucí rozpočty a omezují fiskální prostor pro nové priority;</w:t>
      </w:r>
    </w:p>
    <w:p w:rsidR="007A0E22" w:rsidRPr="00786594" w:rsidP="00786594" w14:paraId="15950E23" w14:textId="77777777">
      <w:pPr>
        <w:pStyle w:val="NormalHanging12a"/>
      </w:pPr>
      <w:r w:rsidRPr="00786594">
        <w:t>8.</w:t>
      </w:r>
      <w:r w:rsidRPr="00786594">
        <w:tab/>
        <w:t>tvrdí, že všeobecné využívání financování, které není spojeno s náklady, sice potenciálně snižuje administrativní zátěž, ale zároveň zvyšuje riziko nesrovnalostí, dvojího financování a podvodů, čímž se snižuje transparentnost a sledovatelnost finančních prostředků EU; zdůrazňuje, že nedostatečná vazba na náklady může vést k financování neživotaschopných projektů, které mají pouze splnit milníky, místo aby byly ekonomicky výhodné; zdůrazňuje kontrolní úlohu Parlamentu při dohledu nad plněním rozpočtu EU, zejména jeho pravomoc udělovat absolutorium; vyzývá k zajištění důkladné správy a řízení v příštím VFR, aby Parlament mohl plně vykonávat svou úlohu orgánu příslušného k udělení absolutoria;</w:t>
      </w:r>
    </w:p>
    <w:p w:rsidR="007A0E22" w:rsidRPr="00786594" w:rsidP="00786594" w14:paraId="124C2292" w14:textId="77777777">
      <w:pPr>
        <w:pStyle w:val="NormalHanging12a"/>
      </w:pPr>
      <w:r w:rsidRPr="00786594">
        <w:t>9.</w:t>
      </w:r>
      <w:r w:rsidRPr="00786594">
        <w:tab/>
        <w:t>bere na vědomí, že návrh VFR na období 2028–2034, předkládaný Komisí, obsahuje aspekty týkající se právního státu, a požaduje jednotný, soudržný a komplexní rámec napříč všemi programy financování EU, který by spadal pod nařízení o podmíněnosti dodržováním zásad právního státu; dále vyzývá k tomu, aby jakékoli uplatňování financování, které není spojeno s náklady, bylo plně slučitelné s uvedeným nařízením;</w:t>
      </w:r>
    </w:p>
    <w:p w:rsidR="007A0E22" w:rsidRPr="00786594" w:rsidP="00786594" w14:paraId="0DD6E3F4" w14:textId="77777777">
      <w:pPr>
        <w:pStyle w:val="NormalHanging12a"/>
      </w:pPr>
      <w:r w:rsidRPr="00786594">
        <w:t>10.</w:t>
      </w:r>
      <w:r w:rsidRPr="00786594">
        <w:tab/>
        <w:t xml:space="preserve">se znepokojením konstatuje, že na konci roku 2024 se úřad EPPO zabýval 311 aktivními případy souvisejícími s nástrojem NGEU, z nichž všechny kromě čtyř se týkaly Nástroje pro oživení a odolnost, což představuje přibližně 17 % všech aktivních vyšetřování podvodů v oblasti výdajů a nárůst přibližně o 51 % oproti roku 2023, pokud jde o případy v souvislosti s NGEU; dále konstatuje, že odhadovaná škoda na finančních zájmech EU činí 2,8 miliardy EUR, což představuje 30 % (oproti 25 % v roce 2023) celkové odhadované škody vyplývající ze všech podvodů v oblasti výdajů </w:t>
      </w:r>
      <w:r w:rsidRPr="00786594">
        <w:t>EU; zdůrazňuje, že počet případů hlášených orgány EU zůstává nízký, což vyvolává další obavy ohledně schopnosti Komise účinně dohlížet na provádění Nástroje pro oživení a odolnost; připomíná, že z 27 členských států EU spolupracuje v rámci úřadu EPPO v současné době 24 států;</w:t>
      </w:r>
    </w:p>
    <w:p w:rsidR="007A0E22" w:rsidRPr="00786594" w:rsidP="00786594" w14:paraId="07F3C1DD" w14:textId="77777777">
      <w:pPr>
        <w:pStyle w:val="NormalHanging12a"/>
      </w:pPr>
      <w:r w:rsidRPr="00786594">
        <w:t>11.</w:t>
      </w:r>
      <w:r w:rsidRPr="00786594">
        <w:tab/>
        <w:t>vyjadřuje znepokojení nad tím, že nástroje založené na výkonnosti využívající financování, které není spojeno s náklady, se zaměřují spíše na audity systémů než na kontroly skutečně vynaložených výdajů; varuje, že tyto audity systémů nemusí odhalit základní problémy, které se mohou přelévat a vážně ohrozit řádné finanční řízení rozpočtu Unie a ochranu finančních zájmů Unie; domnívá se, že i v rámci stávající finanční architektury a modelu čerpání finančních prostředků EU vykazovaly kontrolní systémy několika členských států systémové nedostatky, což vedlo k tomu, že se nepodařilo odhalit podvody nebo jiné nesrovnalosti a zabránit jim, například v případě OPEKEPE v Řecku nebo v případech týkajících se fondů pro rozvoj venkova na Slovensku, jakož i v dalších nedávných případech v několika členských státech, což dokazuje potřebu posílit dohled EU; vyzývá proto Komisi, aby přijala rozhodná nápravná opatření, posílila auditní a akreditační postupy a zajistila, aby se podobné systémové nedostatky nemohly opakovat, a to při dodržení zásady proporcionality, pokud jde o povinnosti týkající se podávání zpráv a dokumentace;</w:t>
      </w:r>
    </w:p>
    <w:p w:rsidR="007A0E22" w:rsidRPr="00786594" w:rsidP="00786594" w14:paraId="2D60F3EF" w14:textId="77777777">
      <w:pPr>
        <w:pStyle w:val="NormalHanging12a"/>
      </w:pPr>
      <w:r w:rsidRPr="00786594">
        <w:t>12.</w:t>
      </w:r>
      <w:r w:rsidRPr="00786594">
        <w:tab/>
        <w:t>se znepokojením konstatuje, že v právních předpisech upravujících nástroje založené na výkonnosti, jako je Nástroj pro oživení a odolnost, a v návrzích Komise na VFR na období 2028–2034 chybí jasné normy a prahové hodnoty pro případy, kdy jsou vnitrostátní řídicí a kontrolní systémy považovány za nedostatečné nebo nespolehlivé, což vede k tomu, že jsou nápravná opatření nebo pozastavení ponechána na volném uvážení;</w:t>
      </w:r>
    </w:p>
    <w:p w:rsidR="007A0E22" w:rsidRPr="00786594" w:rsidP="00786594" w14:paraId="7B7AD796" w14:textId="77777777">
      <w:pPr>
        <w:pStyle w:val="NormalHanging12a"/>
      </w:pPr>
      <w:r w:rsidRPr="00786594">
        <w:t>13.</w:t>
      </w:r>
      <w:r w:rsidRPr="00786594">
        <w:tab/>
        <w:t>zdůrazňuje, že všeobecné využívání financování, které není spojeno s náklady, vyžaduje, aby EÚD a vnitrostátní auditní orgány výrazně upravily svou činnost a přešly k odlišnému přístupu k auditu; varuje, že takový posun, aniž by byla zajištěna připravenost auditních orgánů, bude představovat značné výzvy a mohl by vytvořit strukturální nedostatek v auditní stopě a mít vážné důsledky jak pro řádné finanční řízení rozpočtu Unie, tak pro postup udělování absolutoria;</w:t>
      </w:r>
    </w:p>
    <w:p w:rsidR="007A0E22" w:rsidRPr="00786594" w:rsidP="00786594" w14:paraId="32AD8570" w14:textId="77777777">
      <w:pPr>
        <w:pStyle w:val="NormalHanging12a"/>
      </w:pPr>
      <w:r w:rsidRPr="00786594">
        <w:t>14.</w:t>
      </w:r>
      <w:r w:rsidRPr="00786594">
        <w:tab/>
        <w:t>vyjadřuje politování nad neúplnými auditními stopami, které EÚD zaznamenal v rámci nástrojů založených na výkonnosti, jako je Nástroj pro oživení a odolnost, což oslabuje sledovatelnost a omezuje schopnost Parlamentu a EÚD vykonávat kontrolu;</w:t>
      </w:r>
    </w:p>
    <w:p w:rsidR="007A0E22" w:rsidRPr="00786594" w:rsidP="00786594" w14:paraId="45E4DB8D" w14:textId="77777777">
      <w:pPr>
        <w:pStyle w:val="NormalHanging12a"/>
      </w:pPr>
      <w:r w:rsidRPr="00786594">
        <w:t>15.</w:t>
      </w:r>
      <w:r w:rsidRPr="00786594">
        <w:tab/>
        <w:t>zdůrazňuje, že přílišné spoléhání se na vnitrostátní orgány a externí auditory bez silných záruk a podrobných pokynů Komise, technické pomoci a specializovaného školení o metodice auditu výkonnosti vede k tomu, že hrozí různost kvality a nezávislosti kontrol, což vystavuje EU reputačnímu riziku; zdůrazňuje, že podpora vnitrostátních auditních orgánů přispěje k lepší kvalitě a větší soudržnosti;</w:t>
      </w:r>
    </w:p>
    <w:p w:rsidR="007A0E22" w:rsidRPr="00786594" w:rsidP="00786594" w14:paraId="77C77D19" w14:textId="77777777">
      <w:pPr>
        <w:pStyle w:val="NormalHanging12a"/>
      </w:pPr>
      <w:r w:rsidRPr="00786594">
        <w:t>16.</w:t>
      </w:r>
      <w:r w:rsidRPr="00786594">
        <w:tab/>
        <w:t>zdůrazňuje, že čerpání nebo vyplácení finančních prostředků není z definice ukazatelem úspěšnosti; vyjadřuje politování nad tím, že v posledních změnách národních plánů pro oživení a odolnost vedlo zaměření na čerpání finančních prostředků ke snížení původně plánovaných ambicí, zejména v souvislosti s reformami;</w:t>
      </w:r>
    </w:p>
    <w:p w:rsidR="007A0E22" w:rsidRPr="00786594" w:rsidP="00786594" w14:paraId="3B170FDC" w14:textId="77777777">
      <w:pPr>
        <w:pStyle w:val="NormalHanging12a"/>
      </w:pPr>
      <w:r w:rsidRPr="00786594">
        <w:t>17.</w:t>
      </w:r>
      <w:r w:rsidRPr="00786594">
        <w:tab/>
        <w:t xml:space="preserve">připomíná, že auditní subjekty v členských státech musí dodržovat mezinárodně uznávané normy pro audit; varuje, že pokud tak neučiní, oslabí to spolehlivost jejich </w:t>
      </w:r>
      <w:r w:rsidRPr="00786594">
        <w:t>práce a vyvstávají tím rizika pro strategii jednotného auditu; bere na vědomí opakovaná zjištění EÚD o nedostatcích některých vnitrostátních auditních orgánů, pokud jde o rozsah, kvalitu, dokumentaci a podávání zpráv; zdůrazňuje potřebu jasného rámce odpovědností, aby byla zaručena kvalita a soudržnost;</w:t>
      </w:r>
    </w:p>
    <w:p w:rsidR="007A0E22" w:rsidRPr="00786594" w:rsidP="00786594" w14:paraId="7EC8346C" w14:textId="77777777">
      <w:pPr>
        <w:pStyle w:val="NormalHanging12a"/>
      </w:pPr>
      <w:r w:rsidRPr="00786594">
        <w:t>18.</w:t>
      </w:r>
      <w:r w:rsidRPr="00786594">
        <w:tab/>
        <w:t>zdůrazňuje, že nejednotné informační a datové systémy v členských státech zvyšují riziko chyb, nesrovnalostí, dvojího financování, zpoždění a nejednotného podávání zpráv; připomíná, že v zájmu zajištění plné sledovatelnosti finančních prostředků EU Parlament v souvislosti s přepracováním finančního nařízení opakovaně vyzýval k vytvoření jednotného, integrovaného a interoperabilního informačního a monitorovacího systému, včetně jednotného nástroje pro vytěžování údajů a hodnocení rizik, který by vycházel mimo jiné ze stávajících nástrojů a databází; vyjadřuje však politování nad tím, že členské státy odmítají zavést povinné používání tohoto systému od začátku platnosti příštího VFR; vítá pokračující úsilí Komise o vytvoření takového interoperabilního systému na základě nástroje ARACHNE a naléhavě vyzývá všechny členské státy, aby tento systém plně využívaly; zdůrazňuje, že účinnost jakéhokoli nového modelu financování závisí na spolehlivosti a ucelenosti podkladových údajů a monitorovacích nástrojů; poukazuje na to, že je důležité vytvořit takový interoperabilní systém, který by byl v souladu s obecným nařízením o ochraně osobních údajů (GDPR)</w:t>
      </w:r>
      <w:r>
        <w:rPr>
          <w:rStyle w:val="FootnoteReference"/>
        </w:rPr>
        <w:footnoteReference w:id="14"/>
      </w:r>
      <w:r w:rsidRPr="00786594">
        <w:t xml:space="preserve">; podtrhuje, že takový systém musí poskytovat přesné a včasné informace, minimalizovat falešně pozitivní výsledky a spolehlivě fungovat; </w:t>
      </w:r>
    </w:p>
    <w:p w:rsidR="007A0E22" w:rsidRPr="00786594" w:rsidP="00786594" w14:paraId="61901AB4" w14:textId="77777777">
      <w:pPr>
        <w:pStyle w:val="NormalHanging12a"/>
      </w:pPr>
      <w:r w:rsidRPr="00786594">
        <w:t>19.</w:t>
      </w:r>
      <w:r w:rsidRPr="00786594">
        <w:tab/>
        <w:t>zdůrazňuje, že do sdíleného řízení v příštím VFR musejí být na základě víceúrovňového přístupu k řízení zapojeny regionální a místní orgány a zúčastněné strany, a to i v případě nástrojů založených na výkonnosti, jak ve fázi navrhování, rozhodování a plánování, tak ve fázi jejich zavádění a realizace, aby se zajistila přidaná hodnota přeshraničních projektů pro EU a aby byl kladen důraz spíše na měřitelné výsledky než na výstupy;</w:t>
      </w:r>
    </w:p>
    <w:p w:rsidR="007A0E22" w:rsidRPr="00786594" w:rsidP="00786594" w14:paraId="705D54D0" w14:textId="77777777">
      <w:pPr>
        <w:pStyle w:val="NormalHanging12a"/>
      </w:pPr>
      <w:r w:rsidRPr="00786594">
        <w:t>20.</w:t>
      </w:r>
      <w:r w:rsidRPr="00786594">
        <w:tab/>
        <w:t>konstatuje, že kombinování grantů a finančních nástrojů v rámcích založených na výkonnosti vede k větší složitosti a zvyšuje riziko dvojího financování, nesrovnalostí, podvodů, nadměrné kompenzace nákladů a slabých řetězců odpovědnosti; poukazuje zejména na to, že pokud financování není spojeno s náklady, vede absence ověřování nákladů k dalšímu zvyšování rizika překrývání mezi různými zdroji financování a k obtížnému zajištění řádného finančního řízení;</w:t>
      </w:r>
    </w:p>
    <w:p w:rsidR="007A0E22" w:rsidRPr="00786594" w:rsidP="00786594" w14:paraId="478B9F35" w14:textId="77777777">
      <w:pPr>
        <w:pStyle w:val="NormalHanging12a"/>
      </w:pPr>
      <w:r w:rsidRPr="00786594">
        <w:t>21.</w:t>
      </w:r>
      <w:r w:rsidRPr="00786594">
        <w:tab/>
        <w:t xml:space="preserve">zdůrazňuje, že monitorování založené na výkonnosti nemusí vést nutně k nižší administrativní zátěži, jelikož slabé systémy ověřování mohou vytvářet skryté náklady, aniž by byla zaručena větší jistota; vyzývá Komisi, aby zjednodušila ukazatele výkonnosti a šablony pro podávání zpráv, odstranila nadbytečné žádosti o údaje a řešila problém zbytečně složitých žádostí o platby; domnívá se, že případný přechod k využívání takových modelů provádění programů, které by byly založeny na výkonnosti, vyžaduje budování kapacit na úrovni EU a v členských státech, jelikož </w:t>
      </w:r>
      <w:r w:rsidRPr="00786594">
        <w:t>se potřeby v oblasti monitorování, kontroly a auditu v případě takových modelů liší od potřeb v případě nástrojů založených na úhradě způsobilých nákladů;</w:t>
      </w:r>
    </w:p>
    <w:p w:rsidR="007A0E22" w:rsidRPr="00786594" w:rsidP="00786594" w14:paraId="5267809B" w14:textId="77777777">
      <w:pPr>
        <w:pStyle w:val="NormalHanging12a"/>
      </w:pPr>
      <w:r w:rsidRPr="00786594">
        <w:t>22.</w:t>
      </w:r>
      <w:r w:rsidRPr="00786594">
        <w:tab/>
        <w:t>varuje, že v současném geopolitickém kontextu a vzhledem k vyššímu rozpočtovému tlaku hrozí, že stále častější využívání nástrojů založených na výkonnosti bez toho, že by se řešily nedostatky zjištěné v rámci Nástroje pro oživení a odolnost, mimo jiné na základě důslednější parlamentní kontroly, povede k posunu institucionální rovnováhy ve prospěch diskreční pravomoci výkonné moci a k odklonu od demokratické odpovědnosti; trvá na tom, že součástí jakéhokoli modelu řízení v případě nástrojů založených na výkonnosti musí být za rovných podmínek Parlament i Rada; odmítá jakýkoli návrh, který by narušil institucionální rovnováhu a omezil úlohu Parlamentu jakožto rozpočtového orgánu a orgánu příslušného k udělení absolutoria;</w:t>
      </w:r>
    </w:p>
    <w:p w:rsidR="007A0E22" w:rsidRPr="00786594" w:rsidP="00786594" w14:paraId="67BD97AB" w14:textId="77777777">
      <w:pPr>
        <w:pStyle w:val="Normal12a"/>
        <w:ind w:left="566" w:hanging="566"/>
      </w:pPr>
      <w:r w:rsidRPr="00786594">
        <w:rPr>
          <w:b/>
          <w:i/>
        </w:rPr>
        <w:t>Doporučení týkající se přísnější kontroly a větší transparentnosti a odpovědnosti v případě nástrojů založených na výkonnosti</w:t>
      </w:r>
    </w:p>
    <w:p w:rsidR="007A0E22" w:rsidRPr="00786594" w:rsidP="00786594" w14:paraId="6F706165" w14:textId="77777777">
      <w:pPr>
        <w:pStyle w:val="NormalHanging12a"/>
      </w:pPr>
      <w:r w:rsidRPr="00786594">
        <w:t>23.</w:t>
      </w:r>
      <w:r w:rsidRPr="00786594">
        <w:tab/>
        <w:t>domnívá se, že v případě nástrojů založených na výkonnosti by neměl být jako obecná metoda realizace nebo úhrady mezi členskými státy a příjemci používán model financování, které není spojeno s náklady, s výjimkou menších příjemců, kteří realizují projekty pod určitou finanční prahovou hodnotou, což jim umožňuje použít jednodušší systém realizace, ale zároveň zajišťuje propracovaný kontrolní rámec; zdůrazňuje zejména, že rozsáhlé komplexní projekty by měly být i nadále založeny na nákladech, jelikož jejich rozsah, doba trvání a víceúrovňové financování vyžadují podrobné finanční výkazy a ověřitelné údaje o výdajích, aby bylo zajištěno jejich řádné monitorování a odpovědnost; poukazuje na to, že je důležité zavést mechanismus zpětného získávání prostředků v případech, kdy dojde k významným odchylkám mezi předběžnými odhady nákladů a následnými kontrolami, zejména pokud jsou náklady na realizované projekty nižší, než se původně odhadovalo; zdůrazňuje, že tyto úpravy musejí odrážet skutečné výdaje, aby byla zajištěna finanční integrita, efektivita nákladů a odpovědnost; vyzývá k dalšímu rozšířenému využívání jednorázových částek a jednoduššího vykazování nákladů, zejména u menších nebo středních investic, jako účinných a přiměřených nástrojů ke snížení administrativní zátěže, zvýšení dostupnosti pro menší příjemce a zachování odpovědnosti a sledovatelnosti při využívání finančních prostředků Unie;</w:t>
      </w:r>
    </w:p>
    <w:p w:rsidR="007A0E22" w:rsidRPr="00786594" w:rsidP="00786594" w14:paraId="45555D92" w14:textId="77777777">
      <w:pPr>
        <w:pStyle w:val="NormalHanging"/>
      </w:pPr>
      <w:r w:rsidRPr="00786594">
        <w:t>24.</w:t>
      </w:r>
      <w:r w:rsidRPr="00786594">
        <w:tab/>
        <w:t>trvá na tom, že zjednodušený rozpočet musí vést rovněž k transparentnímu rozpočtu; naléhavě vyzývá Komisi, aby veřejnosti poskytla přístup k procesním informacím, mj. pokud jde o metodiku odhadu nákladů, a aby Parlamentu zajistila přístup k odhadovaným nákladům na plány národního a regionálního partnerství;</w:t>
      </w:r>
    </w:p>
    <w:p w:rsidR="007A0E22" w:rsidRPr="00786594" w:rsidP="00786594" w14:paraId="76F389DF" w14:textId="77777777">
      <w:pPr>
        <w:pStyle w:val="NormalHanging12a"/>
      </w:pPr>
      <w:r w:rsidRPr="00786594">
        <w:t>25.</w:t>
      </w:r>
      <w:r w:rsidRPr="00786594">
        <w:tab/>
        <w:t>vyzývá k vytvoření jednotného systému odpovědnosti, který by umožnil sledovat příspěvky z rozpočtu EU na konkrétní projekty a jejich skutečné konečné příjemce, včetně dodavatelů a subdodavatelů, ale i skutečné majitele; zdůrazňuje, že je důležité zajistit, aby byly projekty financované Evropskou unií pro občany viditelné; poukazuje na to, že je nezbytné propojit platby s dosahováním ucelených, jasně definovaných milníků a plněním cílů, aby byl zajištěn větší soulad mezi reformami a investicemi; zdůrazňuje, že je důležité zavést sytém následného hodnocení, který by byl založen na cílech dosažených pomocí jednotlivých nástrojů, měřených podle jejich ukazatelů výkonnosti;</w:t>
      </w:r>
    </w:p>
    <w:p w:rsidR="007A0E22" w:rsidRPr="00786594" w:rsidP="00786594" w14:paraId="77FD1610" w14:textId="77777777">
      <w:pPr>
        <w:pStyle w:val="NormalHanging12a"/>
      </w:pPr>
      <w:r w:rsidRPr="00786594">
        <w:t>26.</w:t>
      </w:r>
      <w:r w:rsidRPr="00786594">
        <w:tab/>
        <w:t>poukazuje na to, že financování ze strany Unie by mělo být poskytováno pouze na opatření přímo spojená s konkrétními ověřitelnými projekty, které vykazují hmatatelný pokrok, dosahují měřitelných výsledků, přispívají k cílům politiky Unie a mohou být účinně monitorovány a kontrolovány a které by podléhaly transparentnímu vykazování, mj. pokud jde o efektivitu nákladů a požadavky na jejich viditelnost;</w:t>
      </w:r>
    </w:p>
    <w:p w:rsidR="007A0E22" w:rsidRPr="00786594" w:rsidP="00786594" w14:paraId="43444CF0" w14:textId="77777777">
      <w:pPr>
        <w:pStyle w:val="NormalHanging12a"/>
      </w:pPr>
      <w:r w:rsidRPr="00786594">
        <w:t>27.</w:t>
      </w:r>
      <w:r w:rsidRPr="00786594">
        <w:tab/>
        <w:t>vyzývá Komisi, aby nezaváděla složité nebo spekulativní metodiky odhadu nákladů, které by mohly omezit transparentnost a srovnatelnost mezi členskými státy; namísto toho naléhavě vyzývá k vypracování a širšímu využívání harmonizovaných a ověřitelných možností jednoduššího vykazování nákladů, které by zajistily jasnost, snížily administrativní zátěž a zachovaly přiměřenou úroveň odpovědnosti;</w:t>
      </w:r>
    </w:p>
    <w:p w:rsidR="007A0E22" w:rsidRPr="00786594" w:rsidP="00786594" w14:paraId="2E486709" w14:textId="77777777">
      <w:pPr>
        <w:pStyle w:val="NormalHanging12a"/>
      </w:pPr>
      <w:r w:rsidRPr="00786594">
        <w:t>28.</w:t>
      </w:r>
      <w:r w:rsidRPr="00786594">
        <w:tab/>
        <w:t>vyzývá jednak k zavedení jednoznačných kritérií souladu, s cílem zjistit, kdy nástroje založené na výkonnosti dosahují plánovaných výstupů nebo výsledků, a jednak k používání jednotných definic ve všech členských státech;</w:t>
      </w:r>
    </w:p>
    <w:p w:rsidR="007A0E22" w:rsidRPr="00786594" w:rsidP="00786594" w14:paraId="2AA58190" w14:textId="77777777">
      <w:pPr>
        <w:pStyle w:val="NormalHanging12a"/>
      </w:pPr>
      <w:r w:rsidRPr="00786594">
        <w:t>29.</w:t>
      </w:r>
      <w:r w:rsidRPr="00786594">
        <w:tab/>
        <w:t>vyzývá k pravidelnému posuzování skutečných nákladů vzniklých při používání nástrojů založených na výkonnosti oproti odhadům nákladů, které vypracovaly členské státy, aby se zabránilo nesrovnalostem; domnívá se, že toto posuzování by mělo vést k automatickému zahájení kontrol a auditů v případech, kdy existují významné rozdíly mezi skutečnými a odhadovanými náklady;</w:t>
      </w:r>
    </w:p>
    <w:p w:rsidR="007A0E22" w:rsidRPr="00786594" w:rsidP="00786594" w14:paraId="2A683B1E" w14:textId="77777777">
      <w:pPr>
        <w:pStyle w:val="NormalHanging12a"/>
      </w:pPr>
      <w:r w:rsidRPr="00786594">
        <w:t>30.</w:t>
      </w:r>
      <w:r w:rsidRPr="00786594">
        <w:tab/>
        <w:t>trvá na tom, že při veškerém používání modelu financování, které není spojeno s náklady, je nutné zajistit korelaci mezi žádostmi o platby a dosahováním milníků a cílů na jedné straně a realizací konkrétních projektů na straně druhé; zdůrazňuje, že bez této korelace je vážně ohrožena možnost sledování finančních prostředků Unie;</w:t>
      </w:r>
    </w:p>
    <w:p w:rsidR="007A0E22" w:rsidRPr="00786594" w:rsidP="00786594" w14:paraId="7BB0C483" w14:textId="77777777">
      <w:pPr>
        <w:pStyle w:val="NormalHanging12a"/>
      </w:pPr>
      <w:r w:rsidRPr="00786594">
        <w:t>31.</w:t>
      </w:r>
      <w:r w:rsidRPr="00786594">
        <w:tab/>
        <w:t>vyzývá k vytvoření jednotného, integrovaného a interoperabilního informačního a monitorovacího systému, včetně jednotného nástroje pro vytěžování údajů a hodnocení rizik; trvá na tom, že podmínkou přístupu k finančním prostředkům Unie v příštím VFR musí být používání tohoto nového interoperabilního systému; požaduje, aby Komise vytvořila veřejně přístupné přehledy, které by občanům umožnily posoudit hodnotu vytvořenou financováním ze strany EU; vyzývá Komisi, aby zavedla pokročilé nástroje pro analýzu dat a nástroje založené na umělé inteligenci s cílem zlepšit za účelem ochrany finančních zájmů Unie sledování výkonnosti, hodnocení a podávání zpráv, snížit manuální zátěž, zefektivnit proces podávání zpráv a zabránit dvojímu financování a dalším rizikům;</w:t>
      </w:r>
    </w:p>
    <w:p w:rsidR="007A0E22" w:rsidRPr="00786594" w:rsidP="00786594" w14:paraId="476FD4E5" w14:textId="77777777">
      <w:pPr>
        <w:pStyle w:val="NormalHanging12a"/>
      </w:pPr>
      <w:r w:rsidRPr="00786594">
        <w:t>32.</w:t>
      </w:r>
      <w:r w:rsidRPr="00786594">
        <w:tab/>
        <w:t>požaduje, aby Komise stanovila a zveřejnila jasné prahové hodnoty pro nápravná opatření, včetně míry závažnosti případných pochybení, s cílem zaručit rovné zacházení a důsledné prosazování předpisů;</w:t>
      </w:r>
    </w:p>
    <w:p w:rsidR="007A0E22" w:rsidRPr="00786594" w:rsidP="00786594" w14:paraId="2847200C" w14:textId="77777777">
      <w:pPr>
        <w:pStyle w:val="NormalHanging12a"/>
      </w:pPr>
      <w:r w:rsidRPr="00786594">
        <w:t>33.</w:t>
      </w:r>
      <w:r w:rsidRPr="00786594">
        <w:tab/>
        <w:t>trvá na tom, že dosahování milníků a plnění cílů musí Komise hodnotit s přihlédnutím k údajům, které jí poskytují členské státy, a že se přitom musí řídit transparentní a standardizovanou metodikou, přičemž musí předložit bodové hodnocení a podložené odůvodnění veškerých odchylek nad zákonnou prahovou hodnotou; vyzývá k tomu, aby bylo veškeré toto hodnocení zpřístupněno Parlamentu a EÚD;</w:t>
      </w:r>
    </w:p>
    <w:p w:rsidR="007A0E22" w:rsidRPr="00786594" w:rsidP="00786594" w14:paraId="4BA53171" w14:textId="77777777">
      <w:pPr>
        <w:pStyle w:val="NormalHanging12a"/>
      </w:pPr>
      <w:r w:rsidRPr="00786594">
        <w:t>34.</w:t>
      </w:r>
      <w:r w:rsidRPr="00786594">
        <w:tab/>
        <w:t xml:space="preserve">požaduje větší transparentnost při uplatňování nástrojů založených na výkonnosti, která vyžaduje včasné zveřejňování všech hodnocení Komise, zpráv členských států, shrnutí auditů a opatření k vymáhání finančních prostředků, a to ve formátu, který by byl </w:t>
      </w:r>
      <w:r w:rsidRPr="00786594">
        <w:t>přístupný, srovnatelný, ověřitelný a uživatelsky vstřícný, aby se zajistila možnost kontroly využívání finančních prostředků Unie ze strany Parlamentu, EÚD i občanů; zdůrazňuje, že přístup k informacím by měl fungovat jako kaskáda, kdy by měl EÚD v návaznosti na rozhodnutí Soudního dvora Evropské unie neomezený přístup k příslušným údajům v reálném čase, Parlament neomezené právo klást otázky a požadovat informace a občané přiměřený transparentní přístup k informacím; připomíná, že veškerá opatření v oblasti transparentnosti musejí být v souladu s požadavky na ochranu údajů podle obecného nařízení o ochraně osobních údajů a dalších příslušných právních předpisů Unie; zdůrazňuje, že veřejně dostupné údaje musejí přesně odrážet skutečnou realizaci projektů a dosažený pokrok, a nikoli plánované závazky nebo platby provedené výhradně za účelem dosažení milníků a splnění cílů v rámci vnitrostátních plánů, a poskytovat tak skutečný přehled o výsledcích dosažených v praxi;</w:t>
      </w:r>
    </w:p>
    <w:p w:rsidR="007A0E22" w:rsidRPr="00786594" w:rsidP="00786594" w14:paraId="1B66A806" w14:textId="77777777">
      <w:pPr>
        <w:pStyle w:val="NormalHanging12a"/>
      </w:pPr>
      <w:r w:rsidRPr="00786594">
        <w:t>35.</w:t>
      </w:r>
      <w:r w:rsidRPr="00786594">
        <w:tab/>
        <w:t>poukazuje na to, že EÚD musí mít přístup ke všem databázím a informačním systémům Komise používaným ke shromažďování, výměně a sledování údajů mezi Komisí a členskými státy; zdůrazňuje, že EÚD by měl mít přímý a rychlý přístup k původním údajům zaznamenaným v systému, aniž by došlo k jejich předchozí změně, sloučení nebo úpravě ze strany vnitrostátních orgánů nebo útvarů Komise; poukazuje na to, že tento přístup má zásadní význam pro zajištění nezávislosti, spolehlivosti a účinnosti auditů a pro zachování transparentnosti a odpovědnosti při plnění rozpočtu Unie;</w:t>
      </w:r>
    </w:p>
    <w:p w:rsidR="007A0E22" w:rsidRPr="00786594" w:rsidP="00786594" w14:paraId="4C48BE34" w14:textId="77777777">
      <w:pPr>
        <w:pStyle w:val="NormalHanging12a"/>
      </w:pPr>
      <w:r w:rsidRPr="00786594">
        <w:t>36.</w:t>
      </w:r>
      <w:r w:rsidRPr="00786594">
        <w:tab/>
        <w:t>vyzývá ke zlepšení při podávání zpráv o nástrojích založených na výkonnosti, tak aby zahrnovaly údaje na úrovni projektů, podobně jako je tomu v případě údajů v rámci politiky soudržnosti, a aby v nich byly uvedeny informace o zeměpisném rozložení financování a opatřeních na nižší než celostátní úrovni;</w:t>
      </w:r>
    </w:p>
    <w:p w:rsidR="007A0E22" w:rsidRPr="00786594" w:rsidP="00786594" w14:paraId="1DB5AA6F" w14:textId="77777777">
      <w:pPr>
        <w:pStyle w:val="NormalHanging12a"/>
      </w:pPr>
      <w:r w:rsidRPr="00786594">
        <w:t>37.</w:t>
      </w:r>
      <w:r w:rsidRPr="00786594">
        <w:tab/>
        <w:t>vyzývá ke zlepšení auditních stop tím, že se bude vyžadovat systematická dokumentace ověřovacích kroků a zajistí se, aby záznamy byly úplné a přístupné, s možností kontroly jak na úrovni EU, tak na úrovni členských států;</w:t>
      </w:r>
    </w:p>
    <w:p w:rsidR="007A0E22" w:rsidRPr="00786594" w:rsidP="00786594" w14:paraId="5D581A1F" w14:textId="77777777">
      <w:pPr>
        <w:pStyle w:val="NormalHanging12a"/>
      </w:pPr>
      <w:r w:rsidRPr="00786594">
        <w:t>38.</w:t>
      </w:r>
      <w:r w:rsidRPr="00786594">
        <w:tab/>
        <w:t>požaduje, aby Komise zavedla spolehlivé záruky, které by zajistily důslednou, nezávislou a kvalitní auditní činnost ve všech členských státech, mj. prostřednictvím podrobných metodických pokynů, trvalé odborné pomoci v případech, kdy auditní orgány vykazují přetrvávající nedostatky, a specializovaných školení o standardech auditu výkonnosti; trvá na tom, že spoléhání se na vnitrostátní orgány a externí auditory musí být podmíněno dodržováním těchto záruk, aby se zabránilo kolísavé úrovni kvality; vyzývá členské státy, aby zavedly záruky, které by zajistily nezávislost vnitrostátních kontrolních orgánů na politických a správních orgánech odpovědných za správu fondů;</w:t>
      </w:r>
    </w:p>
    <w:p w:rsidR="007A0E22" w:rsidRPr="00786594" w:rsidP="00786594" w14:paraId="17EF0123" w14:textId="77777777">
      <w:pPr>
        <w:pStyle w:val="NormalHanging12a"/>
      </w:pPr>
      <w:r w:rsidRPr="00786594">
        <w:t>39.</w:t>
      </w:r>
      <w:r w:rsidRPr="00786594">
        <w:tab/>
        <w:t>vyzývá k zavedení prediktivních analytických nástrojů založených na umělé inteligenci a schopností strojového učení, které by auditorům umožnily provádět posuzování rizik v reálném čase, účinněji odhalovat anomálie a provádět audity optimálního vynakládání prostředků a cílené kontroly v případech, kdy EÚD opakovaně zjistí nesrovnalosti; zdůrazňuje, že je důležité využívat automatizované nástroje pro vytěžování dat a umělou inteligenci k vyhledávání anomálií a zároveň se vyhnout tomu, aby měli příjemci, kteří dodržují předpisy, stanoveny další oznamovací povinnosti; připomíná, že tyto technologie umělé inteligence musejí být používány zcela v souladu s pravidly EU pro ochranu osobních údajů a musejí být podpořeny komplexním proškolením vnitrostátních kontrolních orgánů;</w:t>
      </w:r>
    </w:p>
    <w:p w:rsidR="007A0E22" w:rsidRPr="00786594" w:rsidP="00786594" w14:paraId="470B6871" w14:textId="77777777">
      <w:pPr>
        <w:pStyle w:val="NormalHanging12a"/>
      </w:pPr>
      <w:r w:rsidRPr="00786594">
        <w:t>40.</w:t>
      </w:r>
      <w:r w:rsidRPr="00786594">
        <w:tab/>
        <w:t>požaduje, aby Komise posílila záruky pro finanční nástroje, včetně přísnějších stropů týkajících se poplatků za správu, transparentních pravidel pro přímé přidělování finančních prostředků a kontrol, které by zabránily dvojímu financování a porušování pravidel státní podpory; požaduje, aby stropy týkající se poplatků za správu, zejména při přímém přidělování finančních prostředků správcům fondů u kapitálových nebo kvazikapitálových produktů, nesnižovaly nákladovou efektivitu podpory Unie, zejména v případě nevelkého objemu operací;</w:t>
      </w:r>
    </w:p>
    <w:p w:rsidR="007A0E22" w:rsidRPr="00786594" w:rsidP="00786594" w14:paraId="1BB290E4" w14:textId="77777777">
      <w:pPr>
        <w:pStyle w:val="NormalHanging12a"/>
      </w:pPr>
      <w:r w:rsidRPr="00786594">
        <w:t>41.</w:t>
      </w:r>
      <w:r w:rsidRPr="00786594">
        <w:tab/>
        <w:t>opakuje, že je třeba zvýšit transparentnost rozšířením modelu srovnávacího přehledu v rámci Nástroje pro oživení na všechny nástroje založené na výkonnosti, zlepšit včasné podávání zpráv členských států a jejich srovnatelnost a zajistit přístup veřejnosti, sledovatelnost a odpovědnost; naléhavě vyzývá Komisi, aby zajistila úplnou interoperabilitu unijních a vnitrostátních datových systémů, omezila manuální vstupy, zlepšila kvalitu údajů a umožnila jejich sledování v reálném čase až na úroveň konečných příjemců; v této souvislosti vyzývá Komisi, aby zajistila, aby byly údaje o skutečných konečných příjemcích finančních prostředků z nástrojů založených na výkonnosti, včetně dodavatelů a subdodavatelů, v reálném čase k dispozici auditním orgánům a orgánům příslušným k udělení absolutoria a také Úřadu evropského veřejného žalobce a Evropskému úřadu pro boj proti podvodům;</w:t>
      </w:r>
    </w:p>
    <w:p w:rsidR="007A0E22" w:rsidRPr="00786594" w:rsidP="00786594" w14:paraId="2C6D4C80" w14:textId="77777777">
      <w:pPr>
        <w:pStyle w:val="NormalHanging"/>
      </w:pPr>
      <w:r w:rsidRPr="00786594">
        <w:t>42.</w:t>
      </w:r>
      <w:r w:rsidRPr="00786594">
        <w:tab/>
        <w:t>trvá na tom, že je nutné neomezeně respektovat výsady Parlamentu jakožto normotvůrce, rozpočtového orgánu a orgánu příslušného k udělení absolutoria a že mu musí být umožněn přístup ke všem údajům, které potřebuje k výkonu své funkce;</w:t>
      </w:r>
    </w:p>
    <w:p w:rsidR="00786594" w:rsidRPr="00786594" w:rsidP="00786594" w14:paraId="1A2E624C" w14:textId="77777777">
      <w:pPr>
        <w:pStyle w:val="NormalCenter12a"/>
        <w:ind w:left="566" w:hanging="566"/>
      </w:pPr>
      <w:r w:rsidRPr="00786594">
        <w:t>°</w:t>
      </w:r>
    </w:p>
    <w:p w:rsidR="00786594" w:rsidRPr="00786594" w:rsidP="00786594" w14:paraId="779C0024" w14:textId="77777777">
      <w:pPr>
        <w:pStyle w:val="NormalCenter12a"/>
        <w:ind w:left="566" w:hanging="566"/>
      </w:pPr>
      <w:r w:rsidRPr="00786594">
        <w:t>°     °</w:t>
      </w:r>
    </w:p>
    <w:p w:rsidR="00E365E1" w:rsidRPr="00786594" w:rsidP="00786594" w14:paraId="14C9F90E" w14:textId="2364D5F8">
      <w:pPr>
        <w:pStyle w:val="NormalHanging12a"/>
      </w:pPr>
      <w:r w:rsidRPr="00786594">
        <w:t>43.</w:t>
      </w:r>
      <w:r w:rsidRPr="00786594">
        <w:tab/>
        <w:t>pověřuje svou předsedkyni, aby předala toto usnesení Radě a Komisi.</w:t>
      </w:r>
    </w:p>
    <w:sectPr w:rsidSect="009743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43F5" w14:paraId="2134F6A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43F5" w14:paraId="50A2ECE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43F5" w14:paraId="242521D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F213B" w:rsidRPr="009743F5" w14:paraId="2931C3EB" w14:textId="77777777">
      <w:r w:rsidRPr="009743F5">
        <w:separator/>
      </w:r>
    </w:p>
  </w:footnote>
  <w:footnote w:type="continuationSeparator" w:id="1">
    <w:p w:rsidR="00BF213B" w:rsidRPr="009743F5" w14:paraId="2D14F414" w14:textId="77777777">
      <w:r w:rsidRPr="009743F5">
        <w:continuationSeparator/>
      </w:r>
    </w:p>
  </w:footnote>
  <w:footnote w:id="2">
    <w:p w:rsidR="007A0E22" w:rsidRPr="009743F5" w:rsidP="009743F5" w14:paraId="1E92D601" w14:textId="3E0F7C7F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1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L 433 I, 22.12.2020, s. 11, ELI: </w:t>
      </w:r>
      <w:hyperlink r:id="rId1" w:tgtFrame="http://data.europa.eu/eli/reg/2020/2093/oj" w:history="1">
        <w:r w:rsidRPr="009743F5">
          <w:rPr>
            <w:rStyle w:val="Hyperlink"/>
            <w:sz w:val="24"/>
            <w:lang w:val="cs-CZ"/>
          </w:rPr>
          <w:t>http://data.europa.eu/eli/reg/2020/2093/oj</w:t>
        </w:r>
      </w:hyperlink>
      <w:r w:rsidRPr="009743F5">
        <w:rPr>
          <w:sz w:val="24"/>
          <w:lang w:val="cs-CZ"/>
        </w:rPr>
        <w:t>.</w:t>
      </w:r>
    </w:p>
  </w:footnote>
  <w:footnote w:id="3">
    <w:p w:rsidR="007A0E22" w:rsidRPr="009743F5" w:rsidP="009743F5" w14:paraId="0228AB06" w14:textId="5ADF0426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2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L, 2024/2509, 26.9.2024, ELI: </w:t>
      </w:r>
      <w:hyperlink r:id="rId2" w:tgtFrame="http://data.europa.eu/eli/reg/2024/2509/oj" w:history="1">
        <w:r w:rsidRPr="009743F5">
          <w:rPr>
            <w:rStyle w:val="Hyperlink"/>
            <w:sz w:val="24"/>
            <w:lang w:val="cs-CZ"/>
          </w:rPr>
          <w:t>http://data.europa.eu/eli/reg/2024/2509/oj</w:t>
        </w:r>
      </w:hyperlink>
      <w:r w:rsidRPr="009743F5">
        <w:rPr>
          <w:sz w:val="24"/>
          <w:lang w:val="cs-CZ"/>
        </w:rPr>
        <w:t>.</w:t>
      </w:r>
    </w:p>
  </w:footnote>
  <w:footnote w:id="4">
    <w:p w:rsidR="007A0E22" w:rsidRPr="009743F5" w:rsidP="009743F5" w14:paraId="6D35C3AB" w14:textId="310FFAE2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3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L 433 I, 22.12.2020, s. 1, ELI: </w:t>
      </w:r>
      <w:hyperlink r:id="rId3" w:tgtFrame="http://data.europa.eu/eli/reg/2020/2092/oj" w:history="1">
        <w:r w:rsidRPr="009743F5">
          <w:rPr>
            <w:rStyle w:val="Hyperlink"/>
            <w:sz w:val="24"/>
            <w:lang w:val="cs-CZ"/>
          </w:rPr>
          <w:t>http://data.europa.eu/eli/reg/2020/2092/oj</w:t>
        </w:r>
      </w:hyperlink>
      <w:r w:rsidRPr="009743F5">
        <w:rPr>
          <w:sz w:val="24"/>
          <w:lang w:val="cs-CZ"/>
        </w:rPr>
        <w:t>.</w:t>
      </w:r>
    </w:p>
  </w:footnote>
  <w:footnote w:id="5">
    <w:p w:rsidR="007A0E22" w:rsidRPr="009743F5" w:rsidP="009743F5" w14:paraId="42A063B2" w14:textId="418D72EE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4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L, 2024/1263, 30.4.2024, ELI: </w:t>
      </w:r>
      <w:hyperlink r:id="rId4" w:tgtFrame="http://data.europa.eu/eli/reg/2024/1263/oj" w:history="1">
        <w:r w:rsidRPr="009743F5">
          <w:rPr>
            <w:rStyle w:val="Hyperlink"/>
            <w:sz w:val="24"/>
            <w:lang w:val="cs-CZ"/>
          </w:rPr>
          <w:t>http://data.europa.eu/eli/reg/2024/1263/oj</w:t>
        </w:r>
      </w:hyperlink>
      <w:r w:rsidRPr="009743F5">
        <w:rPr>
          <w:sz w:val="24"/>
          <w:lang w:val="cs-CZ"/>
        </w:rPr>
        <w:t>.</w:t>
      </w:r>
    </w:p>
  </w:footnote>
  <w:footnote w:id="6">
    <w:p w:rsidR="007A0E22" w:rsidRPr="009743F5" w:rsidP="009743F5" w14:paraId="1E1D75B7" w14:textId="220A5756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5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>Úř. věst. C 177, 17.5.2023, s. 115.</w:t>
      </w:r>
    </w:p>
  </w:footnote>
  <w:footnote w:id="7">
    <w:p w:rsidR="007A0E22" w:rsidRPr="009743F5" w:rsidP="009743F5" w14:paraId="6B399CFC" w14:textId="092D4230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6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C, C/2024/6750, 26.11.2024, ELI: </w:t>
      </w:r>
      <w:hyperlink r:id="rId5" w:tgtFrame="http://data.europa.eu/eli/C/2024/6750/oj" w:history="1">
        <w:r w:rsidRPr="009743F5">
          <w:rPr>
            <w:rStyle w:val="Hyperlink"/>
            <w:sz w:val="24"/>
            <w:lang w:val="cs-CZ"/>
          </w:rPr>
          <w:t>http://data.europa.eu/eli/C/2024/6750/oj</w:t>
        </w:r>
      </w:hyperlink>
      <w:r w:rsidRPr="009743F5">
        <w:rPr>
          <w:sz w:val="24"/>
          <w:lang w:val="cs-CZ"/>
        </w:rPr>
        <w:t>.</w:t>
      </w:r>
    </w:p>
  </w:footnote>
  <w:footnote w:id="8">
    <w:p w:rsidR="007A0E22" w:rsidRPr="009743F5" w:rsidP="009743F5" w14:paraId="1C484F88" w14:textId="3FA1B566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7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L 433 I, 22.12.2020, s. 28, ELI: </w:t>
      </w:r>
      <w:hyperlink r:id="rId6" w:tgtFrame="http://data.europa.eu/eli/agree_interinstit/2020/1222/oj" w:history="1">
        <w:r w:rsidRPr="009743F5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9743F5">
        <w:rPr>
          <w:sz w:val="24"/>
          <w:lang w:val="cs-CZ"/>
        </w:rPr>
        <w:t>.</w:t>
      </w:r>
    </w:p>
  </w:footnote>
  <w:footnote w:id="9">
    <w:p w:rsidR="007A0E22" w:rsidRPr="009743F5" w:rsidP="009743F5" w14:paraId="1D1FE21C" w14:textId="075A4F54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8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>Úř. věst. C 445, 29.10.2021, s. 240.</w:t>
      </w:r>
    </w:p>
  </w:footnote>
  <w:footnote w:id="10">
    <w:p w:rsidR="007A0E22" w:rsidRPr="009743F5" w:rsidP="009743F5" w14:paraId="6B320D82" w14:textId="17792DB0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9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>Přijaté texty, P10_TA(2025)0090.</w:t>
      </w:r>
    </w:p>
  </w:footnote>
  <w:footnote w:id="11">
    <w:p w:rsidR="007A0E22" w:rsidRPr="009743F5" w:rsidP="009743F5" w14:paraId="7A3D1D0C" w14:textId="40F03CF8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10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C, C/2024/7057, 4.12.2024, ELI: </w:t>
      </w:r>
      <w:hyperlink r:id="rId7" w:tgtFrame="http://data.europa.eu/eli/C/2024/7057/oj" w:history="1">
        <w:r w:rsidRPr="009743F5">
          <w:rPr>
            <w:rStyle w:val="Hyperlink"/>
            <w:sz w:val="24"/>
            <w:lang w:val="cs-CZ"/>
          </w:rPr>
          <w:t>http://data.europa.eu/eli/C/2024/7057/oj</w:t>
        </w:r>
      </w:hyperlink>
      <w:r w:rsidRPr="009743F5">
        <w:rPr>
          <w:sz w:val="24"/>
          <w:lang w:val="cs-CZ"/>
        </w:rPr>
        <w:t>.</w:t>
      </w:r>
    </w:p>
  </w:footnote>
  <w:footnote w:id="12">
    <w:p w:rsidR="007A0E22" w:rsidRPr="009743F5" w:rsidP="009743F5" w14:paraId="15905A0F" w14:textId="028E39F8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11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 xml:space="preserve">Úř. věst. C, C/2025/279, 24.1.2025, ELI: </w:t>
      </w:r>
      <w:hyperlink r:id="rId8" w:tgtFrame="http://data.europa.eu/eli/C/2025/279/oj" w:history="1">
        <w:r w:rsidRPr="009743F5">
          <w:rPr>
            <w:rStyle w:val="Hyperlink"/>
            <w:sz w:val="24"/>
            <w:lang w:val="cs-CZ"/>
          </w:rPr>
          <w:t>http://data.europa.eu/eli/C/2025/279/oj</w:t>
        </w:r>
      </w:hyperlink>
      <w:r w:rsidRPr="009743F5">
        <w:rPr>
          <w:sz w:val="24"/>
          <w:lang w:val="cs-CZ"/>
        </w:rPr>
        <w:t>.</w:t>
      </w:r>
    </w:p>
  </w:footnote>
  <w:footnote w:id="13">
    <w:p w:rsidR="007A0E22" w:rsidRPr="009743F5" w:rsidP="009743F5" w14:paraId="5DDBBF4C" w14:textId="6D6BAA16">
      <w:pPr>
        <w:pStyle w:val="FootnoteText"/>
        <w:ind w:left="567" w:hanging="567"/>
        <w:rPr>
          <w:sz w:val="24"/>
          <w:lang w:val="cs-CZ"/>
        </w:rPr>
      </w:pPr>
      <w:r w:rsidRPr="009743F5">
        <w:rPr>
          <w:sz w:val="24"/>
          <w:vertAlign w:val="superscript"/>
          <w:lang w:val="cs-CZ"/>
        </w:rPr>
        <w:t>12</w:t>
      </w:r>
      <w:r w:rsidRPr="009743F5" w:rsidR="009743F5">
        <w:rPr>
          <w:sz w:val="24"/>
          <w:vertAlign w:val="superscript"/>
          <w:lang w:val="cs-CZ"/>
        </w:rPr>
        <w:t xml:space="preserve"> </w:t>
      </w:r>
      <w:r w:rsidRPr="009743F5" w:rsidR="009743F5">
        <w:rPr>
          <w:sz w:val="24"/>
          <w:vertAlign w:val="superscript"/>
          <w:lang w:val="cs-CZ"/>
        </w:rPr>
        <w:tab/>
      </w:r>
      <w:r w:rsidRPr="009743F5">
        <w:rPr>
          <w:sz w:val="24"/>
          <w:lang w:val="cs-CZ"/>
        </w:rPr>
        <w:t>Přijaté texty, P10_TA(2025)0128.</w:t>
      </w:r>
    </w:p>
  </w:footnote>
  <w:footnote w:id="14">
    <w:p w:rsidR="007A0E22" w:rsidRPr="009743F5" w:rsidP="009743F5" w14:paraId="5246BC3F" w14:textId="1801BDF3">
      <w:pPr>
        <w:pStyle w:val="FootnoteText"/>
        <w:ind w:left="567" w:hanging="567"/>
        <w:rPr>
          <w:sz w:val="24"/>
          <w:lang w:val="cs-CZ"/>
        </w:rPr>
      </w:pPr>
      <w:r w:rsidRPr="009743F5">
        <w:rPr>
          <w:rStyle w:val="FootnoteReference"/>
          <w:sz w:val="24"/>
          <w:lang w:val="cs-CZ"/>
        </w:rPr>
        <w:footnoteRef/>
      </w:r>
      <w:r w:rsidRPr="009743F5" w:rsidR="009743F5">
        <w:rPr>
          <w:sz w:val="24"/>
          <w:lang w:val="cs-CZ"/>
        </w:rPr>
        <w:t xml:space="preserve"> </w:t>
      </w:r>
      <w:r w:rsidRPr="009743F5" w:rsidR="009743F5">
        <w:rPr>
          <w:sz w:val="24"/>
          <w:lang w:val="cs-CZ"/>
        </w:rPr>
        <w:tab/>
      </w:r>
      <w:r w:rsidRPr="009743F5">
        <w:rPr>
          <w:sz w:val="24"/>
          <w:lang w:val="cs-CZ"/>
        </w:rPr>
        <w:t xml:space="preserve">Nařízení Evropského parlamentu a Rady (EU) 2016/679 ze dne 27. dubna 2016 o ochraně fyzických osob v souvislosti se zpracováním osobních údajů a o volném pohybu těchto údajů a o zrušení směrnice 95/46/ES (obecné nařízení o ochraně osobních údajů) (Úř. věst. L 119, 4.5.2016, s. 1, ELI: </w:t>
      </w:r>
      <w:hyperlink r:id="rId9" w:history="1">
        <w:r w:rsidRPr="009743F5">
          <w:rPr>
            <w:rStyle w:val="Hyperlink"/>
            <w:sz w:val="24"/>
            <w:lang w:val="cs-CZ"/>
          </w:rPr>
          <w:t>http://data.europa.eu/eli/reg/2016/679/oj</w:t>
        </w:r>
      </w:hyperlink>
      <w:r w:rsidRPr="009743F5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43F5" w14:paraId="43F2728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43F5" w14:paraId="1F8301F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43F5" w14:paraId="0D511F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4823720">
    <w:abstractNumId w:val="9"/>
  </w:num>
  <w:num w:numId="2" w16cid:durableId="261766585">
    <w:abstractNumId w:val="9"/>
  </w:num>
  <w:num w:numId="3" w16cid:durableId="1469006994">
    <w:abstractNumId w:val="7"/>
  </w:num>
  <w:num w:numId="4" w16cid:durableId="1355612568">
    <w:abstractNumId w:val="7"/>
  </w:num>
  <w:num w:numId="5" w16cid:durableId="907687509">
    <w:abstractNumId w:val="6"/>
  </w:num>
  <w:num w:numId="6" w16cid:durableId="2133865800">
    <w:abstractNumId w:val="6"/>
  </w:num>
  <w:num w:numId="7" w16cid:durableId="1653293353">
    <w:abstractNumId w:val="5"/>
  </w:num>
  <w:num w:numId="8" w16cid:durableId="1756710013">
    <w:abstractNumId w:val="5"/>
  </w:num>
  <w:num w:numId="9" w16cid:durableId="1069379810">
    <w:abstractNumId w:val="4"/>
  </w:num>
  <w:num w:numId="10" w16cid:durableId="980110505">
    <w:abstractNumId w:val="4"/>
  </w:num>
  <w:num w:numId="11" w16cid:durableId="1800340997">
    <w:abstractNumId w:val="8"/>
  </w:num>
  <w:num w:numId="12" w16cid:durableId="822896745">
    <w:abstractNumId w:val="8"/>
  </w:num>
  <w:num w:numId="13" w16cid:durableId="1258639866">
    <w:abstractNumId w:val="3"/>
  </w:num>
  <w:num w:numId="14" w16cid:durableId="1531793428">
    <w:abstractNumId w:val="3"/>
  </w:num>
  <w:num w:numId="15" w16cid:durableId="466702082">
    <w:abstractNumId w:val="2"/>
  </w:num>
  <w:num w:numId="16" w16cid:durableId="1741828732">
    <w:abstractNumId w:val="2"/>
  </w:num>
  <w:num w:numId="17" w16cid:durableId="875242361">
    <w:abstractNumId w:val="1"/>
  </w:num>
  <w:num w:numId="18" w16cid:durableId="1921407794">
    <w:abstractNumId w:val="1"/>
  </w:num>
  <w:num w:numId="19" w16cid:durableId="697698396">
    <w:abstractNumId w:val="0"/>
  </w:num>
  <w:num w:numId="20" w16cid:durableId="1687100770">
    <w:abstractNumId w:val="0"/>
  </w:num>
  <w:num w:numId="21" w16cid:durableId="1273174262">
    <w:abstractNumId w:val="9"/>
  </w:num>
  <w:num w:numId="22" w16cid:durableId="2087534217">
    <w:abstractNumId w:val="7"/>
  </w:num>
  <w:num w:numId="23" w16cid:durableId="332031644">
    <w:abstractNumId w:val="6"/>
  </w:num>
  <w:num w:numId="24" w16cid:durableId="1204321943">
    <w:abstractNumId w:val="5"/>
  </w:num>
  <w:num w:numId="25" w16cid:durableId="736050675">
    <w:abstractNumId w:val="4"/>
  </w:num>
  <w:num w:numId="26" w16cid:durableId="630674051">
    <w:abstractNumId w:val="8"/>
  </w:num>
  <w:num w:numId="27" w16cid:durableId="1183202169">
    <w:abstractNumId w:val="3"/>
  </w:num>
  <w:num w:numId="28" w16cid:durableId="1479495845">
    <w:abstractNumId w:val="2"/>
  </w:num>
  <w:num w:numId="29" w16cid:durableId="268006958">
    <w:abstractNumId w:val="1"/>
  </w:num>
  <w:num w:numId="30" w16cid:durableId="1678729851">
    <w:abstractNumId w:val="0"/>
  </w:num>
  <w:num w:numId="31" w16cid:durableId="1984577079">
    <w:abstractNumId w:val="9"/>
  </w:num>
  <w:num w:numId="32" w16cid:durableId="508835837">
    <w:abstractNumId w:val="7"/>
  </w:num>
  <w:num w:numId="33" w16cid:durableId="154034474">
    <w:abstractNumId w:val="6"/>
  </w:num>
  <w:num w:numId="34" w16cid:durableId="707536299">
    <w:abstractNumId w:val="5"/>
  </w:num>
  <w:num w:numId="35" w16cid:durableId="1227299264">
    <w:abstractNumId w:val="4"/>
  </w:num>
  <w:num w:numId="36" w16cid:durableId="1006325223">
    <w:abstractNumId w:val="8"/>
  </w:num>
  <w:num w:numId="37" w16cid:durableId="2135520839">
    <w:abstractNumId w:val="3"/>
  </w:num>
  <w:num w:numId="38" w16cid:durableId="1655453034">
    <w:abstractNumId w:val="2"/>
  </w:num>
  <w:num w:numId="39" w16cid:durableId="2106026775">
    <w:abstractNumId w:val="1"/>
  </w:num>
  <w:num w:numId="40" w16cid:durableId="857817657">
    <w:abstractNumId w:val="0"/>
  </w:num>
  <w:num w:numId="41" w16cid:durableId="416632868">
    <w:abstractNumId w:val="10"/>
  </w:num>
  <w:num w:numId="42" w16cid:durableId="64256718">
    <w:abstractNumId w:val="10"/>
  </w:num>
  <w:num w:numId="43" w16cid:durableId="2101219311">
    <w:abstractNumId w:val="10"/>
  </w:num>
  <w:num w:numId="44" w16cid:durableId="5499283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3B"/>
    <w:rsid w:val="00002272"/>
    <w:rsid w:val="00064002"/>
    <w:rsid w:val="000655DA"/>
    <w:rsid w:val="000677B9"/>
    <w:rsid w:val="000831BA"/>
    <w:rsid w:val="000A42CC"/>
    <w:rsid w:val="000E7DD9"/>
    <w:rsid w:val="0010095E"/>
    <w:rsid w:val="00125B37"/>
    <w:rsid w:val="00176A1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594"/>
    <w:rsid w:val="00786EC0"/>
    <w:rsid w:val="007A0E2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9FB"/>
    <w:rsid w:val="00930C23"/>
    <w:rsid w:val="0093193B"/>
    <w:rsid w:val="009509D8"/>
    <w:rsid w:val="00950B64"/>
    <w:rsid w:val="009743F5"/>
    <w:rsid w:val="00981893"/>
    <w:rsid w:val="009828D7"/>
    <w:rsid w:val="00A1687D"/>
    <w:rsid w:val="00A43E52"/>
    <w:rsid w:val="00A4678D"/>
    <w:rsid w:val="00A778C7"/>
    <w:rsid w:val="00AB441E"/>
    <w:rsid w:val="00AB6293"/>
    <w:rsid w:val="00AD3C2B"/>
    <w:rsid w:val="00AE0928"/>
    <w:rsid w:val="00AF3B82"/>
    <w:rsid w:val="00B12E95"/>
    <w:rsid w:val="00B22876"/>
    <w:rsid w:val="00B558F0"/>
    <w:rsid w:val="00BD48FE"/>
    <w:rsid w:val="00BD7BD8"/>
    <w:rsid w:val="00BE6ADC"/>
    <w:rsid w:val="00BF213B"/>
    <w:rsid w:val="00C05BFE"/>
    <w:rsid w:val="00C23CD4"/>
    <w:rsid w:val="00C61C0C"/>
    <w:rsid w:val="00C6653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30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22/2026"/>
    <w:docVar w:name="dvlangue" w:val="CS"/>
    <w:docVar w:name="dvnumam" w:val="0"/>
    <w:docVar w:name="dvpe" w:val="778.127"/>
    <w:docVar w:name="dvrapporteur" w:val="Zpravodajka: "/>
    <w:docVar w:name="dvtitre" w:val="Usnesení Evropského parlamentu ze dne 28. dubna 2026 o kontrole, transparentnosti a sledovatelnosti nástrojů založených na výkonnosti(2025/203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F98BF7"/>
  <w15:chartTrackingRefBased/>
  <w15:docId w15:val="{ED12FC98-5E17-4A8D-BC08-DFCADA38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7A0E22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Normal12a">
    <w:name w:val="Normal12a"/>
    <w:basedOn w:val="Normal"/>
    <w:rsid w:val="007A0E22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7A0E2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A0E22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A0E2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A0E22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A0E22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A0E22"/>
    <w:rPr>
      <w:sz w:val="24"/>
      <w:szCs w:val="24"/>
      <w:lang w:val="cs-CZ" w:eastAsia="en-US"/>
    </w:rPr>
  </w:style>
  <w:style w:type="paragraph" w:styleId="Revision">
    <w:name w:val="Revision"/>
    <w:hidden/>
    <w:uiPriority w:val="99"/>
    <w:semiHidden/>
    <w:rsid w:val="008E09F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0/2093/oj" TargetMode="External" /><Relationship Id="rId2" Type="http://schemas.openxmlformats.org/officeDocument/2006/relationships/hyperlink" Target="http://data.europa.eu/eli/reg/2024/2509/oj" TargetMode="External" /><Relationship Id="rId3" Type="http://schemas.openxmlformats.org/officeDocument/2006/relationships/hyperlink" Target="http://data.europa.eu/eli/reg/2020/2092/oj" TargetMode="External" /><Relationship Id="rId4" Type="http://schemas.openxmlformats.org/officeDocument/2006/relationships/hyperlink" Target="http://data.europa.eu/eli/reg/2024/1263/oj" TargetMode="External" /><Relationship Id="rId5" Type="http://schemas.openxmlformats.org/officeDocument/2006/relationships/hyperlink" Target="http://data.europa.eu/eli/C/2024/6750/oj" TargetMode="External" /><Relationship Id="rId6" Type="http://schemas.openxmlformats.org/officeDocument/2006/relationships/hyperlink" Target="http://data.europa.eu/eli/agree_interinstit/2020/1222/oj" TargetMode="External" /><Relationship Id="rId7" Type="http://schemas.openxmlformats.org/officeDocument/2006/relationships/hyperlink" Target="http://data.europa.eu/eli/C/2024/7057/oj" TargetMode="External" /><Relationship Id="rId8" Type="http://schemas.openxmlformats.org/officeDocument/2006/relationships/hyperlink" Target="http://data.europa.eu/eli/C/2025/279/oj" TargetMode="External" /><Relationship Id="rId9" Type="http://schemas.openxmlformats.org/officeDocument/2006/relationships/hyperlink" Target="http://data.europa.eu/eli/reg/2016/6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4943</Words>
  <Characters>30112</Characters>
  <Application>Microsoft Office Word</Application>
  <DocSecurity>0</DocSecurity>
  <Lines>250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2026-06-04T15:37:00Z</dcterms:created>
  <dcterms:modified xsi:type="dcterms:W3CDTF">2026-06-04T15:37:00Z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A10-0022/2026</vt:lpwstr>
  </property>
  <property fmtid="{D5CDD505-2E9C-101B-9397-08002B2CF9AE}" pid="4" name="&lt;Type&gt;">
    <vt:lpwstr>RR</vt:lpwstr>
  </property>
</Properties>
</file>