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5152ED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4102E" w:rsidP="0010095E" w14:paraId="256ECDE6" w14:textId="77777777">
            <w:pPr>
              <w:pStyle w:val="EPName"/>
            </w:pPr>
            <w:r w:rsidRPr="0034102E">
              <w:t>Europski parlament</w:t>
            </w:r>
          </w:p>
          <w:p w:rsidR="00751A4A" w:rsidRPr="0034102E" w:rsidP="005F1B17" w14:paraId="26DDB1F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102E">
              <w:t>2024</w:t>
            </w:r>
            <w:r w:rsidRPr="0034102E" w:rsidR="00817416">
              <w:t>-202</w:t>
            </w:r>
            <w:r w:rsidRPr="0034102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4102E" w:rsidP="0010095E" w14:paraId="22014087" w14:textId="77777777">
            <w:pPr>
              <w:pStyle w:val="EPLogo"/>
            </w:pPr>
            <w:r w:rsidRPr="0034102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4102E" w:rsidP="004C5D52" w14:paraId="38B1F579" w14:textId="77777777">
      <w:pPr>
        <w:pStyle w:val="LineTop"/>
      </w:pPr>
    </w:p>
    <w:p w:rsidR="00680577" w:rsidRPr="0034102E" w:rsidP="00680577" w14:paraId="1E22EBDD" w14:textId="77777777">
      <w:pPr>
        <w:pStyle w:val="EPBodyTA1"/>
      </w:pPr>
      <w:r w:rsidRPr="0034102E">
        <w:t>USVOJENI TEKSTOVI</w:t>
      </w:r>
    </w:p>
    <w:p w:rsidR="00D058B8" w:rsidRPr="0034102E" w:rsidP="00D058B8" w14:paraId="3CBF4D02" w14:textId="77777777">
      <w:pPr>
        <w:pStyle w:val="LineBottom"/>
      </w:pPr>
    </w:p>
    <w:p w:rsidR="00485108" w:rsidRPr="0034102E" w:rsidP="00485108" w14:paraId="11FA29C2" w14:textId="44382A89">
      <w:pPr>
        <w:pStyle w:val="ATHeading1"/>
      </w:pPr>
      <w:bookmarkStart w:id="0" w:name="TANumber"/>
      <w:r w:rsidRPr="0034102E">
        <w:t>P10_TA(2026)0</w:t>
      </w:r>
      <w:bookmarkEnd w:id="0"/>
      <w:r w:rsidR="004F3254">
        <w:t>122</w:t>
      </w:r>
    </w:p>
    <w:p w:rsidR="00485108" w:rsidRPr="0034102E" w:rsidP="00485108" w14:paraId="4520BDC2" w14:textId="77777777">
      <w:pPr>
        <w:pStyle w:val="ATHeading2"/>
      </w:pPr>
      <w:bookmarkStart w:id="1" w:name="title"/>
      <w:r w:rsidRPr="0034102E">
        <w:t xml:space="preserve">Kontrola, transparentnost i </w:t>
      </w:r>
      <w:r w:rsidRPr="0034102E">
        <w:t>sljedivost</w:t>
      </w:r>
      <w:r w:rsidRPr="0034102E">
        <w:t xml:space="preserve"> instrumenata koji se temelje na uspješnosti</w:t>
      </w:r>
      <w:bookmarkEnd w:id="1"/>
    </w:p>
    <w:p w:rsidR="00485108" w:rsidRPr="0034102E" w:rsidP="00485108" w14:paraId="141CA3DB" w14:textId="77777777">
      <w:pPr>
        <w:rPr>
          <w:i/>
          <w:vanish/>
        </w:rPr>
      </w:pPr>
      <w:r>
        <w:rPr>
          <w:i/>
        </w:rPr>
        <w:fldChar w:fldCharType="begin"/>
      </w:r>
      <w:r w:rsidRPr="0034102E">
        <w:rPr>
          <w:i/>
        </w:rPr>
        <w:instrText xml:space="preserve"> TC"(</w:instrText>
      </w:r>
      <w:bookmarkStart w:id="2" w:name="DocNumber"/>
      <w:r w:rsidRPr="0034102E">
        <w:rPr>
          <w:i/>
        </w:rPr>
        <w:instrText>A10-0022/2026</w:instrText>
      </w:r>
      <w:bookmarkEnd w:id="2"/>
      <w:r w:rsidRPr="0034102E">
        <w:rPr>
          <w:i/>
        </w:rPr>
        <w:instrText xml:space="preserve"> - Izvjestiteljica: Monika </w:instrText>
      </w:r>
      <w:r w:rsidRPr="0034102E">
        <w:rPr>
          <w:i/>
        </w:rPr>
        <w:instrText>Hohlmeier</w:instrText>
      </w:r>
      <w:r w:rsidRPr="0034102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85108" w:rsidRPr="0034102E" w:rsidP="00485108" w14:paraId="29C6BD03" w14:textId="77777777">
      <w:pPr>
        <w:rPr>
          <w:vanish/>
        </w:rPr>
      </w:pPr>
      <w:bookmarkStart w:id="3" w:name="Commission"/>
      <w:r w:rsidRPr="0034102E">
        <w:rPr>
          <w:vanish/>
        </w:rPr>
        <w:t>Odbor za proračunski nadzor</w:t>
      </w:r>
      <w:bookmarkEnd w:id="3"/>
    </w:p>
    <w:p w:rsidR="00485108" w:rsidRPr="0034102E" w:rsidP="00485108" w14:paraId="484DD543" w14:textId="77777777">
      <w:pPr>
        <w:rPr>
          <w:vanish/>
        </w:rPr>
      </w:pPr>
      <w:bookmarkStart w:id="4" w:name="PE"/>
      <w:r w:rsidRPr="0034102E">
        <w:rPr>
          <w:vanish/>
        </w:rPr>
        <w:t>PE778.127</w:t>
      </w:r>
      <w:bookmarkEnd w:id="4"/>
    </w:p>
    <w:p w:rsidR="00485108" w:rsidRPr="0034102E" w:rsidP="00485108" w14:paraId="6CFB3584" w14:textId="399EEF35">
      <w:pPr>
        <w:pStyle w:val="ATHeading3"/>
      </w:pPr>
      <w:bookmarkStart w:id="5" w:name="Sujet"/>
      <w:r w:rsidRPr="0034102E">
        <w:t xml:space="preserve">Rezolucija Europskog parlamenta od </w:t>
      </w:r>
      <w:r w:rsidR="00744A2E">
        <w:t>28. travnja</w:t>
      </w:r>
      <w:r w:rsidRPr="0034102E">
        <w:t xml:space="preserve"> 2026. o kontroli, transparentnosti i </w:t>
      </w:r>
      <w:r w:rsidRPr="0034102E">
        <w:t>sljedivosti</w:t>
      </w:r>
      <w:r w:rsidRPr="0034102E">
        <w:t xml:space="preserve"> instrumenata koji se temelje na uspješnosti</w:t>
      </w:r>
      <w:bookmarkEnd w:id="5"/>
      <w:r w:rsidRPr="0034102E">
        <w:t xml:space="preserve"> </w:t>
      </w:r>
      <w:bookmarkStart w:id="6" w:name="References"/>
      <w:r w:rsidRPr="0034102E">
        <w:t>(2025/2032(INI))</w:t>
      </w:r>
      <w:bookmarkEnd w:id="6"/>
    </w:p>
    <w:p w:rsidR="000D75DD" w:rsidRPr="0034102E" w:rsidP="00744A2E" w14:paraId="2488A4F1" w14:textId="77777777">
      <w:pPr>
        <w:pStyle w:val="Normal12"/>
        <w:spacing w:before="480"/>
      </w:pPr>
      <w:r w:rsidRPr="0034102E">
        <w:rPr>
          <w:i/>
        </w:rPr>
        <w:t>Europski parlament,</w:t>
      </w:r>
    </w:p>
    <w:p w:rsidR="000D75DD" w:rsidRPr="0034102E" w:rsidP="000D75DD" w14:paraId="292C7690" w14:textId="77777777">
      <w:pPr>
        <w:pStyle w:val="NormalHanging"/>
      </w:pPr>
      <w:r w:rsidRPr="0034102E">
        <w:t>–</w:t>
      </w:r>
      <w:r w:rsidRPr="0034102E">
        <w:tab/>
        <w:t>uzimajući u obzir članke 311., 312., 319., 323 i 324. Ugovora o funkcioniranju Europske unije (UFEU),</w:t>
      </w:r>
    </w:p>
    <w:p w:rsidR="000D75DD" w:rsidRPr="0034102E" w:rsidP="000D75DD" w14:paraId="29CD30F4" w14:textId="41FAD9B6">
      <w:pPr>
        <w:pStyle w:val="NormalHanging"/>
      </w:pPr>
      <w:r w:rsidRPr="0034102E">
        <w:t>–</w:t>
      </w:r>
      <w:r w:rsidRPr="0034102E">
        <w:tab/>
        <w:t>uzimajući obzir Uredbu Vijeća (EU, Euratom) 2020/2093 od 17. prosinca 2020. kojom se utvrđuje višegodišnji financijski okvir za razdoblje 2021. – 2027.</w:t>
      </w:r>
      <w:r>
        <w:rPr>
          <w:rStyle w:val="FootnoteReference"/>
        </w:rPr>
        <w:footnoteReference w:id="2"/>
      </w:r>
      <w:r w:rsidRPr="0034102E">
        <w:t xml:space="preserve"> i zajedničke izjave koje su Parlament, Vijeće i Komisija donijeli u tom kontekstu te povezane jednostrane izjave,</w:t>
      </w:r>
    </w:p>
    <w:p w:rsidR="000D75DD" w:rsidRPr="0034102E" w:rsidP="000D75DD" w14:paraId="3FDBD4C9" w14:textId="55CDCE36">
      <w:pPr>
        <w:pStyle w:val="NormalHanging"/>
      </w:pPr>
      <w:r w:rsidRPr="0034102E">
        <w:t>–</w:t>
      </w:r>
      <w:r w:rsidRPr="0034102E">
        <w:tab/>
        <w:t>uzimajući u obzir Uredbu (EU, Euratom) 2024/2509 Europskog parlamenta i Vijeća od 23. rujna 2024. o financijskim pravilima koja se primjenjuju na opći proračun Unije</w:t>
      </w:r>
      <w:r>
        <w:rPr>
          <w:rStyle w:val="FootnoteReference"/>
        </w:rPr>
        <w:footnoteReference w:id="3"/>
      </w:r>
      <w:r w:rsidRPr="0034102E">
        <w:t xml:space="preserve"> (Financijska uredba),</w:t>
      </w:r>
    </w:p>
    <w:p w:rsidR="000D75DD" w:rsidRPr="0034102E" w:rsidP="000D75DD" w14:paraId="6F7EFC2E" w14:textId="4A6D2BE9">
      <w:pPr>
        <w:pStyle w:val="NormalHanging"/>
      </w:pPr>
      <w:r w:rsidRPr="0034102E">
        <w:t>–</w:t>
      </w:r>
      <w:r w:rsidRPr="0034102E">
        <w:tab/>
        <w:t>uzimajući u obzir Uredbu (EU, Euratom) 2020/2092 Europskog parlamenta i Vijeća od 16. prosinca 2020. o općem režimu uvjetovanosti za zaštitu proračuna Unije</w:t>
      </w:r>
      <w:r>
        <w:rPr>
          <w:rStyle w:val="FootnoteReference"/>
        </w:rPr>
        <w:footnoteReference w:id="4"/>
      </w:r>
      <w:r w:rsidRPr="0034102E">
        <w:t xml:space="preserve"> (Uredba o uvjetovanosti u pogledu vladavine prava),</w:t>
      </w:r>
    </w:p>
    <w:p w:rsidR="000D75DD" w:rsidRPr="0034102E" w:rsidP="000D75DD" w14:paraId="759D76C1" w14:textId="1395DD7A">
      <w:pPr>
        <w:pStyle w:val="NormalHanging"/>
      </w:pPr>
      <w:r w:rsidRPr="0034102E">
        <w:t>–</w:t>
      </w:r>
      <w:r w:rsidRPr="0034102E">
        <w:tab/>
        <w:t>uzimajući u obzir Uredbu (EU) 2024/1263 Europskog parlamenta i Vijeća od 29. travnja 2024. o djelotvornoj koordinaciji ekonomskih politika i multilateralnom proračunskom nadzoru te stavljanju izvan snage Uredbe Vijeća (EZ) br. 1466/97</w:t>
      </w:r>
      <w:r>
        <w:rPr>
          <w:rStyle w:val="FootnoteReference"/>
        </w:rPr>
        <w:footnoteReference w:id="5"/>
      </w:r>
      <w:r w:rsidRPr="0034102E">
        <w:t>,</w:t>
      </w:r>
    </w:p>
    <w:p w:rsidR="000D75DD" w:rsidRPr="0034102E" w:rsidP="000D75DD" w14:paraId="34E1C8AB" w14:textId="41675B45">
      <w:pPr>
        <w:pStyle w:val="NormalHanging"/>
      </w:pPr>
      <w:r w:rsidRPr="0034102E">
        <w:t>–</w:t>
      </w:r>
      <w:r w:rsidRPr="0034102E">
        <w:tab/>
        <w:t>uzimajući u obzir svoju Rezoluciju od 15. prosinca 2022. o jačanju višegodišnjeg financijskog okvira 2021. – 2027.: otporan proračun EU-a prilagođen novim izazovima</w:t>
      </w:r>
      <w:r>
        <w:rPr>
          <w:rStyle w:val="FootnoteReference"/>
        </w:rPr>
        <w:footnoteReference w:id="6"/>
      </w:r>
      <w:r w:rsidRPr="0034102E">
        <w:t>,</w:t>
      </w:r>
    </w:p>
    <w:p w:rsidR="000D75DD" w:rsidRPr="0034102E" w:rsidP="000D75DD" w14:paraId="54DC1A04" w14:textId="72599844">
      <w:pPr>
        <w:pStyle w:val="NormalHanging"/>
      </w:pPr>
      <w:r w:rsidRPr="0034102E">
        <w:t>–</w:t>
      </w:r>
      <w:r w:rsidRPr="0034102E">
        <w:tab/>
        <w:t>uzimajući u obzir svoje stajalište od 27. veljače 2024. o Nacrtu uredbe Vijeća o izmjeni Uredbe (EU, Euratom) 2020/2093 kojom se uspostavlja višegodišnji financijski okvir za razdoblje 2021. – 2027.</w:t>
      </w:r>
      <w:r>
        <w:rPr>
          <w:rStyle w:val="FootnoteReference"/>
        </w:rPr>
        <w:footnoteReference w:id="7"/>
      </w:r>
      <w:r w:rsidRPr="0034102E">
        <w:t>,</w:t>
      </w:r>
    </w:p>
    <w:p w:rsidR="000D75DD" w:rsidRPr="0034102E" w:rsidP="000D75DD" w14:paraId="1ADEF9C0" w14:textId="3C67AD48">
      <w:pPr>
        <w:pStyle w:val="NormalHanging"/>
      </w:pPr>
      <w:r w:rsidRPr="0034102E">
        <w:t>–</w:t>
      </w:r>
      <w:r w:rsidRPr="0034102E">
        <w:tab/>
        <w:t xml:space="preserve">uzimajući u obzir </w:t>
      </w:r>
      <w:r w:rsidRPr="0034102E">
        <w:t>Međuinstitucijski</w:t>
      </w:r>
      <w:r w:rsidRPr="0034102E">
        <w:t xml:space="preserve"> sporazum od 16. prosinca 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>
        <w:rPr>
          <w:rStyle w:val="FootnoteReference"/>
        </w:rPr>
        <w:footnoteReference w:id="8"/>
      </w:r>
      <w:r w:rsidRPr="0034102E">
        <w:t xml:space="preserve"> (</w:t>
      </w:r>
      <w:r w:rsidRPr="0034102E">
        <w:t>Međuinstitucijski</w:t>
      </w:r>
      <w:r w:rsidRPr="0034102E">
        <w:t xml:space="preserve"> sporazum),</w:t>
      </w:r>
    </w:p>
    <w:p w:rsidR="000D75DD" w:rsidRPr="0034102E" w:rsidP="000D75DD" w14:paraId="771FFC9C" w14:textId="6EBCB470">
      <w:pPr>
        <w:pStyle w:val="NormalHanging"/>
      </w:pPr>
      <w:r w:rsidRPr="0034102E">
        <w:t>–</w:t>
      </w:r>
      <w:r w:rsidRPr="0034102E">
        <w:tab/>
        <w:t>uzimajući u obzir svoje stajalište od 16. prosinca 2020. o Nacrtu uredbe Vijeća kojom se utvrđuje višegodišnji financijski okvir za razdoblje 2021. – 2027.</w:t>
      </w:r>
      <w:r>
        <w:rPr>
          <w:rStyle w:val="FootnoteReference"/>
        </w:rPr>
        <w:footnoteReference w:id="9"/>
      </w:r>
      <w:r w:rsidRPr="0034102E">
        <w:t>,</w:t>
      </w:r>
    </w:p>
    <w:p w:rsidR="000D75DD" w:rsidRPr="0034102E" w:rsidP="000D75DD" w14:paraId="212ADFEA" w14:textId="77777777">
      <w:pPr>
        <w:pStyle w:val="NormalHanging"/>
      </w:pPr>
      <w:r w:rsidRPr="0034102E">
        <w:t>–</w:t>
      </w:r>
      <w:r w:rsidRPr="0034102E">
        <w:tab/>
        <w:t>uzimajući u obzir godišnje izvješće Europskog revizorskog suda od 10. listopada 2024. o izvršenju proračuna EU-a za financijsku godinu 2023., s odgovorima institucija,</w:t>
      </w:r>
    </w:p>
    <w:p w:rsidR="000D75DD" w:rsidRPr="0034102E" w:rsidP="000D75DD" w14:paraId="04DCD593" w14:textId="77777777">
      <w:pPr>
        <w:pStyle w:val="NormalHanging"/>
      </w:pPr>
      <w:r w:rsidRPr="0034102E">
        <w:t>–</w:t>
      </w:r>
      <w:r w:rsidRPr="0034102E">
        <w:tab/>
        <w:t>uzimajući u obzir tematsko izvješće Europskog revizorskog suda br. 13/2024 od 2. rujna 2024. naslovljeno „Iskorištavanje sredstava iz Mehanizma za oporavak i otpornost – Napreduje se uz kašnjenja te i dalje postoje rizici za dovršetak mjera te stoga i za postizanje ciljeva RRF-a”, tematsko izvješće Europskog revizorskog suda br. 14/2024 od 11. rujna 2024. naslovljeno „Zelena tranzicija – Nejasan doprinos Mehanizma za oporavak i otpornost” i tematsko izvješće Europskog revizorskog suda br. 22/2024 od 21. listopada 2024. naslovljeno „Dvostruko financiranje iz proračuna EU-a – U sustavima kontrole nedostaju ključni elementi za ublažavanje povećanog rizika uzrokovanog modelom financiranja koje nije povezano s troškovima primijenjenim na Mehanizam za oporavak i otpornost”,</w:t>
      </w:r>
    </w:p>
    <w:p w:rsidR="000D75DD" w:rsidRPr="0034102E" w:rsidP="000D75DD" w14:paraId="26FA1968" w14:textId="77777777">
      <w:pPr>
        <w:pStyle w:val="NormalHanging"/>
      </w:pPr>
      <w:r w:rsidRPr="0034102E">
        <w:t>–</w:t>
      </w:r>
      <w:r w:rsidRPr="0034102E">
        <w:tab/>
        <w:t>uzimajući u obzir pregled Europskog revizorskog suda 03/2025 od 16. lipnja 2025. naslovljen „Prilike za višegodišnji financijski okvir za razdoblje nakon 2027.” i pregled Europskog revizorskog suda 04/2025 od 19. lipnja 2025. naslovljen „Budućnost kohezijske politike EU-a: pouke iz prošlosti”,</w:t>
      </w:r>
    </w:p>
    <w:p w:rsidR="000D75DD" w:rsidRPr="0034102E" w:rsidP="000D75DD" w14:paraId="63AD7CAD" w14:textId="6FFB2B13">
      <w:pPr>
        <w:pStyle w:val="NormalHanging"/>
      </w:pPr>
      <w:r w:rsidRPr="0034102E">
        <w:t>–</w:t>
      </w:r>
      <w:r w:rsidRPr="0034102E">
        <w:tab/>
        <w:t>uzimajući u obzir svoju Rezoluciju od 7. svibnja 2025. o unaprijeđenom dugoročnom proračunu Unije u svijetu koji se mijenja i mišljenje Odbora za proračunski nadzor upućeno Odboru za proračune o unaprijeđenom dugoročnom proračunu Unije u svijetu koji se mijenja</w:t>
      </w:r>
      <w:r>
        <w:rPr>
          <w:rStyle w:val="FootnoteReference"/>
        </w:rPr>
        <w:footnoteReference w:id="10"/>
      </w:r>
      <w:r w:rsidRPr="0034102E">
        <w:t>,</w:t>
      </w:r>
    </w:p>
    <w:p w:rsidR="000D75DD" w:rsidRPr="0034102E" w:rsidP="000D75DD" w14:paraId="1194E725" w14:textId="77777777">
      <w:pPr>
        <w:pStyle w:val="NormalHanging"/>
      </w:pPr>
      <w:r w:rsidRPr="0034102E">
        <w:t>–</w:t>
      </w:r>
      <w:r w:rsidRPr="0034102E">
        <w:tab/>
        <w:t xml:space="preserve">uzimajući u obzir izvješće Odbora za proračunski nadzor od 23. travnja 2025. o razrješnici za izvršenje općeg proračuna Europske unije za financijsku godinu 2023., </w:t>
      </w:r>
      <w:r w:rsidRPr="0034102E">
        <w:t>dio III. – Komisija i izvršne agencije te deveti, deseti i jedanaesti Europski razvojni fond,</w:t>
      </w:r>
    </w:p>
    <w:p w:rsidR="000D75DD" w:rsidRPr="0034102E" w:rsidP="000D75DD" w14:paraId="1874384E" w14:textId="77777777">
      <w:pPr>
        <w:pStyle w:val="NormalHanging"/>
      </w:pPr>
      <w:r w:rsidRPr="0034102E">
        <w:t>–</w:t>
      </w:r>
      <w:r w:rsidRPr="0034102E">
        <w:tab/>
        <w:t>uzimajući u obzir izvješće Komisije iz prosinca 2023. naslovljeno „</w:t>
      </w:r>
      <w:r w:rsidRPr="0034102E">
        <w:t>Study</w:t>
      </w:r>
      <w:r w:rsidRPr="0034102E">
        <w:t xml:space="preserve"> </w:t>
      </w:r>
      <w:r w:rsidRPr="0034102E">
        <w:t>supporting</w:t>
      </w:r>
      <w:r w:rsidRPr="0034102E">
        <w:t xml:space="preserve"> </w:t>
      </w:r>
      <w:r w:rsidRPr="0034102E">
        <w:t>the</w:t>
      </w:r>
      <w:r w:rsidRPr="0034102E">
        <w:t xml:space="preserve"> </w:t>
      </w:r>
      <w:r w:rsidRPr="0034102E">
        <w:t>mid-term</w:t>
      </w:r>
      <w:r w:rsidRPr="0034102E">
        <w:t xml:space="preserve"> </w:t>
      </w:r>
      <w:r w:rsidRPr="0034102E">
        <w:t>Evaluation</w:t>
      </w:r>
      <w:r w:rsidRPr="0034102E">
        <w:t xml:space="preserve"> </w:t>
      </w:r>
      <w:r w:rsidRPr="0034102E">
        <w:t>of</w:t>
      </w:r>
      <w:r w:rsidRPr="0034102E">
        <w:t xml:space="preserve"> </w:t>
      </w:r>
      <w:r w:rsidRPr="0034102E">
        <w:t>the</w:t>
      </w:r>
      <w:r w:rsidRPr="0034102E">
        <w:t xml:space="preserve"> </w:t>
      </w:r>
      <w:r w:rsidRPr="0034102E">
        <w:t>Recovery</w:t>
      </w:r>
      <w:r w:rsidRPr="0034102E">
        <w:t xml:space="preserve"> </w:t>
      </w:r>
      <w:r w:rsidRPr="0034102E">
        <w:t>and</w:t>
      </w:r>
      <w:r w:rsidRPr="0034102E">
        <w:t xml:space="preserve"> </w:t>
      </w:r>
      <w:r w:rsidRPr="0034102E">
        <w:t>Resilience</w:t>
      </w:r>
      <w:r w:rsidRPr="0034102E">
        <w:t xml:space="preserve"> </w:t>
      </w:r>
      <w:r w:rsidRPr="0034102E">
        <w:t>Facility</w:t>
      </w:r>
      <w:r w:rsidRPr="0034102E">
        <w:t>” (Studija kojom se podupire evaluacija Mehanizma za oporavak i otpornost u sredini programskog razdoblja),</w:t>
      </w:r>
    </w:p>
    <w:p w:rsidR="000D75DD" w:rsidRPr="0034102E" w:rsidP="000D75DD" w14:paraId="3DA0D536" w14:textId="77777777">
      <w:pPr>
        <w:pStyle w:val="NormalHanging"/>
      </w:pPr>
      <w:r w:rsidRPr="0034102E">
        <w:t>–</w:t>
      </w:r>
      <w:r w:rsidRPr="0034102E">
        <w:tab/>
        <w:t>uzimajući u obzir godišnje izvješće Ureda europskog javnog tužitelja (EPPO) za 2024., objavljeno 3. ožujka 2025.,</w:t>
      </w:r>
    </w:p>
    <w:p w:rsidR="000D75DD" w:rsidRPr="0034102E" w:rsidP="000D75DD" w14:paraId="5E206064" w14:textId="77777777">
      <w:pPr>
        <w:pStyle w:val="NormalHanging"/>
      </w:pPr>
      <w:r w:rsidRPr="0034102E">
        <w:t>–</w:t>
      </w:r>
      <w:r w:rsidRPr="0034102E">
        <w:tab/>
        <w:t xml:space="preserve">uzimajući u obzir izvješće Marija </w:t>
      </w:r>
      <w:r w:rsidRPr="0034102E">
        <w:t>Draghija</w:t>
      </w:r>
      <w:r w:rsidRPr="0034102E">
        <w:t xml:space="preserve"> iz rujna 2024. naslovljeno „Budućnost europske konkurentnosti” (</w:t>
      </w:r>
      <w:r w:rsidRPr="0034102E">
        <w:t>Draghijevo</w:t>
      </w:r>
      <w:r w:rsidRPr="0034102E">
        <w:t xml:space="preserve"> izvješće),</w:t>
      </w:r>
    </w:p>
    <w:p w:rsidR="000D75DD" w:rsidRPr="0034102E" w:rsidP="000D75DD" w14:paraId="1B1ECC20" w14:textId="7C54B1AD">
      <w:pPr>
        <w:pStyle w:val="NormalHanging"/>
      </w:pPr>
      <w:r w:rsidRPr="0034102E">
        <w:t>–</w:t>
      </w:r>
      <w:r w:rsidRPr="0034102E">
        <w:tab/>
        <w:t>uzimajući u obzir mišljenje Europskog odbora regija od 8. listopada 2024. naslovljeno „Preispitivanje sredinom programskog razdoblja europskog plana oporavka nakon pandemije bolesti COVID-19 (Mehanizam za oporavak i otpornost)”</w:t>
      </w:r>
      <w:r>
        <w:rPr>
          <w:rStyle w:val="FootnoteReference"/>
        </w:rPr>
        <w:footnoteReference w:id="11"/>
      </w:r>
      <w:r w:rsidRPr="0034102E">
        <w:t>,</w:t>
      </w:r>
    </w:p>
    <w:p w:rsidR="000D75DD" w:rsidRPr="0034102E" w:rsidP="000D75DD" w14:paraId="07899B67" w14:textId="77777777">
      <w:pPr>
        <w:pStyle w:val="NormalHanging"/>
      </w:pPr>
      <w:r w:rsidRPr="0034102E">
        <w:t>–</w:t>
      </w:r>
      <w:r w:rsidRPr="0034102E">
        <w:tab/>
        <w:t>uzimajući u obzir informacije objavljene u tablici pokazatelja za oporavak i otpornost,</w:t>
      </w:r>
    </w:p>
    <w:p w:rsidR="000D75DD" w:rsidRPr="0034102E" w:rsidP="000D75DD" w14:paraId="451B859A" w14:textId="77777777">
      <w:pPr>
        <w:pStyle w:val="NormalHanging"/>
      </w:pPr>
      <w:r w:rsidRPr="0034102E">
        <w:t>–</w:t>
      </w:r>
      <w:r w:rsidRPr="0034102E">
        <w:tab/>
        <w:t>uzimajući u obzir svoja interna istraživanja, detaljnu analizu i brifinge povezane s provedbom Mehanizma za oporavak i otpornost,</w:t>
      </w:r>
    </w:p>
    <w:p w:rsidR="000D75DD" w:rsidRPr="0034102E" w:rsidP="000D75DD" w14:paraId="4BE12DDA" w14:textId="77777777">
      <w:pPr>
        <w:pStyle w:val="NormalHanging"/>
      </w:pPr>
      <w:r w:rsidRPr="0034102E">
        <w:t>–</w:t>
      </w:r>
      <w:r w:rsidRPr="0034102E">
        <w:tab/>
        <w:t xml:space="preserve">uzimajući u obzir izvješće Enrica </w:t>
      </w:r>
      <w:r w:rsidRPr="0034102E">
        <w:t>Lette</w:t>
      </w:r>
      <w:r w:rsidRPr="0034102E">
        <w:t xml:space="preserve"> od 17. travnja 2024. naslovljeno „Više od tržišta – brzina, sigurnost i solidarnost – jačanje jedinstvenog tržišta radi održive budućnosti i blagostanja svih građana EU-a” (</w:t>
      </w:r>
      <w:r w:rsidRPr="0034102E">
        <w:t>Lettino</w:t>
      </w:r>
      <w:r w:rsidRPr="0034102E">
        <w:t xml:space="preserve"> izvješće),</w:t>
      </w:r>
    </w:p>
    <w:p w:rsidR="000D75DD" w:rsidRPr="0034102E" w:rsidP="000D75DD" w14:paraId="18A8D3EC" w14:textId="77777777">
      <w:pPr>
        <w:pStyle w:val="NormalHanging"/>
      </w:pPr>
      <w:r w:rsidRPr="0034102E">
        <w:t>–</w:t>
      </w:r>
      <w:r w:rsidRPr="0034102E">
        <w:tab/>
        <w:t>uzimajući u obzir izvješće Skupine na visokoj razini za budućnost kohezijske politike od 20. veljače 2024. naslovljeno „</w:t>
      </w:r>
      <w:r w:rsidRPr="0034102E">
        <w:t>Forging</w:t>
      </w:r>
      <w:r w:rsidRPr="0034102E">
        <w:t xml:space="preserve"> a </w:t>
      </w:r>
      <w:r w:rsidRPr="0034102E">
        <w:t>sustainable</w:t>
      </w:r>
      <w:r w:rsidRPr="0034102E">
        <w:t xml:space="preserve"> future </w:t>
      </w:r>
      <w:r w:rsidRPr="0034102E">
        <w:t>together</w:t>
      </w:r>
      <w:r w:rsidRPr="0034102E">
        <w:t xml:space="preserve"> – </w:t>
      </w:r>
      <w:r w:rsidRPr="0034102E">
        <w:t>Cohesion</w:t>
      </w:r>
      <w:r w:rsidRPr="0034102E">
        <w:t xml:space="preserve"> for a </w:t>
      </w:r>
      <w:r w:rsidRPr="0034102E">
        <w:t>competitive</w:t>
      </w:r>
      <w:r w:rsidRPr="0034102E">
        <w:t xml:space="preserve"> </w:t>
      </w:r>
      <w:r w:rsidRPr="0034102E">
        <w:t>and</w:t>
      </w:r>
      <w:r w:rsidRPr="0034102E">
        <w:t xml:space="preserve"> </w:t>
      </w:r>
      <w:r w:rsidRPr="0034102E">
        <w:t>inclusive</w:t>
      </w:r>
      <w:r w:rsidRPr="0034102E">
        <w:t xml:space="preserve"> Europe” (Zajednički gradimo održivu budućnost: Kohezija za konkurentnu i </w:t>
      </w:r>
      <w:r w:rsidRPr="0034102E">
        <w:t>uključivu</w:t>
      </w:r>
      <w:r w:rsidRPr="0034102E">
        <w:t xml:space="preserve"> Europu),</w:t>
      </w:r>
    </w:p>
    <w:p w:rsidR="000D75DD" w:rsidRPr="0034102E" w:rsidP="000D75DD" w14:paraId="1FD6C267" w14:textId="77777777">
      <w:pPr>
        <w:pStyle w:val="NormalHanging"/>
      </w:pPr>
      <w:r w:rsidRPr="0034102E">
        <w:t>–</w:t>
      </w:r>
      <w:r w:rsidRPr="0034102E">
        <w:tab/>
        <w:t>uzimajući u obzir komunikaciju Komisije od 11. veljače 2025. naslovljenu „Put prema sljedećem višegodišnjem financijskom okviru” (COM(2025)0046),</w:t>
      </w:r>
    </w:p>
    <w:p w:rsidR="000D75DD" w:rsidRPr="0034102E" w:rsidP="000D75DD" w14:paraId="0CECAFB4" w14:textId="77777777">
      <w:pPr>
        <w:pStyle w:val="NormalHanging"/>
      </w:pPr>
      <w:r w:rsidRPr="0034102E">
        <w:t>–</w:t>
      </w:r>
      <w:r w:rsidRPr="0034102E">
        <w:tab/>
        <w:t>uzimajući u obzir komunikaciju Komisije od 29. siječnja 2025. naslovljenu „Kompas konkurentnosti za EU” (COM(2025)0030),</w:t>
      </w:r>
    </w:p>
    <w:p w:rsidR="000D75DD" w:rsidRPr="0034102E" w:rsidP="000D75DD" w14:paraId="6F1D4E66" w14:textId="77777777">
      <w:pPr>
        <w:pStyle w:val="NormalHanging"/>
      </w:pPr>
      <w:r w:rsidRPr="0034102E">
        <w:t>–</w:t>
      </w:r>
      <w:r w:rsidRPr="0034102E">
        <w:tab/>
        <w:t>uzimajući u obzir zaključke Europskog vijeća od 20. ožujka 2025., 6. ožujka 2025. i 19. prosinca 2024.,</w:t>
      </w:r>
    </w:p>
    <w:p w:rsidR="000D75DD" w:rsidRPr="0034102E" w:rsidP="000D75DD" w14:paraId="5255A03B" w14:textId="77777777">
      <w:pPr>
        <w:pStyle w:val="NormalHanging"/>
      </w:pPr>
      <w:r w:rsidRPr="0034102E">
        <w:t>–</w:t>
      </w:r>
      <w:r w:rsidRPr="0034102E">
        <w:tab/>
        <w:t>uzimajući u obzir političke smjernice za mandat Komisije za razdoblje 2024. – 2029., koje je izabrana predsjednica Komisije predstavila 18. srpnja 2024.,</w:t>
      </w:r>
    </w:p>
    <w:p w:rsidR="000D75DD" w:rsidRPr="0034102E" w:rsidP="000D75DD" w14:paraId="39F0D6F8" w14:textId="3AEA6B07">
      <w:pPr>
        <w:pStyle w:val="NormalHanging"/>
      </w:pPr>
      <w:r w:rsidRPr="0034102E">
        <w:t>–</w:t>
      </w:r>
      <w:r w:rsidRPr="0034102E">
        <w:tab/>
        <w:t>uzimajući u obzir mišljenje Europskog odbora regija od 20. studenoga 2024. naslovljeno „Proračun EU-a i lokalizirane politike: prijedlozi za novi oblik i mehanizme provedbe u VFO-u za razdoblje nakon 2027.”</w:t>
      </w:r>
      <w:r>
        <w:rPr>
          <w:rStyle w:val="FootnoteReference"/>
        </w:rPr>
        <w:footnoteReference w:id="12"/>
      </w:r>
      <w:r w:rsidRPr="0034102E">
        <w:t>,</w:t>
      </w:r>
    </w:p>
    <w:p w:rsidR="000D75DD" w:rsidRPr="0034102E" w:rsidP="000D75DD" w14:paraId="6773B245" w14:textId="43D66270">
      <w:pPr>
        <w:pStyle w:val="NormalHanging"/>
      </w:pPr>
      <w:r w:rsidRPr="0034102E">
        <w:t>–</w:t>
      </w:r>
      <w:r w:rsidRPr="0034102E">
        <w:tab/>
        <w:t>uzimajući u obzir Komisijin Prijedlog uredbe Europskog parlamenta i Vijeća od 16. srpnja 2025. o uspostavi okvira za praćenje proračunskih rashoda i uspješnost te drugih horizontalnih pravila za programe i aktivnosti Unije (COM</w:t>
      </w:r>
      <w:r w:rsidR="00562D19">
        <w:t>(</w:t>
      </w:r>
      <w:r w:rsidRPr="0034102E">
        <w:t>2025</w:t>
      </w:r>
      <w:r w:rsidR="00562D19">
        <w:t>)</w:t>
      </w:r>
      <w:r w:rsidRPr="0034102E">
        <w:t>0545),</w:t>
      </w:r>
    </w:p>
    <w:p w:rsidR="000D75DD" w:rsidRPr="0034102E" w:rsidP="000D75DD" w14:paraId="5C8AFA86" w14:textId="10DD5AD0">
      <w:pPr>
        <w:pStyle w:val="NormalHanging"/>
      </w:pPr>
      <w:r w:rsidRPr="0034102E">
        <w:t>–</w:t>
      </w:r>
      <w:r w:rsidRPr="0034102E">
        <w:tab/>
        <w:t>uzimajući u obzir svoju Rezoluciju od 18. lipnja 2025. o provedbi Mehanizma za oporavak i otpornost</w:t>
      </w:r>
      <w:r>
        <w:rPr>
          <w:rStyle w:val="FootnoteReference"/>
        </w:rPr>
        <w:footnoteReference w:id="13"/>
      </w:r>
      <w:r w:rsidRPr="0034102E">
        <w:t>,</w:t>
      </w:r>
    </w:p>
    <w:p w:rsidR="000D75DD" w:rsidRPr="0034102E" w:rsidP="000D75DD" w14:paraId="5AB9D160" w14:textId="77777777">
      <w:pPr>
        <w:pStyle w:val="NormalHanging"/>
      </w:pPr>
      <w:r w:rsidRPr="0034102E">
        <w:t>–</w:t>
      </w:r>
      <w:r w:rsidRPr="0034102E">
        <w:tab/>
        <w:t>uzimajući u obzir izvješće Odbora za proračunski nadzor (A10-0074/2025),</w:t>
      </w:r>
    </w:p>
    <w:p w:rsidR="000D75DD" w:rsidRPr="0034102E" w:rsidP="000D75DD" w14:paraId="25A242E4" w14:textId="77777777">
      <w:pPr>
        <w:pStyle w:val="NormalHanging"/>
      </w:pPr>
      <w:r w:rsidRPr="0034102E">
        <w:t>–</w:t>
      </w:r>
      <w:r w:rsidRPr="0034102E">
        <w:tab/>
        <w:t>uzimajući u obzir članak 55. i članak 148. stavak 2. Poslovnika,</w:t>
      </w:r>
    </w:p>
    <w:p w:rsidR="000D75DD" w:rsidRPr="0034102E" w:rsidP="000D75DD" w14:paraId="5CECF7B3" w14:textId="77777777">
      <w:pPr>
        <w:pStyle w:val="NormalHanging"/>
      </w:pPr>
      <w:r w:rsidRPr="0034102E">
        <w:t>–</w:t>
      </w:r>
      <w:r w:rsidRPr="0034102E">
        <w:tab/>
        <w:t>uzimajući u obzir izvješće Odbora za proračunski nadzor (A10</w:t>
      </w:r>
      <w:r w:rsidRPr="0034102E">
        <w:noBreakHyphen/>
        <w:t>0022/2026),</w:t>
      </w:r>
    </w:p>
    <w:p w:rsidR="000D75DD" w:rsidRPr="0034102E" w:rsidP="000D75DD" w14:paraId="09E763D3" w14:textId="77777777">
      <w:pPr>
        <w:pStyle w:val="NormalHanging12a"/>
      </w:pPr>
      <w:r w:rsidRPr="0034102E">
        <w:t>A.</w:t>
      </w:r>
      <w:r w:rsidRPr="0034102E">
        <w:tab/>
        <w:t>budući da sve veći broj političkih prioriteta u EU-u stvara dodatni pritisak na proračun EU-a, zbog čega je odgovorno korištenje dostupnih financijskih sredstava važnije nego ikad prije; budući da dobro financijsko upravljanje, kako je definirano u Financijskoj uredbi, zahtijeva da se fondovi EU-a provode u skladu s načelima ekonomičnosti, učinkovitosti i djelotvornosti kako bi se osiguralo da se sredstva upotrebljavaju na troškovno učinkovit način, da se ciljevi postižu pravodobno, u primjerenoj količini i po najboljoj cijeni te da se ostvare željeni rezultati i učinci; budući da to učvršćuje potrebu za oprezom u financijskom upravljanju kako bi se zajamčilo da se rashodima ostvaruje dokaziv povrat ulaganja u smislu gospodarskog rasta, konkurentnosti i postizanja prioriteta EU-a;</w:t>
      </w:r>
    </w:p>
    <w:p w:rsidR="000D75DD" w:rsidRPr="0034102E" w:rsidP="000D75DD" w14:paraId="0CED484F" w14:textId="77777777">
      <w:pPr>
        <w:pStyle w:val="NormalHanging"/>
      </w:pPr>
      <w:r w:rsidRPr="0034102E">
        <w:t>B.</w:t>
      </w:r>
      <w:r w:rsidRPr="0034102E">
        <w:tab/>
        <w:t>budući da, ako se financiranje EU-a provodi u obliku potpore koja nije povezana s nadoknadom prihvatljivih troškova, već s rezultatima, ostvarenjima ili drugim pokazateljima uspješnosti, plaćanja ovise o ostvarenju unaprijed utvrđenih ključnih etapa ili ciljeva, koje se mora provjeriti prije bilo kakve isplate;</w:t>
      </w:r>
    </w:p>
    <w:p w:rsidR="000D75DD" w:rsidRPr="0034102E" w:rsidP="000D75DD" w14:paraId="05FBAA16" w14:textId="77777777">
      <w:pPr>
        <w:pStyle w:val="NormalHanging"/>
      </w:pPr>
      <w:r w:rsidRPr="0034102E">
        <w:t>C.</w:t>
      </w:r>
      <w:r w:rsidRPr="0034102E">
        <w:tab/>
        <w:t>budući da se tim pristupom zbog odvajanja isplata od stvarnih rashoda otežava dostupnost podataka o stvarnim troškovima, a time i procjena ekonomičnosti, učinkovitosti i djelotvornosti; ističe da taj nedostatak podataka sprječava sustavno prepoznavanje nepravilnosti, rizika od prijevare i dvostrukog financiranja te istovremeno oslabljuje sposobnost EU-a da primijeni mehanizme ranog upozoravanja i utvrđivanje razine rizika utemeljeno na podatcima;</w:t>
      </w:r>
    </w:p>
    <w:p w:rsidR="000D75DD" w:rsidRPr="0034102E" w:rsidP="000D75DD" w14:paraId="22B8C7FD" w14:textId="77777777">
      <w:pPr>
        <w:pStyle w:val="NormalHanging"/>
      </w:pPr>
      <w:r w:rsidRPr="0034102E">
        <w:t>D.</w:t>
      </w:r>
      <w:r w:rsidRPr="0034102E">
        <w:tab/>
        <w:t>budući da izostanak provjere rashoda povećava rizik od netočnosti pri procjenama troškova, čime se ugrožavaju dobro financijsko upravljanje, transparentnost i odgovornost; budući da je Europski revizorski sud u više navrata upozoravao na nedostatke u procjenama troškova, varijabilnost nacionalnih revizijskih standarda i nedostatke u nadzornim kapacitetima Komisije;</w:t>
      </w:r>
    </w:p>
    <w:p w:rsidR="000D75DD" w:rsidRPr="0034102E" w:rsidP="000D75DD" w14:paraId="25DCFF04" w14:textId="77777777">
      <w:pPr>
        <w:pStyle w:val="NormalHanging"/>
      </w:pPr>
      <w:r w:rsidRPr="0034102E">
        <w:t>E.</w:t>
      </w:r>
      <w:r w:rsidRPr="0034102E">
        <w:tab/>
        <w:t>budući da široka margina procjene jesu li ključne etape i ciljevi ostvareni može dovesti do nedosljednog postupanja Komisije prema državama članicama ili do preranog oslobađanja sredstava dok uvjeti za isplatu još nisu potpuno ispunjeni;</w:t>
      </w:r>
    </w:p>
    <w:p w:rsidR="000D75DD" w:rsidRPr="0034102E" w:rsidP="000D75DD" w14:paraId="2A300895" w14:textId="77777777">
      <w:pPr>
        <w:pStyle w:val="NormalHanging"/>
      </w:pPr>
      <w:r w:rsidRPr="0034102E">
        <w:t>F.</w:t>
      </w:r>
      <w:r w:rsidRPr="0034102E">
        <w:tab/>
        <w:t xml:space="preserve">budući da je Europski revizorski sud utvrdio slabosti u strukturi sustava kontrole Mehanizma za oporavak i otpornost, uključujući prekomjerno oslanjanje na nacionalna tijela, nepotpune revizijske tragove, sustavne nedostatke i rizike od nedosljedne primjene u različitim državama članicama; napominje da fragmentacija i </w:t>
      </w:r>
      <w:r w:rsidRPr="0034102E">
        <w:t>nekompatibilnost nacionalnih podatkovnih sustava dodatno pogoršavaju te slabosti, što otežava interoperabilnost, pravodobno otkrivanje rizika i učinkovitu zaštitu osobnih podataka pri postupcima revizije i nadzora;</w:t>
      </w:r>
    </w:p>
    <w:p w:rsidR="000D75DD" w:rsidRPr="0034102E" w:rsidP="000D75DD" w14:paraId="0FC60496" w14:textId="77777777">
      <w:pPr>
        <w:pStyle w:val="NormalHanging"/>
      </w:pPr>
      <w:r w:rsidRPr="0034102E">
        <w:t>G.</w:t>
      </w:r>
      <w:r w:rsidRPr="0034102E">
        <w:tab/>
        <w:t>budući da se kontrola instrumenata koji se temelje na uspješnosti oslanja na vjerodostojnost nacionalnih mehanizama praćenja; budući da nedostaci u vladavini prava povećavaju rizik za financijske interese EU-a jer njihova zaštita ovisi o neovisnom pravosuđu i autonomnim tijelima za borbu protiv prijevara;</w:t>
      </w:r>
    </w:p>
    <w:p w:rsidR="000D75DD" w:rsidRPr="0034102E" w:rsidP="000D75DD" w14:paraId="3AAABAC5" w14:textId="77777777">
      <w:pPr>
        <w:pStyle w:val="NormalHanging"/>
      </w:pPr>
      <w:r w:rsidRPr="0034102E">
        <w:t>H.</w:t>
      </w:r>
      <w:r w:rsidRPr="0034102E">
        <w:tab/>
        <w:t>budući da demokratska odgovornost zahtijeva zaštitu uloge Parlamenta kao zakonodavca te proračunskog tijela i tijela nadležnog za davanje razrješnice, uz stroge mehanizme odgovornosti i potpunu transparentnost u pogledu krajnjih primatelja sredstava Unije, te budući da se države članice i druga nacionalna tijela ne bi trebali smatrati krajnjim primateljima sredstava Unije;</w:t>
      </w:r>
    </w:p>
    <w:p w:rsidR="000D75DD" w:rsidRPr="0034102E" w:rsidP="000D75DD" w14:paraId="42CBEDF5" w14:textId="77777777">
      <w:pPr>
        <w:pStyle w:val="Normal12a"/>
      </w:pPr>
      <w:r w:rsidRPr="0034102E">
        <w:rPr>
          <w:b/>
          <w:i/>
        </w:rPr>
        <w:t>Izazovi koji utječu na transparentnost, odgovornost i djelotvornu kontrolu instrumenata koji se temelje na uspješnosti</w:t>
      </w:r>
    </w:p>
    <w:p w:rsidR="000D75DD" w:rsidRPr="0034102E" w:rsidP="000D75DD" w14:paraId="2474BA67" w14:textId="77777777">
      <w:pPr>
        <w:pStyle w:val="NormalHanging12a"/>
      </w:pPr>
      <w:r w:rsidRPr="0034102E">
        <w:t>1.</w:t>
      </w:r>
      <w:r w:rsidRPr="0034102E">
        <w:tab/>
        <w:t>ističe da se u skladu s Financijskom uredbom instrumentima koji se temelje na uspješnosti moraju poštovati načela zakonitosti, pravilnosti, ekonomičnosti, učinkovitosti i djelotvornosti te da se pojednostavnjenje nikada ne bi smjelo primijeniti nauštrb dobrog financijskog upravljanja i transparentnosti; poziva na razmjerne kontrole koje se temelje na riziku i ustraje u tome da bi pokazatelji za instrumente koji se temelje na uspješnosti trebali obuhvaćati konkretne rezultate i dodanu vrijednost EU-a, a ne samo unaprijed definirana ostvarenja; naglašava da takvi instrumenti, kada su osmišljeni na odgovarajući način, mogu staviti veći naglasak na rezultate, reforme i konkurentnost;</w:t>
      </w:r>
    </w:p>
    <w:p w:rsidR="000D75DD" w:rsidRPr="0034102E" w:rsidP="000D75DD" w14:paraId="2D1FD890" w14:textId="77777777">
      <w:pPr>
        <w:pStyle w:val="NormalHanging12a"/>
      </w:pPr>
      <w:r w:rsidRPr="0034102E">
        <w:t>2.</w:t>
      </w:r>
      <w:r w:rsidRPr="0034102E">
        <w:tab/>
        <w:t>napominje da je na razini EU-a Mehanizam za oporavak i otpornost sa svojim naglaskom na isplatama temeljenim na zadovoljavajuće ostvarenim ključnim etapama i ciljevima prvi veliki instrument koji se temelji na uspješnosti te isključivo na financiranju koje nije povezano s troškovima; nadalje, napominje da je model Mehanizma za oporavak i otpornost repliciran u drugim financijskim instrumentima kao što su Instrument za Ukrajinu i Instrument za zapadni Balkan; zabrinut je zbog prijedloga Komisije za upotrebu sličnog modela u sljedećem višegodišnjem financijskom okviru (VFO) za većinu programa financiranja EU-a, među ostalim i za naslov 1.; napominje da je Mehanizam za oporavak i otpornost u određenoj mjeri potaknuo neka nacionalna ulaganja i reforme;</w:t>
      </w:r>
    </w:p>
    <w:p w:rsidR="000D75DD" w:rsidRPr="0034102E" w:rsidP="000D75DD" w14:paraId="39C3C94E" w14:textId="77777777">
      <w:pPr>
        <w:pStyle w:val="NormalHanging12a"/>
      </w:pPr>
      <w:r w:rsidRPr="0034102E">
        <w:t>3.</w:t>
      </w:r>
      <w:r w:rsidRPr="0034102E">
        <w:tab/>
        <w:t xml:space="preserve">naglašava važnost stjecanja spoznaja na temelju ključnih nedostataka koji su otkriveni centraliziranim modelom ostvarivanja ciljeva Mehanizma za oporavak i otpornost koji se temelji na uspješnosti, i koje su priznali Europski revizorski sud i Komisija, uključujući smanjenu odgovornost i ograničen nadzor nad usklađenosti s pravilima i propisima na razini EU-a; naglašava da se transparentnost u pogledu krajnjih primatelja mora osigurati jedinstvenim, </w:t>
      </w:r>
      <w:r w:rsidRPr="0034102E">
        <w:t>interoperabilnim</w:t>
      </w:r>
      <w:r w:rsidRPr="0034102E">
        <w:t xml:space="preserve"> sustavom izvješćivanja na razini EU-a koji treba biti dostupan Komisiji, Europskom revizorskom sudu, EPPO-u i Parlamentu; naglašava da se dodana vrijednost za EU može povećati većim brojem prekograničnih projekata i osiguravanjem odgovarajućih ovlasti </w:t>
      </w:r>
      <w:r w:rsidRPr="0034102E">
        <w:t>podnacionalnih</w:t>
      </w:r>
      <w:r w:rsidRPr="0034102E">
        <w:t xml:space="preserve"> tijela, posebno lokalnih i regionalnih vlasti, za donošenje odluka pri osmišljavanju i provedbi Mehanizma;</w:t>
      </w:r>
    </w:p>
    <w:p w:rsidR="000D75DD" w:rsidRPr="0034102E" w:rsidP="000D75DD" w14:paraId="270E89A2" w14:textId="77777777">
      <w:pPr>
        <w:pStyle w:val="NormalHanging12a"/>
      </w:pPr>
      <w:r w:rsidRPr="0034102E">
        <w:t>4.</w:t>
      </w:r>
      <w:r w:rsidRPr="0034102E">
        <w:tab/>
        <w:t xml:space="preserve">smatra da je, iako je Mehanizam za oporavak i otpornost zamišljen kao instrument koji se temelji na uspješnosti, njegova provedba često više usmjerena na ostvarenja nego na </w:t>
      </w:r>
      <w:r w:rsidRPr="0034102E">
        <w:t>rezultate; izražava žaljenje zbog toga što nejasno definirane ključne etape i ciljne vrijednosti, kojima se prvenstveno naglašavaju uloženi resursi i ostvarenja, a ne rezultati, mogu ugroziti postizanje ciljeva Mehanizma za oporavak i otpornost; smatra da bi se budućim instrumentima koji se temelje na uspješnosti trebali uspostaviti konkretniji ključni pokazatelji uspješnosti, čime bi se osiguralo da su ulaganja usklađena s ciljevima instrumenta i da se njima ostvaruje pozitivan učinak i jasna dodana vrijednost za EU; poziva Komisiju da osigura usklađenost budućih instrumenata koji se temelje na uspješnosti u različitim državama članicama, kao i transparentnost postupka njihova osmišljavanja te njihovu stabilnost u vremenu da bi se poboljšala dosljednost, odgovornost i dugoročna djelotvornost;</w:t>
      </w:r>
    </w:p>
    <w:p w:rsidR="000D75DD" w:rsidRPr="0034102E" w:rsidP="000D75DD" w14:paraId="73C2CC96" w14:textId="77777777">
      <w:pPr>
        <w:pStyle w:val="NormalHanging12a"/>
      </w:pPr>
      <w:r w:rsidRPr="0034102E">
        <w:t>5.</w:t>
      </w:r>
      <w:r w:rsidRPr="0034102E">
        <w:tab/>
        <w:t xml:space="preserve">naglašava da oslanjanje na </w:t>
      </w:r>
      <w:r w:rsidRPr="0034102E">
        <w:rPr>
          <w:i/>
          <w:iCs/>
        </w:rPr>
        <w:t xml:space="preserve">ex </w:t>
      </w:r>
      <w:r w:rsidRPr="0034102E">
        <w:rPr>
          <w:i/>
          <w:iCs/>
        </w:rPr>
        <w:t>ante</w:t>
      </w:r>
      <w:r w:rsidRPr="0034102E">
        <w:t xml:space="preserve"> procjene troškova bez provjere stvarnih rashoda može stvoriti strukturni jaz u odgovornosti i ograničiti mogućnost procjene vrijednosti za uloženi novac te stoga ugroziti poštovanje načela ekonomičnosti i učinkovitosti; ističe potrebu za provedbom mehanizama provjere koji se temelje na riziku i značajnosti s jasno definiranim pragovima za obvezne provjere; poziva Komisiju da sustavno integrira rudarenje podataka, alate za unakrsnu provjeru i analitiku u buduće instrumente koji se temelje na uspješnosti kako bi se otkrile nepravilnosti i rizici od korupcije i sukoba interesa;</w:t>
      </w:r>
    </w:p>
    <w:p w:rsidR="000D75DD" w:rsidRPr="0034102E" w:rsidP="000D75DD" w14:paraId="132F944D" w14:textId="77777777">
      <w:pPr>
        <w:pStyle w:val="NormalHanging12a"/>
      </w:pPr>
      <w:r w:rsidRPr="0034102E">
        <w:t>6.</w:t>
      </w:r>
      <w:r w:rsidRPr="0034102E">
        <w:tab/>
        <w:t>iznimno je zabrinut zbog prijedloga Komisije za opću upotrebu financiranja koje nije povezano s troškovima u sljedećem VFO-u i ističe važnost uspostave odgovarajućih zaštitnih mjera kojima bi se osiguralo dobro financijsko upravljanje pri provedbi financiranja Unije; ističe potrebu za pažljivom procjenom takvog znatnog pomaka prema upotrebi financiranja koje nije povezano s troškovima uzimajući u obzir nedostatke utvrđene u prethodnim ili postojećim instrumentima koji se temelje na uspješnosti i naglašava nužnost provedbe sveobuhvatne evaluacije Mehanizma za oporavak i otpornost;</w:t>
      </w:r>
    </w:p>
    <w:p w:rsidR="000D75DD" w:rsidRPr="0034102E" w:rsidP="000D75DD" w14:paraId="2359008D" w14:textId="77777777">
      <w:pPr>
        <w:pStyle w:val="NormalHanging12a"/>
      </w:pPr>
      <w:r w:rsidRPr="0034102E">
        <w:t>7.</w:t>
      </w:r>
      <w:r w:rsidRPr="0034102E">
        <w:tab/>
        <w:t xml:space="preserve">izražava zabrinutost u vezi sa sve većom opterećenošću dugom i troškovima zaduživanja EU-a; napominje da bi prema procjeni godišnjeg izvješća Europskog revizorskog suda za 2024. nepodmireni zajmovi EU-a mogli premašiti vrijednost od 900 milijardi EUR do 2027., što je gotovo deset puta više nego 2020., prije uvođenja paketa za oporavak </w:t>
      </w:r>
      <w:r w:rsidRPr="0034102E">
        <w:t>NextGenerationEU</w:t>
      </w:r>
      <w:r w:rsidRPr="0034102E">
        <w:t xml:space="preserve"> (NGEU); upozorava na to da su sve veći troškovi zaduživanja rizik za buduće proračune i da ograničavaju fiskalni prostor za nove prioritete;</w:t>
      </w:r>
    </w:p>
    <w:p w:rsidR="000D75DD" w:rsidRPr="0034102E" w:rsidP="000D75DD" w14:paraId="2876EC01" w14:textId="77777777">
      <w:pPr>
        <w:pStyle w:val="NormalHanging12a"/>
      </w:pPr>
      <w:r w:rsidRPr="0034102E">
        <w:t>8.</w:t>
      </w:r>
      <w:r w:rsidRPr="0034102E">
        <w:tab/>
        <w:t xml:space="preserve">tvrdi da se općom upotrebom financiranja koje nije povezano s troškovima, iako bi se moglo smanjiti administrativno opterećenje, s druge strane povećava rizik od nepravilnosti, dvostrukog financiranja i prijevara, čime se smanjuje transparentnost i </w:t>
      </w:r>
      <w:r w:rsidRPr="0034102E">
        <w:t>sljedivost</w:t>
      </w:r>
      <w:r w:rsidRPr="0034102E">
        <w:t xml:space="preserve"> sredstava EU-a; naglašava da izostanak povezanosti s troškovima može dovesti do financiranja neodrživih projekata koji su osmišljeni radi ispunjavanja ključnih etapa, a ne radi vrijednosti za uloženi novac; ističe nadzornu ulogu Parlamenta u nadzoru nad izvršenjem proračuna EU-a, posebno njegovu ovlast za davanje razrješnice; poziva na snažno upravljanje u sljedećem VFO-u kako bi se osiguralo da Parlament može u potpunosti izvršavati svoju ulogu tijela nadležnog za davanje razrješnice;</w:t>
      </w:r>
    </w:p>
    <w:p w:rsidR="000D75DD" w:rsidRPr="0034102E" w:rsidP="000D75DD" w14:paraId="7548A07A" w14:textId="77777777">
      <w:pPr>
        <w:pStyle w:val="NormalHanging12a"/>
      </w:pPr>
      <w:r w:rsidRPr="0034102E">
        <w:t>9.</w:t>
      </w:r>
      <w:r w:rsidRPr="0034102E">
        <w:tab/>
        <w:t xml:space="preserve">prima na znanje aspekte povezane s vladavinom prava u prijedlogu Komisije za VFO za razdoblje 2028. – 2034. te poziva na jedinstven, usklađen i sveobuhvatan okvir za sve programe financiranja sredstvima EU-a na temelju krovne Uredbe o uvjetovanosti; </w:t>
      </w:r>
      <w:r w:rsidRPr="0034102E">
        <w:t>nadalje, poziva na to da svaka primjena financiranja koje nije povezano s troškovima bude u potpunosti u skladu s Uredbom;</w:t>
      </w:r>
    </w:p>
    <w:p w:rsidR="000D75DD" w:rsidRPr="0034102E" w:rsidP="000D75DD" w14:paraId="7E415869" w14:textId="77777777">
      <w:pPr>
        <w:pStyle w:val="NormalHanging12a"/>
      </w:pPr>
      <w:r w:rsidRPr="0034102E">
        <w:t>10.</w:t>
      </w:r>
      <w:r w:rsidRPr="0034102E">
        <w:tab/>
        <w:t>sa zabrinutošću napominje da je krajem 2024. EPPO obradio 311 aktivnih predmeta povezanih s instrumentom NGEU, od kojih su se svi osim njih četiri odnosili na Mehanizam za oporavak i otpornost, te da oni čine oko 17 % svih aktivnih istraga prijevara povezanih s rashodima i da se broj predmeta povezanih s NGEU-om u odnosu na 2023. povećao za oko 51 %; nadalje, napominje da procijenjena šteta za financijske interese EU-a iznosi 2,8 milijardi EUR, odnosno 30 % ukupne procijenjene štete koja proizlazi iz svih prijevara povezanih s rashodima EU-a (dok je 2023. taj udio iznosio 25 %); ističe da institucije EU-a i dalje prijavljuju malo slučajeva, što izaziva dodatnu zabrinutost u pogledu sposobnosti Komisije da učinkovito nadzire provedbu Mehanizma za oporavak i otpornost; podsjeća na činjenicu da 24 države članice od njih 27 trenutačno sudjeluju u EPPO-u;</w:t>
      </w:r>
    </w:p>
    <w:p w:rsidR="000D75DD" w:rsidRPr="0034102E" w:rsidP="000D75DD" w14:paraId="2BE9AA28" w14:textId="77777777">
      <w:pPr>
        <w:pStyle w:val="NormalHanging12a"/>
      </w:pPr>
      <w:r w:rsidRPr="0034102E">
        <w:t>11.</w:t>
      </w:r>
      <w:r w:rsidRPr="0034102E">
        <w:tab/>
        <w:t>izražava zabrinutost zbog toga što su instrumenti koji se temelje na uspješnosti i na financiranju koje nije povezano s troškovima više usmjereni na revizije sustava nego na kontrole stvarnih rashoda; upozorava da se takvim revizijama sustava ne moraju otkriti temeljni problemi, koji se mogu preliti i ozbiljno ugroziti dobro financijsko upravljanje proračunom Unije i zaštitu financijskih interesa Unije; smatra da su, čak i u okviru trenutačne financijske strukture i modela provedbe financiranja EU-a, kontrolni sustavi nekoliko država članica pokazali sustavne nedostatke koji su doveli do neuspjeha u otkrivanju i sprečavanju prijevara ili drugih nepravilnosti, primjerice u slučaju OPEKEPE u Grčkoj i u slučajevima koji uključuju fondove za ruralni razvoj u Slovačkoj, kao i u drugim nedavnim slučajevima u nekoliko država članica, što dokazuje potrebu za snažnijim nadzorom EU-a; stoga poziva Komisiju da poduzme odlučne korektivne mjere, ojača postupke revizije i akreditacije te osigura da se slični sustavni propusti ne mogu ponoviti, poštujući pritom načelo proporcionalnosti u pogledu obveza izvješćivanja i dokumentiranja;</w:t>
      </w:r>
    </w:p>
    <w:p w:rsidR="000D75DD" w:rsidRPr="0034102E" w:rsidP="000D75DD" w14:paraId="3E319DAB" w14:textId="77777777">
      <w:pPr>
        <w:pStyle w:val="NormalHanging12a"/>
      </w:pPr>
      <w:r w:rsidRPr="0034102E">
        <w:t>12.</w:t>
      </w:r>
      <w:r w:rsidRPr="0034102E">
        <w:tab/>
        <w:t>sa zabrinutošću primjećuje da u zakonodavstvu ne postoje instrumenti koji se temelje na uspješnosti, kao što je Mehanizam za oporavak i otpornost, te da u prijedlozima Komisije za VFO za razdoblje 2028. – 2034. ne postoje jasni standardi i pragovi za slučajeve u kojima se nacionalni sustavi upravljanja i kontrole smatraju nedostatnima ili nepouzdanima, čime se korektivne mjere ili suspenzije prepuštaju diskrecijskoj prosudbi;</w:t>
      </w:r>
    </w:p>
    <w:p w:rsidR="000D75DD" w:rsidRPr="0034102E" w:rsidP="000D75DD" w14:paraId="107A7A7F" w14:textId="77777777">
      <w:pPr>
        <w:pStyle w:val="NormalHanging12a"/>
      </w:pPr>
      <w:r w:rsidRPr="0034102E">
        <w:t>13.</w:t>
      </w:r>
      <w:r w:rsidRPr="0034102E">
        <w:tab/>
        <w:t>ističe da opća upotreba financiranja koje nije povezano s troškovima zahtijeva da Europski revizorski sud i nacionalna revizijska tijela znatno prilagode svoje aktivnosti i promijene revizijski pristup; upozorava da će takva promjena, bez osiguravanja spremnosti revizijskih tijela, predstavljati znatne izazove i da bi mogla stvoriti strukturni nedostatak u revizijskom tragu s ozbiljnim posljedicama za dobro financijsko upravljanje proračunom Unije i za postupak davanja razrješnice;</w:t>
      </w:r>
    </w:p>
    <w:p w:rsidR="000D75DD" w:rsidRPr="0034102E" w:rsidP="000D75DD" w14:paraId="45BA17A7" w14:textId="77777777">
      <w:pPr>
        <w:pStyle w:val="NormalHanging12a"/>
      </w:pPr>
      <w:r w:rsidRPr="0034102E">
        <w:t>14.</w:t>
      </w:r>
      <w:r w:rsidRPr="0034102E">
        <w:tab/>
        <w:t xml:space="preserve">žali zbog nepotpunih revizijskih tragova koje je Europski revizorski sud uočio u okviru instrumenata koji se temelje na uspješnosti, kao što je Mehanizam za oporavak i otpornost, koji narušavaju </w:t>
      </w:r>
      <w:r w:rsidRPr="0034102E">
        <w:t>sljedivost</w:t>
      </w:r>
      <w:r w:rsidRPr="0034102E">
        <w:t xml:space="preserve"> i ograničavaju sposobnost Parlamenta i Europskog revizorskog suda da provode nadzor;</w:t>
      </w:r>
    </w:p>
    <w:p w:rsidR="000D75DD" w:rsidRPr="0034102E" w:rsidP="000D75DD" w14:paraId="0F2A4061" w14:textId="77777777">
      <w:pPr>
        <w:pStyle w:val="NormalHanging12a"/>
      </w:pPr>
      <w:r w:rsidRPr="0034102E">
        <w:t>15.</w:t>
      </w:r>
      <w:r w:rsidRPr="0034102E">
        <w:tab/>
        <w:t xml:space="preserve">naglašava da snažno oslanjanje na nacionalna tijela i vanjske revizore bez snažnih zaštitnih mjera i detaljnih smjernica Komisije, tehničke pomoći i namjenskog </w:t>
      </w:r>
      <w:r w:rsidRPr="0034102E">
        <w:t>osposobljavanja u području metodologije revizije uspješnosti dovodi do rizika od varijabilnosti kvalitete i neovisnosti kontrola, čime se izlaže riziku i ugled EU-a; ističe da će potpora nacionalnim revizijskim tijelima doprinijeti boljoj kvaliteti i većoj dosljednosti;</w:t>
      </w:r>
    </w:p>
    <w:p w:rsidR="000D75DD" w:rsidRPr="0034102E" w:rsidP="000D75DD" w14:paraId="62F4937E" w14:textId="77777777">
      <w:pPr>
        <w:pStyle w:val="NormalHanging12a"/>
      </w:pPr>
      <w:r w:rsidRPr="0034102E">
        <w:t>16.</w:t>
      </w:r>
      <w:r w:rsidRPr="0034102E">
        <w:tab/>
        <w:t>ističe da iskorištavanje sredstava ili isplata nije pokazatelj uspješnosti po definiciji; žali zbog toga što je u posljednjim izmjenama nacionalnih planova za oporavak i otpornost usmjerenost na apsorpciju dovela do smanjenja prvotno predviđenih ambicija, posebno u pogledu reformi;</w:t>
      </w:r>
    </w:p>
    <w:p w:rsidR="000D75DD" w:rsidRPr="0034102E" w:rsidP="000D75DD" w14:paraId="5BCB22D6" w14:textId="77777777">
      <w:pPr>
        <w:pStyle w:val="NormalHanging12a"/>
      </w:pPr>
      <w:r w:rsidRPr="0034102E">
        <w:t>17.</w:t>
      </w:r>
      <w:r w:rsidRPr="0034102E">
        <w:tab/>
        <w:t>podsjeća na to da revizijska tijela u državama članicama moraju poštovati međunarodno prihvaćene revizijske standarde; upozorava na to da se u suprotnom narušava pouzdanost njihova rada i ugrožava pristup jedinstvene revizije; prima na znanje opetovane nalaze Europskog revizorskog suda o nedostacima određenih nacionalnih revizijskih tijela u pogledu opsega, kvalitete, dokumentacije i izvješćivanja; naglašava potrebu za jasnim okvirom odgovornosti kako bi se zajamčila kvaliteta i dosljednost;</w:t>
      </w:r>
    </w:p>
    <w:p w:rsidR="000D75DD" w:rsidRPr="0034102E" w:rsidP="000D75DD" w14:paraId="1B045252" w14:textId="77777777">
      <w:pPr>
        <w:pStyle w:val="NormalHanging12a"/>
      </w:pPr>
      <w:r w:rsidRPr="0034102E">
        <w:t>18.</w:t>
      </w:r>
      <w:r w:rsidRPr="0034102E">
        <w:tab/>
        <w:t xml:space="preserve">naglašava da fragmentirani IT sustavi i podatkovni sustavi u državama članicama povećavaju rizik od pogrešaka, nepravilnosti, dvostrukog financiranja, kašnjenja i nedosljednog izvješćivanja; podsjeća na to da je Parlament, kako bi se osigurala potpuna </w:t>
      </w:r>
      <w:r w:rsidRPr="0034102E">
        <w:t>sljedivost</w:t>
      </w:r>
      <w:r w:rsidRPr="0034102E">
        <w:t xml:space="preserve"> sredstava EU-a, u više navrata pozvao na uspostavu jedinstvenog, integriranog i </w:t>
      </w:r>
      <w:r w:rsidRPr="0034102E">
        <w:t>interoperabilnog</w:t>
      </w:r>
      <w:r w:rsidRPr="0034102E">
        <w:t xml:space="preserve"> sustava za informiranje i praćenje, uključujući jedinstveni alat za rudarenje podataka i utvrđivanje razine rizika, koji bi se temeljio, među ostalim, na postojećim alatima i bazama podataka u kontekstu preinake Financijske uredbe; međutim, žali zbog odbijanja država članica da uvedu obvezu upotrebe takvog sustava od početka sljedećeg VFO-a; pozdravlja stalne napore koje Komisija ulaže u razvoj takvog </w:t>
      </w:r>
      <w:r w:rsidRPr="0034102E">
        <w:t>interoperabilnog</w:t>
      </w:r>
      <w:r w:rsidRPr="0034102E">
        <w:t xml:space="preserve"> sustava na temelju alata ARACHNE i potiče sve države članice da u potpunosti iskoriste taj sustav; naglašava da učinkovitost svakog novog modela financiranja ovisi o pouzdanosti i dosljednosti temeljnih podataka i alata za praćenje; naglašava važnost osmišljavanja </w:t>
      </w:r>
      <w:r w:rsidRPr="0034102E">
        <w:t>interoperabilnog</w:t>
      </w:r>
      <w:r w:rsidRPr="0034102E">
        <w:t xml:space="preserve"> sustava koji je u skladu s Općom uredbom o zaštiti podataka</w:t>
      </w:r>
      <w:r>
        <w:rPr>
          <w:rStyle w:val="FootnoteReference"/>
        </w:rPr>
        <w:footnoteReference w:id="14"/>
      </w:r>
      <w:r w:rsidRPr="0034102E">
        <w:t xml:space="preserve">; ističe da takav sustav mora pružati točne i pravodobne informacije, svesti lažne pozitivne rezultate na najmanju moguću mjeru i funkcionirati na pouzdan način; </w:t>
      </w:r>
    </w:p>
    <w:p w:rsidR="000D75DD" w:rsidRPr="0034102E" w:rsidP="000D75DD" w14:paraId="0FD6E0D2" w14:textId="77777777">
      <w:pPr>
        <w:pStyle w:val="NormalHanging12a"/>
      </w:pPr>
      <w:r w:rsidRPr="0034102E">
        <w:t>19.</w:t>
      </w:r>
      <w:r w:rsidRPr="0034102E">
        <w:tab/>
        <w:t>naglašava da podijeljeno upravljanje u sljedećem VFO-u mora uključivati regionalne i lokalne vlasti i dionike, među ostalim i u slučaju instrumenata koji se temelje na uspješnosti, kako u fazi osmišljavanja, donošenja odluka i planiranja tako i u fazi provedbe i isporuke, putem pristupa višerazinskog upravljanja, da bi se osigurala dodana vrijednost prekograničnih projekata za EU i da bi se naglasak stavio na mjerljive rezultate, a ne na ostvarenja;</w:t>
      </w:r>
    </w:p>
    <w:p w:rsidR="000D75DD" w:rsidRPr="0034102E" w:rsidP="000D75DD" w14:paraId="417B8146" w14:textId="77777777">
      <w:pPr>
        <w:pStyle w:val="NormalHanging12a"/>
      </w:pPr>
      <w:r w:rsidRPr="0034102E">
        <w:t>20.</w:t>
      </w:r>
      <w:r w:rsidRPr="0034102E">
        <w:tab/>
        <w:t xml:space="preserve">napominje da kombiniranje bespovratnih sredstava i financijskih instrumenata u okvirima koji se temelje na uspješnosti povećava složenost i rizike od dvostrukog financiranja, nepravilnosti, prijevara, prekomjernih naknada i slabih lanaca odgovornosti; posebno naglašava da, ako financiranje nije povezano s troškovima, </w:t>
      </w:r>
      <w:r w:rsidRPr="0034102E">
        <w:t>izostanak provjere troškova dodatno povećava rizik od preklapanja različitih tokova financiranja i ugrožava jamstvo dobrog financijskog upravljanja;</w:t>
      </w:r>
    </w:p>
    <w:p w:rsidR="000D75DD" w:rsidRPr="0034102E" w:rsidP="000D75DD" w14:paraId="3A1B41FB" w14:textId="77777777">
      <w:pPr>
        <w:pStyle w:val="NormalHanging12a"/>
      </w:pPr>
      <w:r w:rsidRPr="0034102E">
        <w:t>21.</w:t>
      </w:r>
      <w:r w:rsidRPr="0034102E">
        <w:tab/>
        <w:t>ističe da se praćenjem na temelju uspješnosti ne smanjuje nužno administrativno opterećenje jer slabi sustavi provjere mogu stvoriti skrivene troškove bez pružanja snažnijeg jamstva; poziva Komisiju da racionalizira pokazatelje uspješnosti, pojednostavi predloške za izvješćivanje, ukloni suvišne zahtjeve za podatke i riješi problem nepotrebne složenosti zahtjeva za plaćanje; smatra da svaki prelazak na upotrebu modela ostvarivanja politike koji se temelje na uspješnosti zahtijeva izgradnju kapaciteta na razini EU-a i u državama članicama jer se potrebe za praćenjem, kontrolom i revizijom u slučaju modela ostvarivanja politike koji se temelje na uspješnosti razlikuju od potreba za instrumente koji se temelje na nadoknadi prihvatljivih troškova;</w:t>
      </w:r>
    </w:p>
    <w:p w:rsidR="000D75DD" w:rsidRPr="0034102E" w:rsidP="000D75DD" w14:paraId="42BF1512" w14:textId="77777777">
      <w:pPr>
        <w:pStyle w:val="NormalHanging12a"/>
      </w:pPr>
      <w:r w:rsidRPr="0034102E">
        <w:t>22.</w:t>
      </w:r>
      <w:r w:rsidRPr="0034102E">
        <w:tab/>
        <w:t>upozorava da bi u trenutačnom geopolitičkom kontekstu i s obzirom na povećani proračunski pritisak sve veća upotreba instrumenata koji se temelje na uspješnosti bez rješavanja nedostataka utvrđenih u Mehanizmu za oporavak i otpornost, među ostalim jačanjem parlamentarnog nadzora, mogla dovesti do promjene institucijske ravnoteže u korist izvršne diskrecije i udaljavanja od demokratske odgovornosti; ustraje u tome da svaki model upravljanja za instrumente koji se temelje na uspješnosti mora ravnopravno uključivati Parlament i Vijeće; odbacuje svaki prijedlog kojim bi se narušila institucijska ravnoteža i ugrozila uloga Parlamenta kao proračunskog tijela i tijela nadležnog za davanje razrješnice;</w:t>
      </w:r>
    </w:p>
    <w:p w:rsidR="000D75DD" w:rsidRPr="0034102E" w:rsidP="000D75DD" w14:paraId="37983A0B" w14:textId="77777777">
      <w:pPr>
        <w:pStyle w:val="Normal12a"/>
      </w:pPr>
      <w:r w:rsidRPr="0034102E">
        <w:rPr>
          <w:b/>
          <w:i/>
        </w:rPr>
        <w:t>Preporuke za jačanje kontrole, transparentnosti i odgovornosti u pogledu instrumenata koji se temelje na uspješnosti</w:t>
      </w:r>
    </w:p>
    <w:p w:rsidR="000D75DD" w:rsidRPr="0034102E" w:rsidP="000D75DD" w14:paraId="65F77E0D" w14:textId="77777777">
      <w:pPr>
        <w:pStyle w:val="NormalHanging12a"/>
      </w:pPr>
      <w:r w:rsidRPr="0034102E">
        <w:t>23.</w:t>
      </w:r>
      <w:r w:rsidRPr="0034102E">
        <w:tab/>
        <w:t xml:space="preserve">smatra da se model financiranja koje nije povezano s troškovima za instrumente koji se temelje na uspješnosti ne bi trebao upotrebljavati kao opća metoda provedbe ili povrata troškova između država članica i korisnika, osim za manje korisnike koji provode projekte ispod određenih financijskih pragova, što bi omogućilo jednostavniji sustav isporuke uz istodobno zadržavanje pouzdanog kontrolnog okvira; posebno ističe da bi se veliki i složeni projekti trebali i dalje temeljiti na troškovima jer njihov opseg, trajanje i financiranje na više razina zahtijevaju detaljno financijsko izvješćivanje i provjerljive podatke o rashodima kako bi se osiguralo pravilno praćenje i odgovornost; naglašava važnost uspostave mehanizma za povrate u slučajevima u kojima dođe do znatnih odstupanja između </w:t>
      </w:r>
      <w:r w:rsidRPr="0034102E">
        <w:rPr>
          <w:i/>
          <w:iCs/>
        </w:rPr>
        <w:t xml:space="preserve">ex </w:t>
      </w:r>
      <w:r w:rsidRPr="0034102E">
        <w:rPr>
          <w:i/>
          <w:iCs/>
        </w:rPr>
        <w:t>ante</w:t>
      </w:r>
      <w:r w:rsidRPr="0034102E">
        <w:t xml:space="preserve"> procjena troškova i </w:t>
      </w:r>
      <w:r w:rsidRPr="0034102E">
        <w:rPr>
          <w:i/>
          <w:iCs/>
        </w:rPr>
        <w:t>ex post</w:t>
      </w:r>
      <w:r w:rsidRPr="0034102E">
        <w:t xml:space="preserve"> provjera, posebno kada se projekti provode ispod prvotno procijenjenih troškova; naglašava da takve prilagodbe moraju odražavati stvarne rashode kako bi se osigurao financijski integritet, vrijednost za novac i odgovornost; poziva na kontinuiranu i proširenu upotrebu jednokratnih iznosa i pojednostavnjenih mogućnosti obračuna troškova, posebno za manja ili srednja ulaganja, kao učinkovitih i razmjernih alata za smanjenje administrativnog opterećenja, povećanje dostupnosti za manje korisnike te održavanje odgovornosti i </w:t>
      </w:r>
      <w:r w:rsidRPr="0034102E">
        <w:t>sljedivosti</w:t>
      </w:r>
      <w:r w:rsidRPr="0034102E">
        <w:t xml:space="preserve"> u upotrebi sredstava Unije;</w:t>
      </w:r>
    </w:p>
    <w:p w:rsidR="000D75DD" w:rsidRPr="0034102E" w:rsidP="000D75DD" w14:paraId="62ABB28E" w14:textId="77777777">
      <w:pPr>
        <w:pStyle w:val="NormalHanging"/>
      </w:pPr>
      <w:r w:rsidRPr="0034102E">
        <w:t>24.</w:t>
      </w:r>
      <w:r w:rsidRPr="0034102E">
        <w:tab/>
        <w:t xml:space="preserve">ustraje u tome da pojednostavljeni proračun također mora rezultirati transparentnim proračunom; potiče Komisiju da omogući javni pristup </w:t>
      </w:r>
      <w:r w:rsidRPr="0034102E">
        <w:t>postupovnim</w:t>
      </w:r>
      <w:r w:rsidRPr="0034102E">
        <w:t xml:space="preserve"> informacijama, uključujući metodologiju procjene troškova, te da Parlamentu omogući pristup procijenjenim troškovima nacionalnih i regionalnih partnerskih planova;</w:t>
      </w:r>
    </w:p>
    <w:p w:rsidR="000D75DD" w:rsidRPr="0034102E" w:rsidP="000D75DD" w14:paraId="6FEDD8C2" w14:textId="77777777">
      <w:pPr>
        <w:pStyle w:val="NormalHanging12a"/>
      </w:pPr>
      <w:r w:rsidRPr="0034102E">
        <w:t>25.</w:t>
      </w:r>
      <w:r w:rsidRPr="0034102E">
        <w:tab/>
        <w:t xml:space="preserve">poziva na uspostavu jedinstvenog sustava odgovornosti kojim se omogućuje </w:t>
      </w:r>
      <w:r w:rsidRPr="0034102E">
        <w:t>sljedivost</w:t>
      </w:r>
      <w:r w:rsidRPr="0034102E">
        <w:t xml:space="preserve"> doprinosa iz proračuna EU-a za određene projekte i njihove stvarne krajnje korisnike, uključujući ugovaratelje i </w:t>
      </w:r>
      <w:r w:rsidRPr="0034102E">
        <w:t>podugovaratelje</w:t>
      </w:r>
      <w:r w:rsidRPr="0034102E">
        <w:t xml:space="preserve"> te stvarne vlasnike; naglašava važnost osiguravanja vidljivosti projekata koje financira EU za građane; ističe potrebu za povezivanjem plaćanja s ostvarenjem dosljednih, jasno definiranih ključnih etapa i ciljnih vrijednosti kako bi se ojačala usklađenost reformi i ulaganja; ističe važnost uvođenja sustava za</w:t>
      </w:r>
      <w:r w:rsidRPr="0034102E">
        <w:rPr>
          <w:i/>
          <w:iCs/>
        </w:rPr>
        <w:t xml:space="preserve"> ex post</w:t>
      </w:r>
      <w:r w:rsidRPr="0034102E">
        <w:t xml:space="preserve"> evaluaciju koji se temelji na ciljevima ostvarenima svakim instrumentom na temelju odgovarajućih pokazatelja uspješnosti;</w:t>
      </w:r>
    </w:p>
    <w:p w:rsidR="000D75DD" w:rsidRPr="0034102E" w:rsidP="000D75DD" w14:paraId="12A18F41" w14:textId="77777777">
      <w:pPr>
        <w:pStyle w:val="NormalHanging12a"/>
      </w:pPr>
      <w:r w:rsidRPr="0034102E">
        <w:t>26.</w:t>
      </w:r>
      <w:r w:rsidRPr="0034102E">
        <w:tab/>
        <w:t>naglašava da bi se financiranje Unije trebalo odobravati samo za mjere koje su izravno povezane s konkretnim, provjerljivim projektima kojima se ostvaruju vidljiv napredak i mjerljivi rezultati te koji doprinose ciljevima politike Unije i mogu se učinkovito pratiti i revidirati uz transparentno izvješćivanje, među ostalim o vrijednosti za novac i zahtjevima u pogledu vidljivosti;</w:t>
      </w:r>
    </w:p>
    <w:p w:rsidR="000D75DD" w:rsidRPr="0034102E" w:rsidP="000D75DD" w14:paraId="5B015EFE" w14:textId="77777777">
      <w:pPr>
        <w:pStyle w:val="NormalHanging12a"/>
      </w:pPr>
      <w:r w:rsidRPr="0034102E">
        <w:t>27.</w:t>
      </w:r>
      <w:r w:rsidRPr="0034102E">
        <w:tab/>
        <w:t>poziva Komisiju da se suzdrži od uvođenja složenih ili spekulativnih metodologija procjene troškova, koje bi mogle ugroziti transparentnost i usporedivost među državama članicama; umjesto toga potiče razvoj i širu upotrebu usklađenih i provjerljivih pojednostavnjenih mogućnosti obračuna troškova kojima se osigurava jasnoća, smanjuje administrativno opterećenje i održava odgovarajuća razina odgovornosti;</w:t>
      </w:r>
    </w:p>
    <w:p w:rsidR="000D75DD" w:rsidRPr="0034102E" w:rsidP="000D75DD" w14:paraId="5EA620D2" w14:textId="77777777">
      <w:pPr>
        <w:pStyle w:val="NormalHanging12a"/>
      </w:pPr>
      <w:r w:rsidRPr="0034102E">
        <w:t>28.</w:t>
      </w:r>
      <w:r w:rsidRPr="0034102E">
        <w:tab/>
        <w:t>poziva na nedvosmislene kriterije usklađenosti za utvrđivanje ostvaruju li instrumenti koji se temelje na uspješnosti planirana ostvarenja ili rezultate, uz ujednačene definicije u svim državama članicama;</w:t>
      </w:r>
    </w:p>
    <w:p w:rsidR="000D75DD" w:rsidRPr="0034102E" w:rsidP="000D75DD" w14:paraId="2645FD5F" w14:textId="77777777">
      <w:pPr>
        <w:pStyle w:val="NormalHanging12a"/>
      </w:pPr>
      <w:r w:rsidRPr="0034102E">
        <w:t>29.</w:t>
      </w:r>
      <w:r w:rsidRPr="0034102E">
        <w:tab/>
        <w:t>poziva na periodične procjene stvarnih troškova nastalih pri provedbi instrumenata koji se temelje na uspješnosti u odnosu na procjene troškova država članica, kako bi se spriječila odstupanja; smatra da bi takve procjene trebale automatski pokrenuti kontrole i revizije u slučajevima u kojima postoje znatne razlike između stvarnih i procijenjenih troškova;</w:t>
      </w:r>
    </w:p>
    <w:p w:rsidR="000D75DD" w:rsidRPr="0034102E" w:rsidP="000D75DD" w14:paraId="6615DA42" w14:textId="77777777">
      <w:pPr>
        <w:pStyle w:val="NormalHanging12a"/>
      </w:pPr>
      <w:r w:rsidRPr="0034102E">
        <w:t>30.</w:t>
      </w:r>
      <w:r w:rsidRPr="0034102E">
        <w:tab/>
        <w:t xml:space="preserve">ustraje u tome da je za svaku upotrebu modela financiranja koje nije povezano s troškovima potrebna povezanost zahtjeva za plaćanje i ostvarenja ključnih etapa i ciljeva s jedne strane te provedbe konkretnih projekata s druge strane; naglašava da se bez te povezanosti ozbiljno ugrožava </w:t>
      </w:r>
      <w:r w:rsidRPr="0034102E">
        <w:t>sljedivost</w:t>
      </w:r>
      <w:r w:rsidRPr="0034102E">
        <w:t xml:space="preserve"> financiranja Unije;</w:t>
      </w:r>
    </w:p>
    <w:p w:rsidR="000D75DD" w:rsidRPr="0034102E" w:rsidP="000D75DD" w14:paraId="6F631162" w14:textId="77777777">
      <w:pPr>
        <w:pStyle w:val="NormalHanging12a"/>
      </w:pPr>
      <w:r w:rsidRPr="0034102E">
        <w:t>31.</w:t>
      </w:r>
      <w:r w:rsidRPr="0034102E">
        <w:tab/>
        <w:t xml:space="preserve">poziva na uspostavu jedinstvenog, integriranog, </w:t>
      </w:r>
      <w:r w:rsidRPr="0034102E">
        <w:t>interoperabilnog</w:t>
      </w:r>
      <w:r w:rsidRPr="0034102E">
        <w:t xml:space="preserve"> sustava za informiranje i praćenje, uključujući jedinstveni alat za rudarenje podataka i utvrđivanje razine rizika; zahtijeva da upotreba tog novog </w:t>
      </w:r>
      <w:r w:rsidRPr="0034102E">
        <w:t>interoperabilnog</w:t>
      </w:r>
      <w:r w:rsidRPr="0034102E">
        <w:t xml:space="preserve"> sustava bude preduvjet za pristup financijskim sredstvima Unije u sljedećem VFO-u; zahtijeva od Komisije da izradi javno dostupne preglede pokazatelja kako bi se građanima omogućilo da procijene vrijednost ostvarenu financijskim sredstvima EU-a; poziva Komisiju da primijeni alate za naprednu analizu podataka i umjetnu inteligenciju kako bi se poboljšalo praćenje i procjena uspješnosti te izvješćivanje, smanjila količina posla koji se obavlja ručno, pojednostavnili postupci izvješćivanja te spriječilo dvostruko financiranje i drugi rizici u cilju zaštite financijskih interesa Unije;</w:t>
      </w:r>
    </w:p>
    <w:p w:rsidR="000D75DD" w:rsidRPr="0034102E" w:rsidP="000D75DD" w14:paraId="469EBCA9" w14:textId="77777777">
      <w:pPr>
        <w:pStyle w:val="NormalHanging12a"/>
      </w:pPr>
      <w:r w:rsidRPr="0034102E">
        <w:t>32.</w:t>
      </w:r>
      <w:r w:rsidRPr="0034102E">
        <w:tab/>
        <w:t>zahtijeva od Komisije da utvrdi i objavi jasne pragove za korektivne mjere, uključujući razine ozbiljnosti, kako bi se zajamčilo jednako postupanje i dosljedna provedba;</w:t>
      </w:r>
    </w:p>
    <w:p w:rsidR="000D75DD" w:rsidRPr="0034102E" w:rsidP="000D75DD" w14:paraId="52B87423" w14:textId="77777777">
      <w:pPr>
        <w:pStyle w:val="NormalHanging12a"/>
      </w:pPr>
      <w:r w:rsidRPr="0034102E">
        <w:t>33.</w:t>
      </w:r>
      <w:r w:rsidRPr="0034102E">
        <w:tab/>
        <w:t>ustraje u tome da ostvarenja ključnih etapa i ciljeva mora ocijeniti Komisija uzimajući u obzir podatke koje pružaju države članice, i to u skladu s transparentnom i standardiziranom metodologijom, uz dokumentirano bodovanje i potkrijepljeno obrazloženje za sva odstupanja iznad zakonskog praga; poziva na to da se sva dokumentacija o procjenama stavi na raspolaganje Parlamentu i Europskom revizorskom sudu;</w:t>
      </w:r>
    </w:p>
    <w:p w:rsidR="000D75DD" w:rsidRPr="0034102E" w:rsidP="000D75DD" w14:paraId="094C4D44" w14:textId="77777777">
      <w:pPr>
        <w:pStyle w:val="NormalHanging12a"/>
      </w:pPr>
      <w:r w:rsidRPr="0034102E">
        <w:t>34.</w:t>
      </w:r>
      <w:r w:rsidRPr="0034102E">
        <w:tab/>
        <w:t>zahtijeva veću transparentnost u provedbi instrumenata koji se temelje na uspješnosti, što podrazumijeva pravodobnu objavu svih procjena Komisije, nacionalnih izvješća, sažetaka revizija i mjera oporavka u pristupačnim, usporedivim i provjerljivim formatima prilagođenim korisnicima, što bi omogućilo nadzor nad upotrebom sredstava Unije od strane Parlamenta, Europskog revizorskog suda i građana; naglašava da bi pristup informacijama trebao slijediti kaskadni pristup kojim se Europskom revizorskom sudu osigurava potpun i neograničen pristup informacijama u stvarnom vremenu, Parlamentu jamči neograničeno pravo da postavlja pitanja i traži informacije, a građanima nudi odgovarajući i transparentan pristup informacijama u skladu s presudama Suda Europske unije; podsjeća na to da sve mjere transparentnosti moraju biti u skladu sa zahtjevima za zaštitu podataka iz Opće uredbe o zaštiti podataka i drugog relevantnog zakonodavstva Unije; naglašava da javno dostupni podaci moraju točno odražavati stvarnu provedbu i napredak projekata, a ne planirane obveze ili isplate izvršene isključivo za ostvarenje ključnih etapa i ciljeva u okviru nacionalnih planova, kako bi pružili istinsku sliku o rezultatima postignutim na terenu;</w:t>
      </w:r>
    </w:p>
    <w:p w:rsidR="000D75DD" w:rsidRPr="0034102E" w:rsidP="000D75DD" w14:paraId="4F3CE86B" w14:textId="77777777">
      <w:pPr>
        <w:pStyle w:val="NormalHanging12a"/>
      </w:pPr>
      <w:r w:rsidRPr="0034102E">
        <w:t>35.</w:t>
      </w:r>
      <w:r w:rsidRPr="0034102E">
        <w:tab/>
        <w:t>naglašava da sve baze podataka i sustavi informiranja Komisije koji se upotrebljavaju za prikupljanje, razmjenu i praćenje podataka između Komisije i država članica moraju biti dostupni Europskom revizorskom sudu; ističe da bi Europski revizorski sud trebao imati izravan i brz pristup izvornim podacima zabilježenima u sustavu, bez prethodne izmjene, združivanja ili uređivanja od strane nacionalnih tijela ili službi Komisije; naglašava da je takav pristup ključan za osiguravanje neovisnosti, pouzdanosti i učinkovitosti revizija te za očuvanje transparentnosti i odgovornosti u izvršenju proračuna Unije;</w:t>
      </w:r>
    </w:p>
    <w:p w:rsidR="000D75DD" w:rsidRPr="0034102E" w:rsidP="000D75DD" w14:paraId="6EAD2BFB" w14:textId="77777777">
      <w:pPr>
        <w:pStyle w:val="NormalHanging12a"/>
      </w:pPr>
      <w:r w:rsidRPr="0034102E">
        <w:t>36.</w:t>
      </w:r>
      <w:r w:rsidRPr="0034102E">
        <w:tab/>
        <w:t xml:space="preserve">poziva na poboljšano izvješćivanje o instrumentima koji se temelje na uspješnosti kako bi se uključili podaci na razini projekta, slično kao za kohezijsku politiku, o geografskoj raspodjeli sredstava i intervencija na </w:t>
      </w:r>
      <w:r w:rsidRPr="0034102E">
        <w:t>podnacionalnoj</w:t>
      </w:r>
      <w:r w:rsidRPr="0034102E">
        <w:t xml:space="preserve"> razini;</w:t>
      </w:r>
    </w:p>
    <w:p w:rsidR="000D75DD" w:rsidRPr="0034102E" w:rsidP="000D75DD" w14:paraId="047D3798" w14:textId="77777777">
      <w:pPr>
        <w:pStyle w:val="NormalHanging12a"/>
      </w:pPr>
      <w:r w:rsidRPr="0034102E">
        <w:t>37.</w:t>
      </w:r>
      <w:r w:rsidRPr="0034102E">
        <w:tab/>
        <w:t>poziva na poboljšanje revizijskog traga zahtijevanjem sustavnog dokumentiranja koraka provjere i osiguravanjem da je evidencija potpuna, dostupna i podložna reviziji kako na razini EU-a tako i na nacionalnoj razini;</w:t>
      </w:r>
    </w:p>
    <w:p w:rsidR="000D75DD" w:rsidRPr="0034102E" w:rsidP="000D75DD" w14:paraId="52CA7BFD" w14:textId="77777777">
      <w:pPr>
        <w:pStyle w:val="NormalHanging12a"/>
      </w:pPr>
      <w:r w:rsidRPr="0034102E">
        <w:t>38.</w:t>
      </w:r>
      <w:r w:rsidRPr="0034102E">
        <w:tab/>
        <w:t>zahtijeva od Komisije da uspostavi snažne zaštitne mjere kako bi se osigurao dosljedan, neovisan i visokokvalitetan revizijski rad u svim državama članicama, među ostalim detaljnim metodološkim smjernicama, održivom tehničkom pomoći kad god revizijska tijela pokažu trajne nedostatke i namjenskim osposobljavanjem u području standarda revizije uspješnosti; ustraje u tome da oslanjanje na nacionalna tijela i vanjske revizore mora biti uvjetovano poštovanjem tih zaštitnih mjera kako bi se spriječile razlike u kvaliteti kontrole; poziva države članice da uspostave zaštitne mjere kako bi se osigurala neovisnost nacionalnih revizijskih tijela od političkih i administrativnih tijela odgovornih za upravljanje fondovima;</w:t>
      </w:r>
    </w:p>
    <w:p w:rsidR="000D75DD" w:rsidRPr="0034102E" w:rsidP="000D75DD" w14:paraId="3D037479" w14:textId="77777777">
      <w:pPr>
        <w:pStyle w:val="NormalHanging12a"/>
      </w:pPr>
      <w:r w:rsidRPr="0034102E">
        <w:t>39.</w:t>
      </w:r>
      <w:r w:rsidRPr="0034102E">
        <w:tab/>
        <w:t xml:space="preserve">poziva na uvođenje </w:t>
      </w:r>
      <w:r w:rsidRPr="0034102E">
        <w:t>prediktivnih</w:t>
      </w:r>
      <w:r w:rsidRPr="0034102E">
        <w:t xml:space="preserve"> analitičkih alata koji se temelje na umjetnoj inteligenciji i na sposobnosti strojnog učenja, čime bi se revizorima omogućila procjena rizika u stvarnom vremenu, učinkovitije utvrđivanje nepravilnosti, provedba troškovno učinkovitih revizija i ciljani pregledi u slučajevima kada Europski revizorski sud utvrdi sustavne manjkavosti; naglašava važnost upotrebe automatiziranih alata za rudarenje podataka i umjetne inteligencije kako bi se utvrdile nepravilnosti, izbjegavajući pritom dodatne obveze izvješćivanja za korisnike koji ispunjavaju svoje obveze; podsjeća da se takve tehnologije umjetne inteligencije moraju primjenjivati potpuno u skladu s pravilima EU-a o zaštiti podataka te da moraju biti poduprte sveobuhvatnim osposobljavanjem nacionalnih revizijskih tijela;</w:t>
      </w:r>
    </w:p>
    <w:p w:rsidR="000D75DD" w:rsidRPr="0034102E" w:rsidP="000D75DD" w14:paraId="48981E72" w14:textId="77777777">
      <w:pPr>
        <w:pStyle w:val="NormalHanging12a"/>
      </w:pPr>
      <w:r w:rsidRPr="0034102E">
        <w:t>40.</w:t>
      </w:r>
      <w:r w:rsidRPr="0034102E">
        <w:tab/>
        <w:t xml:space="preserve">traži od Komisije da ojača zaštitne mjere za financijske instrumente, uključujući strože gornje granice naknada za upravljanje, transparentna pravila za izravnu dodjelu i kontrole za sprečavanje dvostrukog financiranja i kršenja pravila o državnim potporama; smatra da uspostava gornjih granica za naknade za upravljanje, posebno za izravne dodjele upraviteljima fondova za vlasničke ili </w:t>
      </w:r>
      <w:r w:rsidRPr="0034102E">
        <w:t>kvazivlasničke</w:t>
      </w:r>
      <w:r w:rsidRPr="0034102E">
        <w:t xml:space="preserve"> proizvode, ne smije umanjiti troškovnu učinkovitost potpore Unije, posebno kad je obujam operacija skroman;</w:t>
      </w:r>
    </w:p>
    <w:p w:rsidR="000D75DD" w:rsidRPr="0034102E" w:rsidP="000D75DD" w14:paraId="0ED4E91D" w14:textId="77777777">
      <w:pPr>
        <w:pStyle w:val="NormalHanging12a"/>
      </w:pPr>
      <w:r w:rsidRPr="0034102E">
        <w:t>41.</w:t>
      </w:r>
      <w:r w:rsidRPr="0034102E">
        <w:tab/>
        <w:t xml:space="preserve">ponavlja da je potrebno povećati transparentnost proširenjem modela tablice pokazatelja Mehanizma za oporavak i otpornost na sve instrumente koji se temelje na uspješnosti, poboljšati pravodobnost i usporedivost nacionalnog izvješćivanja te osigurati javni pristup, </w:t>
      </w:r>
      <w:r w:rsidRPr="0034102E">
        <w:t>sljedivost</w:t>
      </w:r>
      <w:r w:rsidRPr="0034102E">
        <w:t xml:space="preserve"> i odgovornost; potiče Komisiju da osigura potpunu interoperabilnost podatkovnih sustava EU-a i nacionalnih podatkovnih sustava, da smanji ručne unose, poboljša kvalitetu podataka i omogući </w:t>
      </w:r>
      <w:r w:rsidRPr="0034102E">
        <w:t>sljedivost</w:t>
      </w:r>
      <w:r w:rsidRPr="0034102E">
        <w:t xml:space="preserve"> u stvarnom vremenu sve do razine krajnjih korisnika; u tom kontekstu poziva Komisiju da osigura da podaci o stvarnim krajnjim primateljima sredstava iz instrumenata koji se temelje na uspješnosti, uključujući ugovaratelje i </w:t>
      </w:r>
      <w:r w:rsidRPr="0034102E">
        <w:t>podugovaratelje</w:t>
      </w:r>
      <w:r w:rsidRPr="0034102E">
        <w:t>, budu dostupni u stvarnom vremenu revizijskim tijelima i tijelima nadležnima za davanje razrješnice, kao i EPPO-u i Europskom uredu za borbu protiv prijevara;</w:t>
      </w:r>
    </w:p>
    <w:p w:rsidR="000D75DD" w:rsidRPr="0034102E" w:rsidP="000D75DD" w14:paraId="18FFAE04" w14:textId="77777777">
      <w:pPr>
        <w:pStyle w:val="NormalHanging12a"/>
      </w:pPr>
      <w:r w:rsidRPr="0034102E">
        <w:t>42.</w:t>
      </w:r>
      <w:r w:rsidRPr="0034102E">
        <w:tab/>
        <w:t>ustraje u tome da se ovlasti Parlamenta kao zakonodavca, proračunskog tijela i tijela nadležnog za davanje razrješnice moraju u potpunosti poštovati te da mu se mora odobriti pristup svim podacima potrebnima za izvršavanje njegovih funkcija;</w:t>
      </w:r>
    </w:p>
    <w:p w:rsidR="00CD4CA7" w:rsidP="00CD4CA7" w14:paraId="6C50CEFD" w14:textId="7321A1B0">
      <w:pPr>
        <w:pStyle w:val="NormalCenter12a"/>
      </w:pPr>
      <w:r>
        <w:t>°</w:t>
      </w:r>
    </w:p>
    <w:p w:rsidR="00CD4CA7" w:rsidP="00CD4CA7" w14:paraId="2923BCFB" w14:textId="5B15BBAE">
      <w:pPr>
        <w:pStyle w:val="NormalCenter12a"/>
      </w:pPr>
      <w:r>
        <w:t>°     °</w:t>
      </w:r>
    </w:p>
    <w:p w:rsidR="0034102E" w:rsidRPr="0034102E" w:rsidP="0034102E" w14:paraId="1B02808D" w14:textId="1A519AE5">
      <w:pPr>
        <w:pStyle w:val="NormalHanging12a"/>
      </w:pPr>
      <w:r w:rsidRPr="0034102E">
        <w:t>43.</w:t>
      </w:r>
      <w:r w:rsidRPr="0034102E">
        <w:tab/>
        <w:t>nalaže svojoj predsjednici da ovu Rezoluciju proslijedi Vijeću i Komisiji.</w:t>
      </w:r>
    </w:p>
    <w:p w:rsidR="00E365E1" w:rsidRPr="0034102E" w:rsidP="00485108" w14:paraId="40C0EB11" w14:textId="6783EF64"/>
    <w:sectPr w:rsidSect="003410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4102E" w14:paraId="19534E0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4102E" w14:paraId="06976B0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4102E" w14:paraId="3E31F9F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85108" w:rsidRPr="0034102E" w14:paraId="5DF47CC8" w14:textId="77777777">
      <w:r w:rsidRPr="0034102E">
        <w:separator/>
      </w:r>
    </w:p>
  </w:footnote>
  <w:footnote w:type="continuationSeparator" w:id="1">
    <w:p w:rsidR="00485108" w:rsidRPr="0034102E" w14:paraId="1EB4704B" w14:textId="77777777">
      <w:r w:rsidRPr="0034102E">
        <w:continuationSeparator/>
      </w:r>
    </w:p>
  </w:footnote>
  <w:footnote w:id="2">
    <w:p w:rsidR="00CD4CA7" w:rsidRPr="0034102E" w:rsidP="0034102E" w14:paraId="4E2A25D9" w14:textId="55430445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34102E">
        <w:rPr>
          <w:sz w:val="24"/>
          <w:vertAlign w:val="superscript"/>
          <w:lang w:val="hr-HR"/>
        </w:rPr>
        <w:t xml:space="preserve"> </w:t>
      </w:r>
      <w:r w:rsidRPr="0034102E">
        <w:rPr>
          <w:sz w:val="24"/>
          <w:vertAlign w:val="superscript"/>
          <w:lang w:val="hr-HR"/>
        </w:rPr>
        <w:tab/>
      </w:r>
      <w:r w:rsidRPr="0034102E">
        <w:rPr>
          <w:sz w:val="24"/>
          <w:lang w:val="hr-HR"/>
        </w:rPr>
        <w:t xml:space="preserve">SL L 433 I, 22.12.2020., str. 11., ELI: </w:t>
      </w:r>
      <w:hyperlink r:id="rId1" w:tgtFrame="http://data.europa.eu/eli/reg/2020/2093/oj" w:history="1">
        <w:r w:rsidRPr="0034102E">
          <w:rPr>
            <w:rStyle w:val="Hyperlink"/>
            <w:sz w:val="24"/>
            <w:lang w:val="hr-HR"/>
          </w:rPr>
          <w:t>http://data.europa.eu/eli/reg/2020/2093/oj</w:t>
        </w:r>
      </w:hyperlink>
      <w:r w:rsidRPr="0034102E">
        <w:rPr>
          <w:sz w:val="24"/>
          <w:lang w:val="hr-HR"/>
        </w:rPr>
        <w:t>.</w:t>
      </w:r>
    </w:p>
  </w:footnote>
  <w:footnote w:id="3">
    <w:p w:rsidR="00CD4CA7" w:rsidRPr="0034102E" w:rsidP="0034102E" w14:paraId="4745A4BD" w14:textId="0F54E35E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34102E">
        <w:rPr>
          <w:sz w:val="24"/>
          <w:vertAlign w:val="superscript"/>
          <w:lang w:val="hr-HR"/>
        </w:rPr>
        <w:t xml:space="preserve"> </w:t>
      </w:r>
      <w:r w:rsidRPr="0034102E">
        <w:rPr>
          <w:sz w:val="24"/>
          <w:vertAlign w:val="superscript"/>
          <w:lang w:val="hr-HR"/>
        </w:rPr>
        <w:tab/>
      </w:r>
      <w:r w:rsidRPr="0034102E">
        <w:rPr>
          <w:sz w:val="24"/>
          <w:lang w:val="hr-HR"/>
        </w:rPr>
        <w:t xml:space="preserve">SL L, 2024/2509, 26.9.2024., ELI: </w:t>
      </w:r>
      <w:hyperlink r:id="rId2" w:tgtFrame="http://data.europa.eu/eli/reg/2024/2509/oj" w:history="1">
        <w:r w:rsidRPr="0034102E">
          <w:rPr>
            <w:rStyle w:val="Hyperlink"/>
            <w:sz w:val="24"/>
            <w:lang w:val="hr-HR"/>
          </w:rPr>
          <w:t>http://data.europa.eu/eli/reg/2024/2509/oj</w:t>
        </w:r>
      </w:hyperlink>
      <w:r w:rsidRPr="0034102E">
        <w:rPr>
          <w:sz w:val="24"/>
          <w:lang w:val="hr-HR"/>
        </w:rPr>
        <w:t>.</w:t>
      </w:r>
    </w:p>
  </w:footnote>
  <w:footnote w:id="4">
    <w:p w:rsidR="00CD4CA7" w:rsidRPr="0034102E" w:rsidP="0034102E" w14:paraId="37A83104" w14:textId="3237E480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34102E">
        <w:rPr>
          <w:sz w:val="24"/>
          <w:vertAlign w:val="superscript"/>
          <w:lang w:val="hr-HR"/>
        </w:rPr>
        <w:t xml:space="preserve"> </w:t>
      </w:r>
      <w:r w:rsidRPr="0034102E">
        <w:rPr>
          <w:sz w:val="24"/>
          <w:vertAlign w:val="superscript"/>
          <w:lang w:val="hr-HR"/>
        </w:rPr>
        <w:tab/>
      </w:r>
      <w:r w:rsidRPr="0034102E">
        <w:rPr>
          <w:sz w:val="24"/>
          <w:lang w:val="hr-HR"/>
        </w:rPr>
        <w:t xml:space="preserve">SL L 433 I, 22.12.2020., str. 1., ELI: </w:t>
      </w:r>
      <w:hyperlink r:id="rId3" w:tgtFrame="http://data.europa.eu/eli/reg/2020/2092/oj" w:history="1">
        <w:r w:rsidRPr="0034102E">
          <w:rPr>
            <w:rStyle w:val="Hyperlink"/>
            <w:sz w:val="24"/>
            <w:lang w:val="hr-HR"/>
          </w:rPr>
          <w:t>http://data.europa.eu/eli/reg/2020/2092/oj</w:t>
        </w:r>
      </w:hyperlink>
      <w:r w:rsidRPr="0034102E">
        <w:rPr>
          <w:sz w:val="24"/>
          <w:lang w:val="hr-HR"/>
        </w:rPr>
        <w:t>.</w:t>
      </w:r>
    </w:p>
  </w:footnote>
  <w:footnote w:id="5">
    <w:p w:rsidR="00CD4CA7" w:rsidRPr="0034102E" w:rsidP="0034102E" w14:paraId="19A6158F" w14:textId="7892FFFB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34102E">
        <w:rPr>
          <w:sz w:val="24"/>
          <w:vertAlign w:val="superscript"/>
          <w:lang w:val="hr-HR"/>
        </w:rPr>
        <w:t xml:space="preserve"> </w:t>
      </w:r>
      <w:r w:rsidRPr="0034102E">
        <w:rPr>
          <w:sz w:val="24"/>
          <w:vertAlign w:val="superscript"/>
          <w:lang w:val="hr-HR"/>
        </w:rPr>
        <w:tab/>
      </w:r>
      <w:r w:rsidRPr="0034102E">
        <w:rPr>
          <w:sz w:val="24"/>
          <w:lang w:val="hr-HR"/>
        </w:rPr>
        <w:t xml:space="preserve">SL L, 2024/1263, 30.4.2024., ELI: </w:t>
      </w:r>
      <w:hyperlink r:id="rId4" w:tgtFrame="http://data.europa.eu/eli/reg/2024/1263/oj" w:history="1">
        <w:r w:rsidRPr="0034102E">
          <w:rPr>
            <w:rStyle w:val="Hyperlink"/>
            <w:sz w:val="24"/>
            <w:lang w:val="hr-HR"/>
          </w:rPr>
          <w:t>http://data.europa.eu/eli/reg/2024/1263/oj</w:t>
        </w:r>
      </w:hyperlink>
      <w:r w:rsidRPr="0034102E">
        <w:rPr>
          <w:sz w:val="24"/>
          <w:lang w:val="hr-HR"/>
        </w:rPr>
        <w:t>.</w:t>
      </w:r>
    </w:p>
  </w:footnote>
  <w:footnote w:id="6">
    <w:p w:rsidR="00CD4CA7" w:rsidRPr="0034102E" w:rsidP="0034102E" w14:paraId="272E9719" w14:textId="7139B724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34102E">
        <w:rPr>
          <w:sz w:val="24"/>
          <w:vertAlign w:val="superscript"/>
          <w:lang w:val="hr-HR"/>
        </w:rPr>
        <w:t xml:space="preserve"> </w:t>
      </w:r>
      <w:r w:rsidRPr="0034102E">
        <w:rPr>
          <w:sz w:val="24"/>
          <w:vertAlign w:val="superscript"/>
          <w:lang w:val="hr-HR"/>
        </w:rPr>
        <w:tab/>
      </w:r>
      <w:r w:rsidRPr="0034102E">
        <w:rPr>
          <w:sz w:val="24"/>
          <w:lang w:val="hr-HR"/>
        </w:rPr>
        <w:t>SL C 177, 17.5.2023., str. 115.</w:t>
      </w:r>
    </w:p>
  </w:footnote>
  <w:footnote w:id="7">
    <w:p w:rsidR="00CD4CA7" w:rsidRPr="0034102E" w:rsidP="0034102E" w14:paraId="2754915E" w14:textId="3586897C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34102E">
        <w:rPr>
          <w:sz w:val="24"/>
          <w:vertAlign w:val="superscript"/>
          <w:lang w:val="hr-HR"/>
        </w:rPr>
        <w:t xml:space="preserve"> </w:t>
      </w:r>
      <w:r w:rsidRPr="0034102E">
        <w:rPr>
          <w:sz w:val="24"/>
          <w:vertAlign w:val="superscript"/>
          <w:lang w:val="hr-HR"/>
        </w:rPr>
        <w:tab/>
      </w:r>
      <w:r w:rsidRPr="0034102E">
        <w:rPr>
          <w:sz w:val="24"/>
          <w:lang w:val="hr-HR"/>
        </w:rPr>
        <w:t xml:space="preserve">SL C, C/2024/6750, 26.11.2024., ELI: </w:t>
      </w:r>
      <w:hyperlink r:id="rId5" w:tgtFrame="http://data.europa.eu/eli/C/2024/6750/oj" w:history="1">
        <w:r w:rsidRPr="0034102E">
          <w:rPr>
            <w:rStyle w:val="Hyperlink"/>
            <w:sz w:val="24"/>
            <w:lang w:val="hr-HR"/>
          </w:rPr>
          <w:t>http://data.europa.eu/eli/C/2024/6750/oj</w:t>
        </w:r>
      </w:hyperlink>
      <w:r w:rsidRPr="0034102E">
        <w:rPr>
          <w:sz w:val="24"/>
          <w:lang w:val="hr-HR"/>
        </w:rPr>
        <w:t>.</w:t>
      </w:r>
    </w:p>
  </w:footnote>
  <w:footnote w:id="8">
    <w:p w:rsidR="00CD4CA7" w:rsidRPr="0034102E" w:rsidP="0034102E" w14:paraId="1163CACC" w14:textId="7DC24F56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34102E">
        <w:rPr>
          <w:sz w:val="24"/>
          <w:vertAlign w:val="superscript"/>
          <w:lang w:val="hr-HR"/>
        </w:rPr>
        <w:t xml:space="preserve"> </w:t>
      </w:r>
      <w:r w:rsidRPr="0034102E">
        <w:rPr>
          <w:sz w:val="24"/>
          <w:vertAlign w:val="superscript"/>
          <w:lang w:val="hr-HR"/>
        </w:rPr>
        <w:tab/>
      </w:r>
      <w:r w:rsidRPr="0034102E">
        <w:rPr>
          <w:sz w:val="24"/>
          <w:lang w:val="hr-HR"/>
        </w:rPr>
        <w:t xml:space="preserve">SL L 433 I, 22.12.2020., str. 28., ELI: </w:t>
      </w:r>
      <w:hyperlink r:id="rId6" w:tgtFrame="http://data.europa.eu/eli/agree_interinstit/2020/1222/oj" w:history="1">
        <w:r w:rsidRPr="0034102E">
          <w:rPr>
            <w:rStyle w:val="Hyperlink"/>
            <w:sz w:val="24"/>
            <w:lang w:val="hr-HR"/>
          </w:rPr>
          <w:t>http://data.europa.eu/eli/agree_interinstit/2020/1222/oj</w:t>
        </w:r>
      </w:hyperlink>
      <w:r w:rsidRPr="0034102E">
        <w:rPr>
          <w:sz w:val="24"/>
          <w:lang w:val="hr-HR"/>
        </w:rPr>
        <w:t>.</w:t>
      </w:r>
    </w:p>
  </w:footnote>
  <w:footnote w:id="9">
    <w:p w:rsidR="00CD4CA7" w:rsidRPr="0034102E" w:rsidP="0034102E" w14:paraId="5EC60BBA" w14:textId="6AE9F02F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34102E">
        <w:rPr>
          <w:sz w:val="24"/>
          <w:vertAlign w:val="superscript"/>
          <w:lang w:val="hr-HR"/>
        </w:rPr>
        <w:t xml:space="preserve"> </w:t>
      </w:r>
      <w:r w:rsidRPr="0034102E">
        <w:rPr>
          <w:sz w:val="24"/>
          <w:vertAlign w:val="superscript"/>
          <w:lang w:val="hr-HR"/>
        </w:rPr>
        <w:tab/>
      </w:r>
      <w:r w:rsidRPr="0034102E">
        <w:rPr>
          <w:sz w:val="24"/>
          <w:lang w:val="hr-HR"/>
        </w:rPr>
        <w:t>SL C 445, 29.10.2021., str. 240.</w:t>
      </w:r>
    </w:p>
  </w:footnote>
  <w:footnote w:id="10">
    <w:p w:rsidR="00CD4CA7" w:rsidRPr="0034102E" w:rsidP="0034102E" w14:paraId="57F869AE" w14:textId="36DA7990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34102E">
        <w:rPr>
          <w:sz w:val="24"/>
          <w:vertAlign w:val="superscript"/>
          <w:lang w:val="hr-HR"/>
        </w:rPr>
        <w:t xml:space="preserve"> </w:t>
      </w:r>
      <w:r w:rsidRPr="0034102E">
        <w:rPr>
          <w:sz w:val="24"/>
          <w:vertAlign w:val="superscript"/>
          <w:lang w:val="hr-HR"/>
        </w:rPr>
        <w:tab/>
      </w:r>
      <w:r w:rsidRPr="0034102E">
        <w:rPr>
          <w:sz w:val="24"/>
          <w:lang w:val="hr-HR"/>
        </w:rPr>
        <w:t>Usvojeni tekstovi, P10_TA(2025)0090.</w:t>
      </w:r>
    </w:p>
  </w:footnote>
  <w:footnote w:id="11">
    <w:p w:rsidR="00CD4CA7" w:rsidRPr="0034102E" w:rsidP="0034102E" w14:paraId="6BD8EEF9" w14:textId="73255B1F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34102E">
        <w:rPr>
          <w:sz w:val="24"/>
          <w:vertAlign w:val="superscript"/>
          <w:lang w:val="hr-HR"/>
        </w:rPr>
        <w:t xml:space="preserve"> </w:t>
      </w:r>
      <w:r w:rsidRPr="0034102E">
        <w:rPr>
          <w:sz w:val="24"/>
          <w:vertAlign w:val="superscript"/>
          <w:lang w:val="hr-HR"/>
        </w:rPr>
        <w:tab/>
      </w:r>
      <w:r w:rsidRPr="0034102E">
        <w:rPr>
          <w:sz w:val="24"/>
          <w:lang w:val="hr-HR"/>
        </w:rPr>
        <w:t xml:space="preserve">SL C, C/2024/7057, 4.12.2024., ELI: </w:t>
      </w:r>
      <w:hyperlink r:id="rId7" w:tgtFrame="http://data.europa.eu/eli/C/2024/7057/oj" w:history="1">
        <w:r w:rsidRPr="0034102E">
          <w:rPr>
            <w:rStyle w:val="Hyperlink"/>
            <w:sz w:val="24"/>
            <w:lang w:val="hr-HR"/>
          </w:rPr>
          <w:t>http://data.europa.eu/eli/C/2024/7057/oj</w:t>
        </w:r>
      </w:hyperlink>
      <w:r w:rsidRPr="0034102E">
        <w:rPr>
          <w:sz w:val="24"/>
          <w:lang w:val="hr-HR"/>
        </w:rPr>
        <w:t>.</w:t>
      </w:r>
    </w:p>
  </w:footnote>
  <w:footnote w:id="12">
    <w:p w:rsidR="00CD4CA7" w:rsidRPr="0034102E" w:rsidP="0034102E" w14:paraId="20356182" w14:textId="28394830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34102E">
        <w:rPr>
          <w:sz w:val="24"/>
          <w:vertAlign w:val="superscript"/>
          <w:lang w:val="hr-HR"/>
        </w:rPr>
        <w:t xml:space="preserve"> </w:t>
      </w:r>
      <w:r w:rsidRPr="0034102E">
        <w:rPr>
          <w:sz w:val="24"/>
          <w:vertAlign w:val="superscript"/>
          <w:lang w:val="hr-HR"/>
        </w:rPr>
        <w:tab/>
      </w:r>
      <w:r w:rsidRPr="0034102E">
        <w:rPr>
          <w:sz w:val="24"/>
          <w:lang w:val="hr-HR"/>
        </w:rPr>
        <w:t xml:space="preserve">SL C, C/2025/279, 24.1.2025., ELI: </w:t>
      </w:r>
      <w:hyperlink r:id="rId8" w:tgtFrame="http://data.europa.eu/eli/C/2025/279/oj" w:history="1">
        <w:r w:rsidRPr="0034102E">
          <w:rPr>
            <w:rStyle w:val="Hyperlink"/>
            <w:sz w:val="24"/>
            <w:lang w:val="hr-HR"/>
          </w:rPr>
          <w:t>http://data.europa.eu/eli/C/2025/279/oj</w:t>
        </w:r>
      </w:hyperlink>
      <w:r w:rsidRPr="0034102E">
        <w:rPr>
          <w:sz w:val="24"/>
          <w:lang w:val="hr-HR"/>
        </w:rPr>
        <w:t>.</w:t>
      </w:r>
    </w:p>
  </w:footnote>
  <w:footnote w:id="13">
    <w:p w:rsidR="00CD4CA7" w:rsidRPr="0034102E" w:rsidP="0034102E" w14:paraId="75030B81" w14:textId="4D1F3540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34102E">
        <w:rPr>
          <w:sz w:val="24"/>
          <w:vertAlign w:val="superscript"/>
          <w:lang w:val="hr-HR"/>
        </w:rPr>
        <w:t xml:space="preserve"> </w:t>
      </w:r>
      <w:r w:rsidRPr="0034102E">
        <w:rPr>
          <w:sz w:val="24"/>
          <w:vertAlign w:val="superscript"/>
          <w:lang w:val="hr-HR"/>
        </w:rPr>
        <w:tab/>
      </w:r>
      <w:r w:rsidRPr="0034102E">
        <w:rPr>
          <w:sz w:val="24"/>
          <w:lang w:val="hr-HR"/>
        </w:rPr>
        <w:t>Usvojeni tekstovi, P10_TA(2025)0128.</w:t>
      </w:r>
    </w:p>
  </w:footnote>
  <w:footnote w:id="14">
    <w:p w:rsidR="000D75DD" w:rsidRPr="0034102E" w:rsidP="0034102E" w14:paraId="48990AAB" w14:textId="065E8F89">
      <w:pPr>
        <w:pStyle w:val="FootnoteText"/>
        <w:ind w:left="567" w:hanging="567"/>
        <w:rPr>
          <w:sz w:val="24"/>
          <w:lang w:val="hr-HR"/>
        </w:rPr>
      </w:pPr>
      <w:r w:rsidRPr="0034102E">
        <w:rPr>
          <w:rStyle w:val="FootnoteReference"/>
          <w:sz w:val="24"/>
          <w:lang w:val="hr-HR"/>
        </w:rPr>
        <w:footnoteRef/>
      </w:r>
      <w:r w:rsidRPr="0034102E" w:rsidR="0034102E">
        <w:rPr>
          <w:sz w:val="24"/>
          <w:lang w:val="hr-HR"/>
        </w:rPr>
        <w:t xml:space="preserve"> </w:t>
      </w:r>
      <w:r w:rsidRPr="0034102E" w:rsidR="0034102E">
        <w:rPr>
          <w:sz w:val="24"/>
          <w:lang w:val="hr-HR"/>
        </w:rPr>
        <w:tab/>
      </w:r>
      <w:r w:rsidRPr="0034102E">
        <w:rPr>
          <w:sz w:val="24"/>
          <w:lang w:val="hr-HR"/>
        </w:rPr>
        <w:t xml:space="preserve">Uredba (EU) 2016/679 Europskog parlamenta i Vijeća od 27. travnja 2016. o zaštiti pojedinaca u vezi s obradom osobnih podataka i o slobodnom kretanju takvih podataka te o stavljanju izvan snage Direktive 95/46/EZ (Opća uredba o zaštiti podataka) (SL L 119, 4.5.2016., str. 1., ELI: </w:t>
      </w:r>
      <w:hyperlink r:id="rId9" w:history="1">
        <w:r w:rsidRPr="0034102E">
          <w:rPr>
            <w:rStyle w:val="Hyperlink"/>
            <w:sz w:val="24"/>
            <w:lang w:val="hr-HR"/>
          </w:rPr>
          <w:t>http://data.europa.eu/eli/reg/2016/679/oj</w:t>
        </w:r>
      </w:hyperlink>
      <w:r w:rsidRPr="0034102E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4102E" w14:paraId="0CA3ADA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4102E" w14:paraId="0900A3A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4102E" w14:paraId="6DEBC22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43031608">
    <w:abstractNumId w:val="9"/>
  </w:num>
  <w:num w:numId="2" w16cid:durableId="174274634">
    <w:abstractNumId w:val="9"/>
  </w:num>
  <w:num w:numId="3" w16cid:durableId="964311461">
    <w:abstractNumId w:val="7"/>
  </w:num>
  <w:num w:numId="4" w16cid:durableId="1933196645">
    <w:abstractNumId w:val="7"/>
  </w:num>
  <w:num w:numId="5" w16cid:durableId="409544178">
    <w:abstractNumId w:val="6"/>
  </w:num>
  <w:num w:numId="6" w16cid:durableId="38631814">
    <w:abstractNumId w:val="6"/>
  </w:num>
  <w:num w:numId="7" w16cid:durableId="1856580012">
    <w:abstractNumId w:val="5"/>
  </w:num>
  <w:num w:numId="8" w16cid:durableId="1207060968">
    <w:abstractNumId w:val="5"/>
  </w:num>
  <w:num w:numId="9" w16cid:durableId="1831752152">
    <w:abstractNumId w:val="4"/>
  </w:num>
  <w:num w:numId="10" w16cid:durableId="448163314">
    <w:abstractNumId w:val="4"/>
  </w:num>
  <w:num w:numId="11" w16cid:durableId="1028915681">
    <w:abstractNumId w:val="8"/>
  </w:num>
  <w:num w:numId="12" w16cid:durableId="1773820498">
    <w:abstractNumId w:val="8"/>
  </w:num>
  <w:num w:numId="13" w16cid:durableId="1322928449">
    <w:abstractNumId w:val="3"/>
  </w:num>
  <w:num w:numId="14" w16cid:durableId="1241211066">
    <w:abstractNumId w:val="3"/>
  </w:num>
  <w:num w:numId="15" w16cid:durableId="1388409593">
    <w:abstractNumId w:val="2"/>
  </w:num>
  <w:num w:numId="16" w16cid:durableId="627932763">
    <w:abstractNumId w:val="2"/>
  </w:num>
  <w:num w:numId="17" w16cid:durableId="1519270012">
    <w:abstractNumId w:val="1"/>
  </w:num>
  <w:num w:numId="18" w16cid:durableId="1240409963">
    <w:abstractNumId w:val="1"/>
  </w:num>
  <w:num w:numId="19" w16cid:durableId="1050685585">
    <w:abstractNumId w:val="0"/>
  </w:num>
  <w:num w:numId="20" w16cid:durableId="982463310">
    <w:abstractNumId w:val="0"/>
  </w:num>
  <w:num w:numId="21" w16cid:durableId="1243219635">
    <w:abstractNumId w:val="9"/>
  </w:num>
  <w:num w:numId="22" w16cid:durableId="367528256">
    <w:abstractNumId w:val="7"/>
  </w:num>
  <w:num w:numId="23" w16cid:durableId="2065834158">
    <w:abstractNumId w:val="6"/>
  </w:num>
  <w:num w:numId="24" w16cid:durableId="1030112678">
    <w:abstractNumId w:val="5"/>
  </w:num>
  <w:num w:numId="25" w16cid:durableId="1771311014">
    <w:abstractNumId w:val="4"/>
  </w:num>
  <w:num w:numId="26" w16cid:durableId="1465082777">
    <w:abstractNumId w:val="8"/>
  </w:num>
  <w:num w:numId="27" w16cid:durableId="368528873">
    <w:abstractNumId w:val="3"/>
  </w:num>
  <w:num w:numId="28" w16cid:durableId="1287783373">
    <w:abstractNumId w:val="2"/>
  </w:num>
  <w:num w:numId="29" w16cid:durableId="380979789">
    <w:abstractNumId w:val="1"/>
  </w:num>
  <w:num w:numId="30" w16cid:durableId="520434614">
    <w:abstractNumId w:val="0"/>
  </w:num>
  <w:num w:numId="31" w16cid:durableId="1622567477">
    <w:abstractNumId w:val="9"/>
  </w:num>
  <w:num w:numId="32" w16cid:durableId="776682228">
    <w:abstractNumId w:val="7"/>
  </w:num>
  <w:num w:numId="33" w16cid:durableId="1292831327">
    <w:abstractNumId w:val="6"/>
  </w:num>
  <w:num w:numId="34" w16cid:durableId="306476447">
    <w:abstractNumId w:val="5"/>
  </w:num>
  <w:num w:numId="35" w16cid:durableId="278488385">
    <w:abstractNumId w:val="4"/>
  </w:num>
  <w:num w:numId="36" w16cid:durableId="297298862">
    <w:abstractNumId w:val="8"/>
  </w:num>
  <w:num w:numId="37" w16cid:durableId="635642048">
    <w:abstractNumId w:val="3"/>
  </w:num>
  <w:num w:numId="38" w16cid:durableId="1941643664">
    <w:abstractNumId w:val="2"/>
  </w:num>
  <w:num w:numId="39" w16cid:durableId="1341278361">
    <w:abstractNumId w:val="1"/>
  </w:num>
  <w:num w:numId="40" w16cid:durableId="1967005296">
    <w:abstractNumId w:val="0"/>
  </w:num>
  <w:num w:numId="41" w16cid:durableId="1748768814">
    <w:abstractNumId w:val="10"/>
  </w:num>
  <w:num w:numId="42" w16cid:durableId="308946111">
    <w:abstractNumId w:val="10"/>
  </w:num>
  <w:num w:numId="43" w16cid:durableId="820924133">
    <w:abstractNumId w:val="10"/>
  </w:num>
  <w:num w:numId="44" w16cid:durableId="17172425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108"/>
    <w:rsid w:val="00002272"/>
    <w:rsid w:val="00064002"/>
    <w:rsid w:val="000677B9"/>
    <w:rsid w:val="000831BA"/>
    <w:rsid w:val="000A42CC"/>
    <w:rsid w:val="000D75DD"/>
    <w:rsid w:val="000E7DD9"/>
    <w:rsid w:val="0010095E"/>
    <w:rsid w:val="00125B37"/>
    <w:rsid w:val="00187494"/>
    <w:rsid w:val="001F32AE"/>
    <w:rsid w:val="002767FF"/>
    <w:rsid w:val="002B18FE"/>
    <w:rsid w:val="002B5493"/>
    <w:rsid w:val="0034102E"/>
    <w:rsid w:val="00343214"/>
    <w:rsid w:val="00361C00"/>
    <w:rsid w:val="00395FA1"/>
    <w:rsid w:val="003E15D4"/>
    <w:rsid w:val="00411CCE"/>
    <w:rsid w:val="0041666E"/>
    <w:rsid w:val="00421060"/>
    <w:rsid w:val="00471C19"/>
    <w:rsid w:val="00485108"/>
    <w:rsid w:val="004867E3"/>
    <w:rsid w:val="00494A28"/>
    <w:rsid w:val="004C0004"/>
    <w:rsid w:val="004C5D52"/>
    <w:rsid w:val="004F3254"/>
    <w:rsid w:val="0050519A"/>
    <w:rsid w:val="005072A1"/>
    <w:rsid w:val="00514517"/>
    <w:rsid w:val="00545827"/>
    <w:rsid w:val="00560270"/>
    <w:rsid w:val="00562D19"/>
    <w:rsid w:val="005C2568"/>
    <w:rsid w:val="005F1B17"/>
    <w:rsid w:val="006037C0"/>
    <w:rsid w:val="006631B6"/>
    <w:rsid w:val="00680577"/>
    <w:rsid w:val="006F74FA"/>
    <w:rsid w:val="00731ADD"/>
    <w:rsid w:val="00734777"/>
    <w:rsid w:val="00744A2E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12B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5C2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0F5D"/>
    <w:rsid w:val="00C23CD4"/>
    <w:rsid w:val="00C61C0C"/>
    <w:rsid w:val="00C71F97"/>
    <w:rsid w:val="00C941CB"/>
    <w:rsid w:val="00CC2357"/>
    <w:rsid w:val="00CD4CA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22/2026"/>
    <w:docVar w:name="dvlangue" w:val="HR"/>
    <w:docVar w:name="dvnumam" w:val="0"/>
    <w:docVar w:name="dvpe" w:val="778.127"/>
    <w:docVar w:name="dvrapporteur" w:val="Izvjestiteljica: "/>
    <w:docVar w:name="dvtitre" w:val="Rezolucija Europskog parlamenta od .... 2026. o kontroli, transparentnosti i sljedivosti instrumenata koji se temelje na uspješnosti(2025/2032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5DC2C72"/>
  <w15:chartTrackingRefBased/>
  <w15:docId w15:val="{05F9882B-6562-450F-9B1D-8F0C7CBC9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0D75DD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0D75DD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0D75DD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0D75DD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0D75DD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0D75DD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0D75DD"/>
    <w:rPr>
      <w:sz w:val="24"/>
      <w:szCs w:val="24"/>
      <w:lang w:val="hr-HR" w:eastAsia="en-US"/>
    </w:rPr>
  </w:style>
  <w:style w:type="character" w:styleId="FollowedHyperlink">
    <w:name w:val="FollowedHyperlink"/>
    <w:basedOn w:val="DefaultParagraphFont"/>
    <w:rsid w:val="00744A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0/2093/oj" TargetMode="External" /><Relationship Id="rId2" Type="http://schemas.openxmlformats.org/officeDocument/2006/relationships/hyperlink" Target="http://data.europa.eu/eli/reg/2024/2509/oj" TargetMode="External" /><Relationship Id="rId3" Type="http://schemas.openxmlformats.org/officeDocument/2006/relationships/hyperlink" Target="http://data.europa.eu/eli/reg/2020/2092/oj" TargetMode="External" /><Relationship Id="rId4" Type="http://schemas.openxmlformats.org/officeDocument/2006/relationships/hyperlink" Target="http://data.europa.eu/eli/reg/2024/1263/oj" TargetMode="External" /><Relationship Id="rId5" Type="http://schemas.openxmlformats.org/officeDocument/2006/relationships/hyperlink" Target="http://data.europa.eu/eli/C/2024/6750/oj" TargetMode="External" /><Relationship Id="rId6" Type="http://schemas.openxmlformats.org/officeDocument/2006/relationships/hyperlink" Target="http://data.europa.eu/eli/agree_interinstit/2020/1222/oj" TargetMode="External" /><Relationship Id="rId7" Type="http://schemas.openxmlformats.org/officeDocument/2006/relationships/hyperlink" Target="http://data.europa.eu/eli/C/2024/7057/oj" TargetMode="External" /><Relationship Id="rId8" Type="http://schemas.openxmlformats.org/officeDocument/2006/relationships/hyperlink" Target="http://data.europa.eu/eli/C/2025/279/oj" TargetMode="External" /><Relationship Id="rId9" Type="http://schemas.openxmlformats.org/officeDocument/2006/relationships/hyperlink" Target="http://data.europa.eu/eli/reg/2016/6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4879</Words>
  <Characters>30993</Characters>
  <Application>Microsoft Office Word</Application>
  <DocSecurity>0</DocSecurity>
  <Lines>1147</Lines>
  <Paragraphs>432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2026-06-04T15:03:00Z</dcterms:created>
  <dcterms:modified xsi:type="dcterms:W3CDTF">2026-06-04T15:03:00Z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A10-0022/2026</vt:lpwstr>
  </property>
  <property fmtid="{D5CDD505-2E9C-101B-9397-08002B2CF9AE}" pid="4" name="&lt;Type&gt;">
    <vt:lpwstr>RR</vt:lpwstr>
  </property>
</Properties>
</file>