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A86029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1281" w:rsidP="0010095E" w14:paraId="51EE2553" w14:textId="77777777">
            <w:pPr>
              <w:pStyle w:val="EPName"/>
            </w:pPr>
            <w:r w:rsidRPr="00F11281">
              <w:t>Parlament Ewropew</w:t>
            </w:r>
          </w:p>
          <w:p w:rsidR="00751A4A" w:rsidRPr="00F11281" w:rsidP="005F1B17" w14:paraId="381AB3F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1281">
              <w:t>2024</w:t>
            </w:r>
            <w:r w:rsidRPr="00F11281" w:rsidR="00817416">
              <w:t>-202</w:t>
            </w:r>
            <w:r w:rsidRPr="00F1128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11281" w:rsidP="0010095E" w14:paraId="73764019" w14:textId="77777777">
            <w:pPr>
              <w:pStyle w:val="EPLogo"/>
            </w:pPr>
            <w:r w:rsidRPr="00F1128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1281" w:rsidP="004C5D52" w14:paraId="221DDF94" w14:textId="77777777">
      <w:pPr>
        <w:pStyle w:val="LineTop"/>
      </w:pPr>
    </w:p>
    <w:p w:rsidR="00680577" w:rsidRPr="00F11281" w:rsidP="00680577" w14:paraId="6F16F53F" w14:textId="77777777">
      <w:pPr>
        <w:pStyle w:val="EPBodyTA1"/>
      </w:pPr>
      <w:r w:rsidRPr="00F11281">
        <w:t>TESTI ADOTTATI</w:t>
      </w:r>
    </w:p>
    <w:p w:rsidR="00D058B8" w:rsidRPr="00F11281" w:rsidP="00D058B8" w14:paraId="5ECB72D6" w14:textId="77777777">
      <w:pPr>
        <w:pStyle w:val="LineBottom"/>
      </w:pPr>
    </w:p>
    <w:p w:rsidR="000A03A9" w:rsidRPr="00F11281" w:rsidP="000A03A9" w14:paraId="3E016CCF" w14:textId="69D66B85">
      <w:pPr>
        <w:pStyle w:val="ATHeading1"/>
      </w:pPr>
      <w:bookmarkStart w:id="0" w:name="TANumber"/>
      <w:r w:rsidRPr="00F11281">
        <w:t>P10_TA(2026)0</w:t>
      </w:r>
      <w:bookmarkEnd w:id="0"/>
      <w:r w:rsidR="001B79FC">
        <w:t>122</w:t>
      </w:r>
    </w:p>
    <w:p w:rsidR="000A03A9" w:rsidRPr="00F11281" w:rsidP="000A03A9" w14:paraId="57B81EB5" w14:textId="77777777">
      <w:pPr>
        <w:pStyle w:val="ATHeading2"/>
      </w:pPr>
      <w:bookmarkStart w:id="1" w:name="title"/>
      <w:r w:rsidRPr="00F11281">
        <w:t>Il-kontroll, it-trasparenza u t-traċċabbiltà tal-istrumenti bbażati fuq il-prestazzjoni</w:t>
      </w:r>
      <w:bookmarkEnd w:id="1"/>
    </w:p>
    <w:p w:rsidR="000A03A9" w:rsidRPr="00F11281" w:rsidP="000A03A9" w14:paraId="4D7EF9F8" w14:textId="77777777">
      <w:pPr>
        <w:rPr>
          <w:i/>
          <w:vanish/>
        </w:rPr>
      </w:pPr>
      <w:r>
        <w:rPr>
          <w:i/>
        </w:rPr>
        <w:fldChar w:fldCharType="begin"/>
      </w:r>
      <w:r w:rsidRPr="00F11281">
        <w:rPr>
          <w:i/>
        </w:rPr>
        <w:instrText xml:space="preserve"> TC"(</w:instrText>
      </w:r>
      <w:bookmarkStart w:id="2" w:name="DocNumber"/>
      <w:r w:rsidRPr="00F11281">
        <w:rPr>
          <w:i/>
        </w:rPr>
        <w:instrText>A10-0022/2026</w:instrText>
      </w:r>
      <w:bookmarkEnd w:id="2"/>
      <w:r w:rsidRPr="00F11281">
        <w:rPr>
          <w:i/>
        </w:rPr>
        <w:instrText xml:space="preserve"> - Rapporteur: Monika Hohlmeier)"\l3 \n&gt; \* MERGEFORMAT </w:instrText>
      </w:r>
      <w:r>
        <w:rPr>
          <w:i/>
        </w:rPr>
        <w:fldChar w:fldCharType="end"/>
      </w:r>
    </w:p>
    <w:p w:rsidR="000A03A9" w:rsidRPr="00F11281" w:rsidP="000A03A9" w14:paraId="1B486E5F" w14:textId="77777777">
      <w:pPr>
        <w:rPr>
          <w:vanish/>
        </w:rPr>
      </w:pPr>
      <w:bookmarkStart w:id="3" w:name="Commission"/>
      <w:r w:rsidRPr="00F11281">
        <w:rPr>
          <w:vanish/>
        </w:rPr>
        <w:t>Kumitat għall-Kontroll tal-Baġit</w:t>
      </w:r>
      <w:bookmarkEnd w:id="3"/>
    </w:p>
    <w:p w:rsidR="000A03A9" w:rsidRPr="00F11281" w:rsidP="000A03A9" w14:paraId="44BEECBB" w14:textId="77777777">
      <w:pPr>
        <w:rPr>
          <w:vanish/>
        </w:rPr>
      </w:pPr>
      <w:bookmarkStart w:id="4" w:name="PE"/>
      <w:r w:rsidRPr="00F11281">
        <w:rPr>
          <w:vanish/>
        </w:rPr>
        <w:t>PE778.127</w:t>
      </w:r>
      <w:bookmarkEnd w:id="4"/>
    </w:p>
    <w:p w:rsidR="000A03A9" w:rsidRPr="00F11281" w:rsidP="000A03A9" w14:paraId="6B8CA0F1" w14:textId="5BFCFED5">
      <w:pPr>
        <w:pStyle w:val="ATHeading3"/>
      </w:pPr>
      <w:bookmarkStart w:id="5" w:name="Sujet"/>
      <w:r w:rsidRPr="00F11281">
        <w:t xml:space="preserve">Riżoluzzjoni tal-Parlament Ewropew </w:t>
      </w:r>
      <w:r w:rsidR="00650A93">
        <w:t>tat-28 ta’ April</w:t>
      </w:r>
      <w:r w:rsidRPr="00F11281">
        <w:t xml:space="preserve"> 2026 dwar il-kontroll, it-trasparenza u t-traċċabbiltà tal-istrumenti bbażati fuq il-prestazzjoni</w:t>
      </w:r>
      <w:bookmarkEnd w:id="5"/>
      <w:r w:rsidRPr="00F11281">
        <w:t xml:space="preserve"> </w:t>
      </w:r>
      <w:bookmarkStart w:id="6" w:name="References"/>
      <w:r w:rsidRPr="00F11281">
        <w:t>(2025/2032(INI))</w:t>
      </w:r>
      <w:bookmarkEnd w:id="6"/>
    </w:p>
    <w:p w:rsidR="00606BBA" w:rsidRPr="00F11281" w:rsidP="00606BBA" w14:paraId="0A5FBFE6" w14:textId="77777777">
      <w:pPr>
        <w:pStyle w:val="Normal12"/>
      </w:pPr>
      <w:r w:rsidRPr="00F11281">
        <w:rPr>
          <w:i/>
          <w:iCs/>
        </w:rPr>
        <w:t>Il-Parlament Ewropew</w:t>
      </w:r>
      <w:r w:rsidRPr="00F11281">
        <w:t>,</w:t>
      </w:r>
    </w:p>
    <w:p w:rsidR="00606BBA" w:rsidRPr="00F11281" w:rsidP="00606BBA" w14:paraId="165185F1" w14:textId="77777777">
      <w:pPr>
        <w:pStyle w:val="NormalHanging"/>
      </w:pPr>
      <w:r w:rsidRPr="00F11281">
        <w:t>–</w:t>
      </w:r>
      <w:r w:rsidRPr="00F11281">
        <w:tab/>
        <w:t>wara li kkunsidra l-Artikoli 311, 312, 319, 323 u 324 tat-Trattat dwar il-Funzjonament tal-Unjoni Ewropea (TFUE),</w:t>
      </w:r>
    </w:p>
    <w:p w:rsidR="00606BBA" w:rsidRPr="00F11281" w:rsidP="00606BBA" w14:paraId="508C288B" w14:textId="77777777">
      <w:pPr>
        <w:pStyle w:val="NormalHanging"/>
      </w:pPr>
      <w:r w:rsidRPr="00F11281">
        <w:t>–</w:t>
      </w:r>
      <w:r w:rsidRPr="00F11281">
        <w:tab/>
        <w:t>wara li kkunsidra r-Regolament tal-Kunsill (UE, Euratom) 2020/2093 tas-17 ta’ Diċembru 2020 li jistabbilixxi l-qafas finanzjarju pluriennali għas-snin 2021-2027</w:t>
      </w:r>
      <w:r>
        <w:rPr>
          <w:rStyle w:val="FootnoteReference"/>
        </w:rPr>
        <w:footnoteReference w:customMarkFollows="1" w:id="2"/>
        <w:t xml:space="preserve">1</w:t>
      </w:r>
      <w:r w:rsidRPr="00F11281">
        <w:t xml:space="preserve"> u d-dikjarazzjonijiet konġunti maqbula bejn il-Parlament, il-Kunsill u l-Kummissjoni f’dan il-kuntest u d-dikjarazzjonijiet unilaterali relatati,</w:t>
      </w:r>
    </w:p>
    <w:p w:rsidR="00606BBA" w:rsidRPr="00F11281" w:rsidP="00606BBA" w14:paraId="2BFC4CF7" w14:textId="77777777">
      <w:pPr>
        <w:pStyle w:val="NormalHanging"/>
      </w:pPr>
      <w:r w:rsidRPr="00F11281">
        <w:t>–</w:t>
      </w:r>
      <w:r w:rsidRPr="00F11281">
        <w:tab/>
        <w:t>wara li kkunsidra r-Regolament (UE, Euratom) 2024/2509 tal-Parlament Ewropew u tal-Kunsill tat-23 ta’ Settembru 2024 dwar ir-regoli finanzjarji applikabbli għall-baġit ġenerali tal-Unjoni</w:t>
      </w:r>
      <w:r>
        <w:rPr>
          <w:rStyle w:val="FootnoteReference"/>
        </w:rPr>
        <w:footnoteReference w:customMarkFollows="1" w:id="3"/>
        <w:t xml:space="preserve">2</w:t>
      </w:r>
      <w:r w:rsidRPr="00F11281">
        <w:t xml:space="preserve"> (ir-Regolament Finanzjarju),</w:t>
      </w:r>
    </w:p>
    <w:p w:rsidR="00606BBA" w:rsidRPr="00F11281" w:rsidP="00606BBA" w14:paraId="09216BDC" w14:textId="77777777">
      <w:pPr>
        <w:pStyle w:val="NormalHanging"/>
      </w:pPr>
      <w:r w:rsidRPr="00F11281">
        <w:t>–</w:t>
      </w:r>
      <w:r w:rsidRPr="00F11281">
        <w:tab/>
        <w:t>wara li kkunsidra r-Regolament (UE, Euratom) 2020/2092 tal-Parlament Ewropew u tal-Kunsill tas-16 ta’ Diċembru 2020 dwar reġim ġenerali ta’ kundizzjonalità għall-protezzjoni tal-baġit tal-Unjoni</w:t>
      </w:r>
      <w:r>
        <w:rPr>
          <w:rStyle w:val="FootnoteReference"/>
        </w:rPr>
        <w:footnoteReference w:customMarkFollows="1" w:id="4"/>
        <w:t xml:space="preserve">3</w:t>
      </w:r>
      <w:r w:rsidRPr="00F11281">
        <w:t xml:space="preserve"> (ir-Regolament dwar il-Kundizzjonalità tal-Istat tad-Dritt),</w:t>
      </w:r>
    </w:p>
    <w:p w:rsidR="00606BBA" w:rsidRPr="00F11281" w:rsidP="00606BBA" w14:paraId="62339F60" w14:textId="77777777">
      <w:pPr>
        <w:pStyle w:val="NormalHanging"/>
      </w:pPr>
      <w:r w:rsidRPr="00F11281">
        <w:t>–</w:t>
      </w:r>
      <w:r w:rsidRPr="00F11281">
        <w:tab/>
        <w:t>wara li kkunsidra r-Regolament (UE) 2024/1263 tal-Parlament Ewropew u tal-Kunsill tad-29 ta’ April 2024 dwar il-koordinazzjoni effettiva tal-politiki ekonomiċi u dwar is-sorveljanza baġitarja multilaterali u li jħassar ir-Regolament tal-Kunsill (KE) Nru 1466/97</w:t>
      </w:r>
      <w:r>
        <w:rPr>
          <w:rStyle w:val="FootnoteReference"/>
        </w:rPr>
        <w:footnoteReference w:customMarkFollows="1" w:id="5"/>
        <w:t xml:space="preserve">4</w:t>
      </w:r>
      <w:r w:rsidRPr="00F11281">
        <w:t>,</w:t>
      </w:r>
    </w:p>
    <w:p w:rsidR="00606BBA" w:rsidRPr="00F11281" w:rsidP="00606BBA" w14:paraId="71761883" w14:textId="77777777">
      <w:pPr>
        <w:pStyle w:val="NormalHanging"/>
      </w:pPr>
      <w:r w:rsidRPr="00F11281">
        <w:t>–</w:t>
      </w:r>
      <w:r w:rsidRPr="00F11281">
        <w:tab/>
        <w:t>wara li kkunsidra r-riżoluzzjoni tiegħu tal-15 ta’ Diċembru 2022 dwar it-titjib tal-qafas finanzjarju pluriennali 2021-2027: baġit tal-UE reżiljenti u adegwat għal sfidi ġodda</w:t>
      </w:r>
      <w:r>
        <w:rPr>
          <w:rStyle w:val="FootnoteReference"/>
        </w:rPr>
        <w:footnoteReference w:customMarkFollows="1" w:id="6"/>
        <w:t xml:space="preserve">5</w:t>
      </w:r>
      <w:r w:rsidRPr="00F11281">
        <w:t>,</w:t>
      </w:r>
    </w:p>
    <w:p w:rsidR="00606BBA" w:rsidRPr="00F11281" w:rsidP="00606BBA" w14:paraId="5A975658" w14:textId="77777777">
      <w:pPr>
        <w:pStyle w:val="NormalHanging"/>
      </w:pPr>
      <w:r w:rsidRPr="00F11281">
        <w:t>–</w:t>
      </w:r>
      <w:r w:rsidRPr="00F11281">
        <w:tab/>
        <w:t>wara li kkunsidra l-pożizzjoni tiegħu tas-27 ta’ Frar 2024 dwar l-abbozz ta’ regolament tal-Kunsill li jemenda r-Regolament (UE, Euratom) 2020/2093 li jistabbilixxi l-qafas finanzjarju pluriennali għas-snin mill-2021 sal-2027</w:t>
      </w:r>
      <w:r>
        <w:rPr>
          <w:rStyle w:val="FootnoteReference"/>
        </w:rPr>
        <w:footnoteReference w:customMarkFollows="1" w:id="7"/>
        <w:t xml:space="preserve">6</w:t>
      </w:r>
      <w:r w:rsidRPr="00F11281">
        <w:t>,</w:t>
      </w:r>
    </w:p>
    <w:p w:rsidR="00606BBA" w:rsidRPr="00F11281" w:rsidP="00606BBA" w14:paraId="7AD85870" w14:textId="77777777">
      <w:pPr>
        <w:pStyle w:val="NormalHanging"/>
      </w:pPr>
      <w:r w:rsidRPr="00F11281">
        <w:t>–</w:t>
      </w:r>
      <w:r w:rsidRPr="00F11281">
        <w:tab/>
        <w:t>wara li kkunsidra l-Ftehim Interistituzzjonali tas-16 ta’ Diċembru 2020 bejn il-Parlament Ewropew, il-Kunsill tal-Unjoni Ewropea u l-Kummissjoni Ewropea dwar dixxiplina baġitarja, dwar kooperazzjoni f’materji baġitarji u dwar ġestjoni finanzjarja tajba, kif ukoll dwar riżorsi proprji ġodda, inkluż pjan direzzjonali lejn l-introduzzjoni ta’ riżorsi proprji ġodda</w:t>
      </w:r>
      <w:r>
        <w:rPr>
          <w:rStyle w:val="FootnoteReference"/>
        </w:rPr>
        <w:footnoteReference w:customMarkFollows="1" w:id="8"/>
        <w:t xml:space="preserve">7</w:t>
      </w:r>
      <w:r w:rsidRPr="00F11281">
        <w:t xml:space="preserve"> (il-FII),</w:t>
      </w:r>
    </w:p>
    <w:p w:rsidR="00606BBA" w:rsidRPr="00F11281" w:rsidP="00606BBA" w14:paraId="58C5C529" w14:textId="77777777">
      <w:pPr>
        <w:pStyle w:val="NormalHanging"/>
      </w:pPr>
      <w:r w:rsidRPr="00F11281">
        <w:t>–</w:t>
      </w:r>
      <w:r w:rsidRPr="00F11281">
        <w:tab/>
        <w:t>wara li kkunsidra l-pożizzjoni tiegħu tas-16 ta’ Diċembru 2020 dwar l-abbozz ta’ regolament tal-Kunsill li jistabbilixxi l-qafas finanzjarju pluriennali għas-snin 2021-2027</w:t>
      </w:r>
      <w:r>
        <w:rPr>
          <w:rStyle w:val="FootnoteReference"/>
        </w:rPr>
        <w:footnoteReference w:customMarkFollows="1" w:id="9"/>
        <w:t xml:space="preserve">8</w:t>
      </w:r>
      <w:r w:rsidRPr="00F11281">
        <w:t>,</w:t>
      </w:r>
    </w:p>
    <w:p w:rsidR="00606BBA" w:rsidRPr="00F11281" w:rsidP="00606BBA" w14:paraId="36299521" w14:textId="77777777">
      <w:pPr>
        <w:pStyle w:val="NormalHanging"/>
      </w:pPr>
      <w:r w:rsidRPr="00F11281">
        <w:t>–</w:t>
      </w:r>
      <w:r w:rsidRPr="00F11281">
        <w:tab/>
        <w:t>wara li kkunsidra r-rapport annwali tal-Qorti Ewropea tal-Awdituri (QEA) tal-10 ta’ Ottubru 2024 dwar l-implimentazzjoni tal-baġit tal-UE għas-sena finanzjarja 2023, flimkien mar-risposti tal-istituzzjonijiet,</w:t>
      </w:r>
    </w:p>
    <w:p w:rsidR="00606BBA" w:rsidRPr="00F11281" w:rsidP="00606BBA" w14:paraId="744AE7A8" w14:textId="77777777">
      <w:pPr>
        <w:pStyle w:val="NormalHanging"/>
      </w:pPr>
      <w:r w:rsidRPr="00F11281">
        <w:t>–</w:t>
      </w:r>
      <w:r w:rsidRPr="00F11281">
        <w:tab/>
        <w:t>wara li kkunsidra r-rapport speċjali 13/2024 tal-QEA tat-2 ta’ Settembru 2024 bit-titolu “Assorbiment ta’ fondi mingħand il‑Faċilità għall‑Irkupru u r‑Reżiljenza – Qed isir progress b’xi dewmien u għad hemm riskji fir-rigward tat-twettiq tal-miżuri u, għalhekk, l-ilħuq tal-objettivi tal-RRF”, ir-rapport speċjali 14/2024 tal-QEA tal-11 ta’ Settembru 2024 bit-titolu “Tranżizzjoni ekoloġika – Mhijiex ċara l-kontribuzzjoni mill-Faċilità għall-Irkupru u r-Reżiljenza”, u r-rapport speċjali 22/2024 tal-QEA tal-21 ta’ Ottubru 2024 bit-titolu “Finanzjament doppju mingħand il-baġit tal-UE – Is-sistemi ta’ kontroll ma għandhomx elementi essenzjali biex jimmitigaw ir-riskju akbar li jirriżulta mill-fatt li l-mudell ta’ finanzjament tal-RRF mhuwiex marbut mal-kostijiet”,</w:t>
      </w:r>
    </w:p>
    <w:p w:rsidR="00606BBA" w:rsidRPr="00F11281" w:rsidP="00606BBA" w14:paraId="78A5FB9C" w14:textId="77777777">
      <w:pPr>
        <w:pStyle w:val="NormalHanging"/>
      </w:pPr>
      <w:r w:rsidRPr="00F11281">
        <w:t>–</w:t>
      </w:r>
      <w:r w:rsidRPr="00F11281">
        <w:tab/>
        <w:t>wara li kkunsidra r-Rapport Analitiku 03/2025 tal-QEA tas-16 ta’ Ġunju 2025 bit-titolu “Opportunitajiet għall-Qafas Finanzjarju Pluriennali ta’ wara l-2027” u r-Rapport Analitiku 04/2025 tal-QEA tad-19 ta’ Ġunju 2025 bit-titolu “Il-Futur tal-Politika ta’ Koeżjoni tal-UE: Nitgħallmu mill-passat”,</w:t>
      </w:r>
    </w:p>
    <w:p w:rsidR="00606BBA" w:rsidRPr="00F11281" w:rsidP="00606BBA" w14:paraId="12B278F3" w14:textId="77777777">
      <w:pPr>
        <w:pStyle w:val="NormalHanging"/>
      </w:pPr>
      <w:r w:rsidRPr="00F11281">
        <w:t>–</w:t>
      </w:r>
      <w:r w:rsidRPr="00F11281">
        <w:tab/>
        <w:t>wara li kkunsidra r-riżoluzzjoni tiegħu tas-7 ta’ Mejju 2025 dwar baġit imġedded fit-tul għall-Unjoni f’dinja li qed tinbidel, u l-opinjoni tal-Kumitat għall-Kontroll tal-Baġit għall-Kumitat għall-Baġits dwar baġit imġedded fit-tul għall-Unjoni f’dinja li qed tinbidel</w:t>
      </w:r>
      <w:r>
        <w:rPr>
          <w:rStyle w:val="FootnoteReference"/>
        </w:rPr>
        <w:footnoteReference w:customMarkFollows="1" w:id="10"/>
        <w:t xml:space="preserve">9</w:t>
      </w:r>
      <w:r w:rsidRPr="00F11281">
        <w:t>,</w:t>
      </w:r>
    </w:p>
    <w:p w:rsidR="00606BBA" w:rsidRPr="00F11281" w:rsidP="00606BBA" w14:paraId="63D6BDB2" w14:textId="77777777">
      <w:pPr>
        <w:pStyle w:val="NormalHanging"/>
      </w:pPr>
      <w:r w:rsidRPr="00F11281">
        <w:t>–</w:t>
      </w:r>
      <w:r w:rsidRPr="00F11281">
        <w:tab/>
        <w:t xml:space="preserve">wara li kkunsidra r-rapport tal-Kumitat għall-Kontroll tal-Baġit tiegħu tat-23 ta’ April 2025 dwar il-kwittanza għall-implimentazzjoni tal-baġit ġenerali tal-Unjoni Ewropea </w:t>
      </w:r>
      <w:r w:rsidRPr="00F11281">
        <w:t>għas-sena finanzjarja 2023, Taqsima III – Il-Kummissjoni, l-aġenziji eżekuttivi u d-</w:t>
      </w:r>
      <w:r w:rsidRPr="00F11281">
        <w:t>disa</w:t>
      </w:r>
      <w:r w:rsidRPr="00F11281">
        <w:t>’, l-għaxar u l-ħdax-il Fond Ewropew għall-Iżvilupp,</w:t>
      </w:r>
    </w:p>
    <w:p w:rsidR="00606BBA" w:rsidRPr="00F11281" w:rsidP="00606BBA" w14:paraId="40383114" w14:textId="77777777">
      <w:pPr>
        <w:pStyle w:val="NormalHanging"/>
      </w:pPr>
      <w:r w:rsidRPr="00F11281">
        <w:t>–</w:t>
      </w:r>
      <w:r w:rsidRPr="00F11281">
        <w:tab/>
        <w:t>wara li kkunsidra r-rapport tal-Kummissjoni ta’ Diċembru 2023 bit-titolu “</w:t>
      </w:r>
      <w:r w:rsidRPr="00F11281">
        <w:t>Study</w:t>
      </w:r>
      <w:r w:rsidRPr="00F11281">
        <w:t xml:space="preserve"> </w:t>
      </w:r>
      <w:r w:rsidRPr="00F11281">
        <w:t>supporting</w:t>
      </w:r>
      <w:r w:rsidRPr="00F11281">
        <w:t xml:space="preserve"> </w:t>
      </w:r>
      <w:r w:rsidRPr="00F11281">
        <w:t>the</w:t>
      </w:r>
      <w:r w:rsidRPr="00F11281">
        <w:t xml:space="preserve"> mid-term </w:t>
      </w:r>
      <w:r w:rsidRPr="00F11281">
        <w:t>Evaluation</w:t>
      </w:r>
      <w:r w:rsidRPr="00F11281">
        <w:t xml:space="preserve"> of </w:t>
      </w:r>
      <w:r w:rsidRPr="00F11281">
        <w:t>the</w:t>
      </w:r>
      <w:r w:rsidRPr="00F11281">
        <w:t xml:space="preserve"> </w:t>
      </w:r>
      <w:r w:rsidRPr="00F11281">
        <w:t>Recovery</w:t>
      </w:r>
      <w:r w:rsidRPr="00F11281">
        <w:t xml:space="preserve"> </w:t>
      </w:r>
      <w:r w:rsidRPr="00F11281">
        <w:t>and</w:t>
      </w:r>
      <w:r w:rsidRPr="00F11281">
        <w:t xml:space="preserve"> </w:t>
      </w:r>
      <w:r w:rsidRPr="00F11281">
        <w:t>Resilience</w:t>
      </w:r>
      <w:r w:rsidRPr="00F11281">
        <w:t xml:space="preserve"> </w:t>
      </w:r>
      <w:r w:rsidRPr="00F11281">
        <w:t>Facility</w:t>
      </w:r>
      <w:r w:rsidRPr="00F11281">
        <w:t>” (Studju li jappoġġja l-Evalwazzjoni ta’ nofs it-terminu tal-Faċilità għall-Irkupru u r-Reżiljenza),</w:t>
      </w:r>
    </w:p>
    <w:p w:rsidR="00606BBA" w:rsidRPr="00F11281" w:rsidP="00606BBA" w14:paraId="46BF96D2" w14:textId="77777777">
      <w:pPr>
        <w:pStyle w:val="NormalHanging"/>
      </w:pPr>
      <w:r w:rsidRPr="00F11281">
        <w:t>–</w:t>
      </w:r>
      <w:r w:rsidRPr="00F11281">
        <w:tab/>
        <w:t>wara li kkunsidra r-rapport annwali tal-2024 tal-Uffiċċju tal-Prosekutur Pubbliku Ewropew (UPPE), ippubblikat fit-3 ta’ Marzu 2025,</w:t>
      </w:r>
    </w:p>
    <w:p w:rsidR="00606BBA" w:rsidRPr="00F11281" w:rsidP="00606BBA" w14:paraId="3F09C5DD" w14:textId="77777777">
      <w:pPr>
        <w:pStyle w:val="NormalHanging"/>
      </w:pPr>
      <w:r w:rsidRPr="00F11281">
        <w:t>–</w:t>
      </w:r>
      <w:r w:rsidRPr="00F11281">
        <w:tab/>
        <w:t xml:space="preserve">wara li kkunsidra r-rapport ta’ Settembru 2024 ta’ Mario </w:t>
      </w:r>
      <w:r w:rsidRPr="00F11281">
        <w:t>Draghi</w:t>
      </w:r>
      <w:r w:rsidRPr="00F11281">
        <w:t xml:space="preserve"> bit-titolu “</w:t>
      </w:r>
      <w:r w:rsidRPr="00F11281">
        <w:t>The</w:t>
      </w:r>
      <w:r w:rsidRPr="00F11281">
        <w:t xml:space="preserve"> </w:t>
      </w:r>
      <w:r w:rsidRPr="00F11281">
        <w:t>future</w:t>
      </w:r>
      <w:r w:rsidRPr="00F11281">
        <w:t xml:space="preserve"> of </w:t>
      </w:r>
      <w:r w:rsidRPr="00F11281">
        <w:t>European</w:t>
      </w:r>
      <w:r w:rsidRPr="00F11281">
        <w:t xml:space="preserve"> </w:t>
      </w:r>
      <w:r w:rsidRPr="00F11281">
        <w:t>competitiveness</w:t>
      </w:r>
      <w:r w:rsidRPr="00F11281">
        <w:t xml:space="preserve">” (Il-futur tal-kompetittività Ewropea) (ir-rapport </w:t>
      </w:r>
      <w:r w:rsidRPr="00F11281">
        <w:t>Draghi</w:t>
      </w:r>
      <w:r w:rsidRPr="00F11281">
        <w:t>),</w:t>
      </w:r>
    </w:p>
    <w:p w:rsidR="00606BBA" w:rsidRPr="00F11281" w:rsidP="00606BBA" w14:paraId="74F88560" w14:textId="77777777">
      <w:pPr>
        <w:pStyle w:val="NormalHanging"/>
      </w:pPr>
      <w:r w:rsidRPr="00F11281">
        <w:t>–</w:t>
      </w:r>
      <w:r w:rsidRPr="00F11281">
        <w:tab/>
        <w:t>wara li kkunsidra l-opinjoni tal-Kumitat Ewropew tar-Reġjuni tat-8 ta’ Ottubru 2024 bit-titolu “Eżami ta’ nofs it-terminu tal-pjan ta’ rkupru Ewropew ta’ wara l-COVID-19 (Il-Faċilità għall-Irkupru u r-Reżiljenza)”</w:t>
      </w:r>
      <w:r>
        <w:rPr>
          <w:rStyle w:val="FootnoteReference"/>
        </w:rPr>
        <w:footnoteReference w:customMarkFollows="1" w:id="11"/>
        <w:t xml:space="preserve">10</w:t>
      </w:r>
      <w:r w:rsidRPr="00F11281">
        <w:t>,</w:t>
      </w:r>
    </w:p>
    <w:p w:rsidR="00606BBA" w:rsidRPr="00F11281" w:rsidP="00606BBA" w14:paraId="7D21A8C2" w14:textId="77777777">
      <w:pPr>
        <w:pStyle w:val="NormalHanging"/>
      </w:pPr>
      <w:r w:rsidRPr="00F11281">
        <w:t>–</w:t>
      </w:r>
      <w:r w:rsidRPr="00F11281">
        <w:tab/>
        <w:t>wara li kkunsidra l-informazzjoni ppubblikata fit-Tabella ta’ Valutazzjoni tal-Faċilità għall-Irkupru u r-Reżiljenza,</w:t>
      </w:r>
    </w:p>
    <w:p w:rsidR="00606BBA" w:rsidRPr="00F11281" w:rsidP="00606BBA" w14:paraId="0F542878" w14:textId="77777777">
      <w:pPr>
        <w:pStyle w:val="NormalHanging"/>
      </w:pPr>
      <w:r w:rsidRPr="00F11281">
        <w:t>–</w:t>
      </w:r>
      <w:r w:rsidRPr="00F11281">
        <w:tab/>
        <w:t>wara li kkunsidra r-riċerka interna, l-analiżi fil-fond u l-</w:t>
      </w:r>
      <w:r w:rsidRPr="00F11281">
        <w:t>briefings</w:t>
      </w:r>
      <w:r w:rsidRPr="00F11281">
        <w:t xml:space="preserve"> tiegħu b’rabta mal-implimentazzjoni tal-Faċilità għall-Irkupru u r-Reżiljenza,</w:t>
      </w:r>
    </w:p>
    <w:p w:rsidR="00606BBA" w:rsidRPr="00F11281" w:rsidP="00606BBA" w14:paraId="2AA13F2A" w14:textId="77777777">
      <w:pPr>
        <w:pStyle w:val="NormalHanging"/>
      </w:pPr>
      <w:r w:rsidRPr="00F11281">
        <w:t>–</w:t>
      </w:r>
      <w:r w:rsidRPr="00F11281">
        <w:tab/>
        <w:t xml:space="preserve">wara li kkunsidra r-rapport tas-17 ta’ April 2024 ta’ Enrico </w:t>
      </w:r>
      <w:r w:rsidRPr="00F11281">
        <w:t>Letta</w:t>
      </w:r>
      <w:r w:rsidRPr="00F11281">
        <w:t xml:space="preserve"> bit-titolu “</w:t>
      </w:r>
      <w:r w:rsidRPr="00F11281">
        <w:t>Much</w:t>
      </w:r>
      <w:r w:rsidRPr="00F11281">
        <w:t xml:space="preserve"> </w:t>
      </w:r>
      <w:r w:rsidRPr="00F11281">
        <w:t>more</w:t>
      </w:r>
      <w:r w:rsidRPr="00F11281">
        <w:t xml:space="preserve"> </w:t>
      </w:r>
      <w:r w:rsidRPr="00F11281">
        <w:t>than</w:t>
      </w:r>
      <w:r w:rsidRPr="00F11281">
        <w:t xml:space="preserve"> a </w:t>
      </w:r>
      <w:r w:rsidRPr="00F11281">
        <w:t>market</w:t>
      </w:r>
      <w:r w:rsidRPr="00F11281">
        <w:t xml:space="preserve"> – </w:t>
      </w:r>
      <w:r w:rsidRPr="00F11281">
        <w:t>speed</w:t>
      </w:r>
      <w:r w:rsidRPr="00F11281">
        <w:t xml:space="preserve">, </w:t>
      </w:r>
      <w:r w:rsidRPr="00F11281">
        <w:t>security</w:t>
      </w:r>
      <w:r w:rsidRPr="00F11281">
        <w:t xml:space="preserve">, </w:t>
      </w:r>
      <w:r w:rsidRPr="00F11281">
        <w:t>solidarity</w:t>
      </w:r>
      <w:r w:rsidRPr="00F11281">
        <w:t xml:space="preserve">: </w:t>
      </w:r>
      <w:r w:rsidRPr="00F11281">
        <w:t>empowering</w:t>
      </w:r>
      <w:r w:rsidRPr="00F11281">
        <w:t xml:space="preserve"> </w:t>
      </w:r>
      <w:r w:rsidRPr="00F11281">
        <w:t>the</w:t>
      </w:r>
      <w:r w:rsidRPr="00F11281">
        <w:t xml:space="preserve"> </w:t>
      </w:r>
      <w:r w:rsidRPr="00F11281">
        <w:t>Single</w:t>
      </w:r>
      <w:r w:rsidRPr="00F11281">
        <w:t xml:space="preserve"> </w:t>
      </w:r>
      <w:r w:rsidRPr="00F11281">
        <w:t>Market</w:t>
      </w:r>
      <w:r w:rsidRPr="00F11281">
        <w:t xml:space="preserve"> </w:t>
      </w:r>
      <w:r w:rsidRPr="00F11281">
        <w:t>to</w:t>
      </w:r>
      <w:r w:rsidRPr="00F11281">
        <w:t xml:space="preserve"> </w:t>
      </w:r>
      <w:r w:rsidRPr="00F11281">
        <w:t>deliver</w:t>
      </w:r>
      <w:r w:rsidRPr="00F11281">
        <w:t xml:space="preserve"> a </w:t>
      </w:r>
      <w:r w:rsidRPr="00F11281">
        <w:t>sustainable</w:t>
      </w:r>
      <w:r w:rsidRPr="00F11281">
        <w:t xml:space="preserve"> </w:t>
      </w:r>
      <w:r w:rsidRPr="00F11281">
        <w:t>future</w:t>
      </w:r>
      <w:r w:rsidRPr="00F11281">
        <w:t xml:space="preserve"> </w:t>
      </w:r>
      <w:r w:rsidRPr="00F11281">
        <w:t>and</w:t>
      </w:r>
      <w:r w:rsidRPr="00F11281">
        <w:t xml:space="preserve"> </w:t>
      </w:r>
      <w:r w:rsidRPr="00F11281">
        <w:t>prosperity</w:t>
      </w:r>
      <w:r w:rsidRPr="00F11281">
        <w:t xml:space="preserve"> </w:t>
      </w:r>
      <w:r w:rsidRPr="00F11281">
        <w:t>for</w:t>
      </w:r>
      <w:r w:rsidRPr="00F11281">
        <w:t xml:space="preserve"> </w:t>
      </w:r>
      <w:r w:rsidRPr="00F11281">
        <w:t>all</w:t>
      </w:r>
      <w:r w:rsidRPr="00F11281">
        <w:t xml:space="preserve"> EU </w:t>
      </w:r>
      <w:r w:rsidRPr="00F11281">
        <w:t>Citizens</w:t>
      </w:r>
      <w:r w:rsidRPr="00F11281">
        <w:t xml:space="preserve">” (Ħafna aktar minn suq – veloċità, sigurtà, solidarjetà: nagħtu s-setgħa lis-Suq Uniku biex iwassal futur sostenibbli u prosperità għaċ-Ċittadini kollha tal-UE” (ir-rapport </w:t>
      </w:r>
      <w:r w:rsidRPr="00F11281">
        <w:t>Letta</w:t>
      </w:r>
      <w:r w:rsidRPr="00F11281">
        <w:t>),</w:t>
      </w:r>
    </w:p>
    <w:p w:rsidR="00606BBA" w:rsidRPr="00F11281" w:rsidP="00606BBA" w14:paraId="0700F13F" w14:textId="77777777">
      <w:pPr>
        <w:pStyle w:val="NormalHanging"/>
      </w:pPr>
      <w:r w:rsidRPr="00F11281">
        <w:t>–</w:t>
      </w:r>
      <w:r w:rsidRPr="00F11281">
        <w:tab/>
        <w:t>wara li kkunsidra r-rapport tal-20 ta’ Frar 2024 tal-Grupp ta’ Livell Għoli tal-Kummissjoni dwar il-Futur tal-Politika ta’ Koeżjoni intitolat “</w:t>
      </w:r>
      <w:r w:rsidRPr="00F11281">
        <w:t>Forging</w:t>
      </w:r>
      <w:r w:rsidRPr="00F11281">
        <w:t xml:space="preserve"> a </w:t>
      </w:r>
      <w:r w:rsidRPr="00F11281">
        <w:t>sustainable</w:t>
      </w:r>
      <w:r w:rsidRPr="00F11281">
        <w:t xml:space="preserve"> </w:t>
      </w:r>
      <w:r w:rsidRPr="00F11281">
        <w:t>future</w:t>
      </w:r>
      <w:r w:rsidRPr="00F11281">
        <w:t xml:space="preserve"> </w:t>
      </w:r>
      <w:r w:rsidRPr="00F11281">
        <w:t>together</w:t>
      </w:r>
      <w:r w:rsidRPr="00F11281">
        <w:t xml:space="preserve"> – </w:t>
      </w:r>
      <w:r w:rsidRPr="00F11281">
        <w:t>cohesion</w:t>
      </w:r>
      <w:r w:rsidRPr="00F11281">
        <w:t xml:space="preserve"> </w:t>
      </w:r>
      <w:r w:rsidRPr="00F11281">
        <w:t>for</w:t>
      </w:r>
      <w:r w:rsidRPr="00F11281">
        <w:t xml:space="preserve"> a </w:t>
      </w:r>
      <w:r w:rsidRPr="00F11281">
        <w:t>competitive</w:t>
      </w:r>
      <w:r w:rsidRPr="00F11281">
        <w:t xml:space="preserve"> </w:t>
      </w:r>
      <w:r w:rsidRPr="00F11281">
        <w:t>and</w:t>
      </w:r>
      <w:r w:rsidRPr="00F11281">
        <w:t xml:space="preserve"> </w:t>
      </w:r>
      <w:r w:rsidRPr="00F11281">
        <w:t>inclusive</w:t>
      </w:r>
      <w:r w:rsidRPr="00F11281">
        <w:t xml:space="preserve"> </w:t>
      </w:r>
      <w:r w:rsidRPr="00F11281">
        <w:t>Europe</w:t>
      </w:r>
      <w:r w:rsidRPr="00F11281">
        <w:t xml:space="preserve"> (</w:t>
      </w:r>
      <w:r w:rsidRPr="00F11281">
        <w:t>Insawru</w:t>
      </w:r>
      <w:r w:rsidRPr="00F11281">
        <w:t xml:space="preserve"> futur sostenibbli flimkien – koeżjoni għal Ewropa kompetittiva u inklużiva)”,</w:t>
      </w:r>
    </w:p>
    <w:p w:rsidR="00606BBA" w:rsidRPr="00F11281" w:rsidP="00606BBA" w14:paraId="4A33C033" w14:textId="77777777">
      <w:pPr>
        <w:pStyle w:val="NormalHanging"/>
      </w:pPr>
      <w:r w:rsidRPr="00F11281">
        <w:t>–</w:t>
      </w:r>
      <w:r w:rsidRPr="00F11281">
        <w:tab/>
        <w:t>wara li kkunsidra l-komunikazzjoni tal-Kummissjoni tal-11 ta’ Frar 2025 bit-titolu “Il-perkors lejn il-qafas finanzjarju pluriennali li jmiss” (COM(2025)0046),</w:t>
      </w:r>
    </w:p>
    <w:p w:rsidR="00606BBA" w:rsidRPr="00F11281" w:rsidP="00606BBA" w14:paraId="3E6134DA" w14:textId="77777777">
      <w:pPr>
        <w:pStyle w:val="NormalHanging"/>
      </w:pPr>
      <w:r w:rsidRPr="00F11281">
        <w:t>–</w:t>
      </w:r>
      <w:r w:rsidRPr="00F11281">
        <w:tab/>
        <w:t>wara li kkunsidra l-komunikazzjoni tal-Kummissjoni tad-29 ta’ Jannar 2025 bit-titolu “Boxxla għall-Kompetittività tal-UE” (COM(2025)0030),</w:t>
      </w:r>
    </w:p>
    <w:p w:rsidR="00606BBA" w:rsidRPr="00F11281" w:rsidP="00606BBA" w14:paraId="32355E3F" w14:textId="77777777">
      <w:pPr>
        <w:pStyle w:val="NormalHanging"/>
      </w:pPr>
      <w:r w:rsidRPr="00F11281">
        <w:t>–</w:t>
      </w:r>
      <w:r w:rsidRPr="00F11281">
        <w:tab/>
        <w:t>wara li kkunsidra l-konklużjonijiet tal-Kunsill Ewropew tal-20 ta’ Marzu 2025, tas-6 ta’ Marzu 2025 u tad-19 ta’ Diċembru 2024,</w:t>
      </w:r>
    </w:p>
    <w:p w:rsidR="00606BBA" w:rsidRPr="00F11281" w:rsidP="00606BBA" w14:paraId="446D6290" w14:textId="77777777">
      <w:pPr>
        <w:pStyle w:val="NormalHanging"/>
      </w:pPr>
      <w:r w:rsidRPr="00F11281">
        <w:t>–</w:t>
      </w:r>
      <w:r w:rsidRPr="00F11281">
        <w:tab/>
        <w:t>wara li kkunsidra l-linji gwida politiċi għall-mandat 2024-2029 tal-Kummissjoni, ippreżentati mill-President elett tal-Kummissjoni fit-18 ta’ Lulju 2024,</w:t>
      </w:r>
    </w:p>
    <w:p w:rsidR="00606BBA" w:rsidRPr="00F11281" w:rsidP="00606BBA" w14:paraId="336B19B0" w14:textId="77777777">
      <w:pPr>
        <w:pStyle w:val="NormalHanging"/>
      </w:pPr>
      <w:r w:rsidRPr="00F11281">
        <w:t>–</w:t>
      </w:r>
      <w:r w:rsidRPr="00F11281">
        <w:tab/>
        <w:t>wara li kkunsidra l-opinjoni tal-Kumitat tar-Reġjuni tal-20 ta’ Novembru 2024 intitolat “Opinjoni tal-Kumitat Ewropew tar-Reġjuni: Il-baġit tal-UE u l-politiki bbażati fuq il-post: proposti għal mekkaniżmi ġodda ta’ tfassil u twettiq fil-QFP wara l-2027”</w:t>
      </w:r>
      <w:r>
        <w:rPr>
          <w:rStyle w:val="FootnoteReference"/>
        </w:rPr>
        <w:footnoteReference w:customMarkFollows="1" w:id="12"/>
        <w:t xml:space="preserve">11</w:t>
      </w:r>
      <w:r w:rsidRPr="00F11281">
        <w:t>,</w:t>
      </w:r>
    </w:p>
    <w:p w:rsidR="00606BBA" w:rsidRPr="00F11281" w:rsidP="00606BBA" w14:paraId="2EC53394" w14:textId="77777777">
      <w:pPr>
        <w:pStyle w:val="NormalHanging"/>
      </w:pPr>
      <w:r w:rsidRPr="00F11281">
        <w:t>–</w:t>
      </w:r>
      <w:r w:rsidRPr="00F11281">
        <w:tab/>
        <w:t>wara li kkunsidra l-proposta tal-Kummissjoni tas-16 ta’ Lulju 2025 għal regolament tal-Parlament Ewropew u tal-Kunsill li jistabbilixxi qafas ta’ traċċar u ta’ prestazzjoni tan-nefqa baġitarja u regoli orizzontali oħra għall-programmi u għall-attivitajiet tal-Unjoni (COM(2025)0545),</w:t>
      </w:r>
    </w:p>
    <w:p w:rsidR="00606BBA" w:rsidRPr="00F11281" w:rsidP="00606BBA" w14:paraId="5E5888E9" w14:textId="77777777">
      <w:pPr>
        <w:pStyle w:val="NormalHanging"/>
      </w:pPr>
      <w:r w:rsidRPr="00F11281">
        <w:t>–</w:t>
      </w:r>
      <w:r w:rsidRPr="00F11281">
        <w:tab/>
        <w:t>wara li kkunsidra r-riżoluzzjoni tiegħu tat-18 ta’ Ġunju 2025 dwar l-implimentazzjoni tal-Faċilità għall-Irkupru u r-Reżiljenza</w:t>
      </w:r>
      <w:r>
        <w:rPr>
          <w:rStyle w:val="FootnoteReference"/>
        </w:rPr>
        <w:footnoteReference w:customMarkFollows="1" w:id="13"/>
        <w:t xml:space="preserve">12</w:t>
      </w:r>
      <w:r w:rsidRPr="00F11281">
        <w:t>,</w:t>
      </w:r>
    </w:p>
    <w:p w:rsidR="00606BBA" w:rsidRPr="00F11281" w:rsidP="00606BBA" w14:paraId="05892BD0" w14:textId="77777777">
      <w:pPr>
        <w:pStyle w:val="NormalHanging"/>
      </w:pPr>
      <w:r w:rsidRPr="00F11281">
        <w:t>–</w:t>
      </w:r>
      <w:r w:rsidRPr="00F11281">
        <w:tab/>
        <w:t>wara li kkunsidra r-rapport tal-Kumitat għall-Kontroll tal-Baġit (A10-0074/2025),</w:t>
      </w:r>
    </w:p>
    <w:p w:rsidR="00606BBA" w:rsidRPr="00F11281" w:rsidP="00606BBA" w14:paraId="7A6283E1" w14:textId="77777777">
      <w:pPr>
        <w:pStyle w:val="NormalHanging"/>
      </w:pPr>
      <w:r w:rsidRPr="00F11281">
        <w:t>–</w:t>
      </w:r>
      <w:r w:rsidRPr="00F11281">
        <w:tab/>
        <w:t>wara li kkunsidra l-Artikolu 55 u l-Artikolu 148(2) tar-Regoli ta’ Proċedura tiegħu,</w:t>
      </w:r>
    </w:p>
    <w:p w:rsidR="00606BBA" w:rsidRPr="00F11281" w:rsidP="00606BBA" w14:paraId="306A4D38" w14:textId="77777777">
      <w:pPr>
        <w:pStyle w:val="NormalHanging"/>
      </w:pPr>
      <w:r w:rsidRPr="00F11281">
        <w:t>–</w:t>
      </w:r>
      <w:r w:rsidRPr="00F11281">
        <w:tab/>
        <w:t>wara li kkunsidra r-rapport tal-Kumitat għall-Kontroll tal-Baġit (A10-0022/2026),</w:t>
      </w:r>
    </w:p>
    <w:p w:rsidR="00606BBA" w:rsidRPr="00F11281" w:rsidP="00606BBA" w14:paraId="79212832" w14:textId="77777777">
      <w:pPr>
        <w:pStyle w:val="NormalHanging12a"/>
      </w:pPr>
      <w:r w:rsidRPr="00F11281">
        <w:t>A.</w:t>
      </w:r>
      <w:r w:rsidRPr="00F11281">
        <w:tab/>
        <w:t xml:space="preserve">billi l-għadd dejjem jikber ta’ prijoritajiet politiċi fl-UE qed ipoġġi pressjoni addizzjonali fuq il-baġit tal-UE, u b’hekk l-użu responsabbli tar-riżorsi finanzjarji disponibbli qed isir aktar kritiku minn qatt qabel; billi ġestjoni finanzjarja tajba, kif definita fir-Regolament Finanzjarju, tirrikjedi li l-fondi tal-UE jiġu implimentati f’konformità mal-prinċipji tal-ekonomija, l-effiċjenza u l-effettività biex jiġi żgurat li r-riżorsi jintużaw b’mod </w:t>
      </w:r>
      <w:r w:rsidRPr="00F11281">
        <w:t>kosteffettiv</w:t>
      </w:r>
      <w:r w:rsidRPr="00F11281">
        <w:t xml:space="preserve">, li l-objettivi jintlaħqu fi żmien xieraq, bil-kwantità xierqa u bl-aħjar prezz, u li jinkisbu r-riżultati u l-impatti maħsuba; billi dan isaħħaħ l-imperattiv ta’ viġilanza fil-ġestjoni finanzjarja biex jiġi ggarantit li n-nefqa trendi </w:t>
      </w:r>
      <w:r w:rsidRPr="00F11281">
        <w:t>redditu</w:t>
      </w:r>
      <w:r w:rsidRPr="00F11281">
        <w:t xml:space="preserve"> </w:t>
      </w:r>
      <w:r w:rsidRPr="00F11281">
        <w:t>dimostrabbli</w:t>
      </w:r>
      <w:r w:rsidRPr="00F11281">
        <w:t xml:space="preserve"> fuq l-investiment f’termini ta’ tkabbir ekonomiku, kompetittività, u l-kisba tal-prijoritajiet tal-UE;</w:t>
      </w:r>
    </w:p>
    <w:p w:rsidR="00606BBA" w:rsidRPr="00F11281" w:rsidP="00606BBA" w14:paraId="080FF19D" w14:textId="77777777">
      <w:pPr>
        <w:pStyle w:val="NormalHanging"/>
      </w:pPr>
      <w:r w:rsidRPr="00F11281">
        <w:t>B.</w:t>
      </w:r>
      <w:r w:rsidRPr="00F11281">
        <w:tab/>
        <w:t>billi, jekk il-finanzjament tal-UE jkun fil-forma ta’ appoġġ mhux marbut mar-</w:t>
      </w:r>
      <w:r w:rsidRPr="00F11281">
        <w:t>rimborż</w:t>
      </w:r>
      <w:r w:rsidRPr="00F11281">
        <w:t xml:space="preserve"> tal-kostijiet eliġibbli iżda mar-riżultati, mal-</w:t>
      </w:r>
      <w:r w:rsidRPr="00F11281">
        <w:t>outputs</w:t>
      </w:r>
      <w:r w:rsidRPr="00F11281">
        <w:t xml:space="preserve"> jew ma’ indikaturi oħra tal-prestazzjoni, il-pagamenti jiddependu fuq il-kisba ta’ miri jew stadji importanti jew miri, li jridu jiġu vverifikati qabel ma jsir kwalunkwe </w:t>
      </w:r>
      <w:r w:rsidRPr="00F11281">
        <w:t>żborż</w:t>
      </w:r>
      <w:r w:rsidRPr="00F11281">
        <w:t>;</w:t>
      </w:r>
    </w:p>
    <w:p w:rsidR="00606BBA" w:rsidRPr="00F11281" w:rsidP="00606BBA" w14:paraId="66B4D9CB" w14:textId="77777777">
      <w:pPr>
        <w:pStyle w:val="NormalHanging"/>
      </w:pPr>
      <w:r w:rsidRPr="00F11281">
        <w:t>C.</w:t>
      </w:r>
      <w:r w:rsidRPr="00F11281">
        <w:tab/>
        <w:t xml:space="preserve">billi dan l-approċċ, billi </w:t>
      </w:r>
      <w:r w:rsidRPr="00F11281">
        <w:t>jiddiżakkoppja</w:t>
      </w:r>
      <w:r w:rsidRPr="00F11281">
        <w:t xml:space="preserve"> l-</w:t>
      </w:r>
      <w:r w:rsidRPr="00F11281">
        <w:t>iżborżi</w:t>
      </w:r>
      <w:r w:rsidRPr="00F11281">
        <w:t xml:space="preserve"> minn man-nefqa reali, idgħajjef l-aċċess għad-data dwar il-kostijiet reali, u għaldaqstant ixekkel il-valutazzjonijiet tal-ekonomija, l-effiċjenza u l-effettività; jenfasizza li din id-diskrepanza fid-data tipprevjeni l-identifikazzjoni sistematika tal-irregolaritajiet, ir-riskji ta’ frodi u l-finanzjament doppju, filwaqt li ddgħajjef ukoll il-kapaċità tal-UE li timplimenta mekkaniżmi ta’ twissija bikrija u valutazzjonijiet tar-riskju mmexxija mid-data;</w:t>
      </w:r>
    </w:p>
    <w:p w:rsidR="00606BBA" w:rsidRPr="00F11281" w:rsidP="00606BBA" w14:paraId="43141EB5" w14:textId="77777777">
      <w:pPr>
        <w:pStyle w:val="NormalHanging"/>
      </w:pPr>
      <w:r w:rsidRPr="00F11281">
        <w:t>D.</w:t>
      </w:r>
      <w:r w:rsidRPr="00F11281">
        <w:tab/>
        <w:t xml:space="preserve">billi l-assenza ta’ verifika tan-nefqa żżid ir-riskju ta’ nuqqas ta’ preċiżjoni tal-estimi tal-kostijiet, u b’hekk tikkomprometti l-ġestjoni finanzjarja tajba, it-trasparenza u l-obbligu ta’ rendikont; billi l-QEA wissiet ripetutament dwar nuqqasijiet fil-valutazzjonijiet tal-kostijiet, </w:t>
      </w:r>
      <w:r w:rsidRPr="00F11281">
        <w:t>varjabbiltà</w:t>
      </w:r>
      <w:r w:rsidRPr="00F11281">
        <w:t xml:space="preserve"> fl-istandards nazzjonali tal-awditjar, u dgħufijiet fil-kapaċità ta’ sorveljanza tal-Kummissjoni;</w:t>
      </w:r>
    </w:p>
    <w:p w:rsidR="00606BBA" w:rsidRPr="00F11281" w:rsidP="00606BBA" w14:paraId="75EAD70C" w14:textId="77777777">
      <w:pPr>
        <w:pStyle w:val="NormalHanging"/>
      </w:pPr>
      <w:r w:rsidRPr="00F11281">
        <w:t>E.</w:t>
      </w:r>
      <w:r w:rsidRPr="00F11281">
        <w:tab/>
        <w:t xml:space="preserve">billi diskrezzjoni wiesgħa fil-valutazzjoni ta’ jekk l-istadji importanti u l-miri ntlaħqux tista’ twassal għal trattament inkonsistenti tal-Istati Membri mill-Kummissjoni, jew </w:t>
      </w:r>
      <w:r w:rsidRPr="00F11281">
        <w:t xml:space="preserve">għar-rilaxx </w:t>
      </w:r>
      <w:r w:rsidRPr="00F11281">
        <w:t>prematur</w:t>
      </w:r>
      <w:r w:rsidRPr="00F11281">
        <w:t xml:space="preserve"> tal-fondi qabel ma jiġu ssodisfati għalkollox il-kundizzjonijiet għall-</w:t>
      </w:r>
      <w:r w:rsidRPr="00F11281">
        <w:t>iżborż</w:t>
      </w:r>
      <w:r w:rsidRPr="00F11281">
        <w:t>;</w:t>
      </w:r>
    </w:p>
    <w:p w:rsidR="00606BBA" w:rsidRPr="00F11281" w:rsidP="00606BBA" w14:paraId="4D48EAA2" w14:textId="77777777">
      <w:pPr>
        <w:pStyle w:val="NormalHanging"/>
      </w:pPr>
      <w:r w:rsidRPr="00F11281">
        <w:t>F.</w:t>
      </w:r>
      <w:r w:rsidRPr="00F11281">
        <w:tab/>
        <w:t xml:space="preserve">billi l-QEA identifikat dgħufijiet </w:t>
      </w:r>
      <w:r w:rsidRPr="00F11281">
        <w:t>fid-diżinn</w:t>
      </w:r>
      <w:r w:rsidRPr="00F11281">
        <w:t xml:space="preserve"> tas-sistema ta’ kontroll tal-Faċilità għall-Irkupru u r-Reżiljenza, inkluż dipendenza żejda fuq il-korpi nazzjonali, </w:t>
      </w:r>
      <w:r w:rsidRPr="00F11281">
        <w:t>rendikonti</w:t>
      </w:r>
      <w:r w:rsidRPr="00F11281">
        <w:t xml:space="preserve"> tal-</w:t>
      </w:r>
      <w:r w:rsidRPr="00F11281">
        <w:t>entrati</w:t>
      </w:r>
      <w:r w:rsidRPr="00F11281">
        <w:t xml:space="preserve"> mhux kompluti, fallimenti </w:t>
      </w:r>
      <w:r w:rsidRPr="00F11281">
        <w:t>sistemiċi</w:t>
      </w:r>
      <w:r w:rsidRPr="00F11281">
        <w:t xml:space="preserve"> u riskji ta’ applikazzjoni inkonsistenti bejn l-Istati Membri; jinnota li dawn id-dgħufijiet huma aggravati aktar mill-frammentazzjoni u l-inkompatibbiltà tas-sistemi nazzjonali tad-data, li jfixklu l-interoperabbiltà, l-identifikazzjoni f’waqtha tar-riskju u l-protezzjoni effettiva tad-data personali fl-operazzjonijiet ta’ awditjar u kontroll;</w:t>
      </w:r>
    </w:p>
    <w:p w:rsidR="00606BBA" w:rsidRPr="00F11281" w:rsidP="00606BBA" w14:paraId="015E2BB0" w14:textId="77777777">
      <w:pPr>
        <w:pStyle w:val="NormalHanging"/>
      </w:pPr>
      <w:r w:rsidRPr="00F11281">
        <w:t>G.</w:t>
      </w:r>
      <w:r w:rsidRPr="00F11281">
        <w:tab/>
        <w:t xml:space="preserve">billi l-kontroll tal-istrumenti bbażati fuq il-prestazzjoni jiddependi fuq il-kredibbiltà tal-mekkaniżmi nazzjonali ta’ monitoraġġ; billi n-nuqqasijiet fl-istat tad-dritt </w:t>
      </w:r>
      <w:r w:rsidRPr="00F11281">
        <w:t>jamplifikaw</w:t>
      </w:r>
      <w:r w:rsidRPr="00F11281">
        <w:t xml:space="preserve"> ir-riskju għall-interessi finanzjarji tal-UE, peress li l-protezzjoni tagħhom hija kontinġenti fuq ġudikatura indipendenti u korpi awtonomi kontra l-frodi;</w:t>
      </w:r>
    </w:p>
    <w:p w:rsidR="00606BBA" w:rsidRPr="00F11281" w:rsidP="00606BBA" w14:paraId="14BEA275" w14:textId="77777777">
      <w:pPr>
        <w:pStyle w:val="NormalHanging"/>
      </w:pPr>
      <w:r w:rsidRPr="00F11281">
        <w:t>H.</w:t>
      </w:r>
      <w:r w:rsidRPr="00F11281">
        <w:tab/>
        <w:t xml:space="preserve">billi r-responsabbiltà demokratika tirrikjedi li r-rwol tal-Parlament bħala </w:t>
      </w:r>
      <w:r w:rsidRPr="00F11281">
        <w:t>leġiżlatur</w:t>
      </w:r>
      <w:r w:rsidRPr="00F11281">
        <w:t xml:space="preserve"> u awtorità baġitarja u tal-kwittanza jiġi ssalvagwardjat, b’mekkaniżmi ta’ responsabbiltà stretti u trasparenza sħiħa fir-rigward tar-riċevituri finali tal-fondi tal-Unjoni, u billi l-Istati Membri u awtoritajiet nazzjonali oħra ma għandhomx jitqiesu bħala riċevituri finali tal-finanzjament tal-Unjoni;</w:t>
      </w:r>
    </w:p>
    <w:p w:rsidR="00606BBA" w:rsidRPr="00F11281" w:rsidP="00606BBA" w14:paraId="706B19B9" w14:textId="77777777">
      <w:pPr>
        <w:pStyle w:val="Normal12a"/>
      </w:pPr>
      <w:r w:rsidRPr="00F11281">
        <w:rPr>
          <w:b/>
          <w:i/>
        </w:rPr>
        <w:t>Sfidi li jolqtu t-trasparenza, l-obbligu ta’ rendikont u l-kontroll effettiv tal-istrumenti bbażati fuq il-prestazzjoni</w:t>
      </w:r>
    </w:p>
    <w:p w:rsidR="00606BBA" w:rsidRPr="00F11281" w:rsidP="00606BBA" w14:paraId="57C6D4E4" w14:textId="77777777">
      <w:pPr>
        <w:pStyle w:val="NormalHanging12a"/>
      </w:pPr>
      <w:r w:rsidRPr="00F11281">
        <w:t>1.</w:t>
      </w:r>
      <w:r w:rsidRPr="00F11281">
        <w:tab/>
        <w:t>Jenfasizza li, kif provdut fir-Regolament Finanzjarju, li l-istrumenti bbażati fuq il-prestazzjoni jridu jirrispettaw il-prinċipji tal-</w:t>
      </w:r>
      <w:r w:rsidRPr="00F11281">
        <w:t>legalità</w:t>
      </w:r>
      <w:r w:rsidRPr="00F11281">
        <w:t xml:space="preserve">, ir-regolarità, l-ekonomija, l-effiċjenza u l-effettività, u li s-simplifikazzjoni qatt ma għandha ssir għad-detriment ta’ ġestjoni finanzjarja tajba u t-trasparenza; jappella għal kontrolli bbażati fuq ir-riskju u proporzjonati, u jinsisti li l-indikaturi għall-istrumenti bbażati fuq il-prestazzjoni għandhom jaqbdu riżultati tanġibbli u l-valur miżjud tal-UE aktar milli sempliċiment </w:t>
      </w:r>
      <w:r w:rsidRPr="00F11281">
        <w:t>outputs</w:t>
      </w:r>
      <w:r w:rsidRPr="00F11281">
        <w:t xml:space="preserve"> </w:t>
      </w:r>
      <w:r w:rsidRPr="00F11281">
        <w:t>predefiniti</w:t>
      </w:r>
      <w:r w:rsidRPr="00F11281">
        <w:t>; jisħaq li, meta jitfasslu kif xieraq, tali strumenti jistgħu jtejbu l-enfasi fuq ir-riżultati, ir-riformi u l-kompetittività;</w:t>
      </w:r>
    </w:p>
    <w:p w:rsidR="00606BBA" w:rsidRPr="00F11281" w:rsidP="00606BBA" w14:paraId="01E208AC" w14:textId="77777777">
      <w:pPr>
        <w:pStyle w:val="NormalHanging12a"/>
      </w:pPr>
      <w:r w:rsidRPr="00F11281">
        <w:t>2.</w:t>
      </w:r>
      <w:r w:rsidRPr="00F11281">
        <w:tab/>
        <w:t>Jinnota li l-Faċilità għall-Irkupru u r-Reżiljenza, bl-enfasi tagħha fuq l-</w:t>
      </w:r>
      <w:r w:rsidRPr="00F11281">
        <w:t>iżborż</w:t>
      </w:r>
      <w:r w:rsidRPr="00F11281">
        <w:t xml:space="preserve"> abbażi tat-twettiq sodisfaċenti tal-miri u tal-istadji importanti, hija l-ewwel strument ewlieni bbażat fuq il-prestazzjoni fil-livell tal-UE li huwa msejjes esklużivament fuq il-finanzjament mhux marbut mal-kostijiet; jinnota wkoll li l-mudell tal-Faċilità għall-Irkupru u r-Reżiljenza ġie </w:t>
      </w:r>
      <w:r w:rsidRPr="00F11281">
        <w:t>replikat</w:t>
      </w:r>
      <w:r w:rsidRPr="00F11281">
        <w:t xml:space="preserve"> fi strumenti finanzjarji oħra bħall-Faċilità għall-Ukrajna u l-Faċilità għall-</w:t>
      </w:r>
      <w:r w:rsidRPr="00F11281">
        <w:t>Balkani</w:t>
      </w:r>
      <w:r w:rsidRPr="00F11281">
        <w:t xml:space="preserve"> tal-Punent; jinsab imħasseb dar il-proposti tal-Kummissjoni biex fil-qafas finanzjarju pluriennali li jmiss jintuża mudell simili għall-biċċa l-kbira tal-programmi ta’ finanzjament tal-UE, inkluż għall-</w:t>
      </w:r>
      <w:r w:rsidRPr="00F11281">
        <w:t>Intestatura</w:t>
      </w:r>
      <w:r w:rsidRPr="00F11281">
        <w:t xml:space="preserve"> 1; jinnota li l-Faċilità għall-Irkupru u r-Reżiljenza, sa ċertu punt, </w:t>
      </w:r>
      <w:r w:rsidRPr="00F11281">
        <w:t>inċentivat</w:t>
      </w:r>
      <w:r w:rsidRPr="00F11281">
        <w:t xml:space="preserve"> xi investimenti u riformi nazzjonali;</w:t>
      </w:r>
    </w:p>
    <w:p w:rsidR="00606BBA" w:rsidRPr="00F11281" w:rsidP="00606BBA" w14:paraId="577359CB" w14:textId="77777777">
      <w:pPr>
        <w:pStyle w:val="NormalHanging12a"/>
      </w:pPr>
      <w:r w:rsidRPr="00F11281">
        <w:t>3.</w:t>
      </w:r>
      <w:r w:rsidRPr="00F11281">
        <w:tab/>
        <w:t xml:space="preserve">Jisħaq fuq l-importanza li </w:t>
      </w:r>
      <w:r w:rsidRPr="00F11281">
        <w:t>jinsiltu</w:t>
      </w:r>
      <w:r w:rsidRPr="00F11281">
        <w:t xml:space="preserve"> </w:t>
      </w:r>
      <w:r w:rsidRPr="00F11281">
        <w:t>tagħlimiet</w:t>
      </w:r>
      <w:r w:rsidRPr="00F11281">
        <w:t xml:space="preserve"> mid-dgħufijiet kritiċi żvelati mill-mudell ta’ implimentazzjoni ċentralizzat u bbażat fuq il-prestazzjoni tal-Faċilità għall-Irkupru u r-Reżiljenza, kif rikonoxxut mill-QEA u mill-Kummissjoni, inkluż obbligu ta’ rendikont imnaqqas u sorveljanza limitata fil-livell tal-UE tal-konformità mar-regoli u r-regolamenti; jissottolinja li t-trasparenza fir-rigward tar-riċevituri finali trid tiġi żgurata permezz ta’ sistema ta’ rapportar uniformi u interoperabbli fl-UE kollha aċċessibbli </w:t>
      </w:r>
      <w:r w:rsidRPr="00F11281">
        <w:t xml:space="preserve">għall-Kummissjoni, il-QEA, l-UPPE u l-Parlament; jenfasizza li l-valur miżjud tal-UE jista’ jiġi msaħħaħ permezz ta’ żieda fl-għadd ta’ proġetti transfruntiera u permezz tal-iżgurar ta’ setgħat ta’ teħid ta’ deċiżjonijiet adegwati għall-entitajiet </w:t>
      </w:r>
      <w:r w:rsidRPr="00F11281">
        <w:t>sottonazzjonali</w:t>
      </w:r>
      <w:r w:rsidRPr="00F11281">
        <w:t>, b’mod partikolari l-awtoritajiet lokali u reġjonali, fit-tfassil u l-implimentazzjoni tal-faċilità;</w:t>
      </w:r>
    </w:p>
    <w:p w:rsidR="00606BBA" w:rsidRPr="00F11281" w:rsidP="00606BBA" w14:paraId="7F489A22" w14:textId="77777777">
      <w:pPr>
        <w:pStyle w:val="NormalHanging12a"/>
      </w:pPr>
      <w:r w:rsidRPr="00F11281">
        <w:t>4.</w:t>
      </w:r>
      <w:r w:rsidRPr="00F11281">
        <w:tab/>
        <w:t>Iqis li, għalkemm il-Faċilità għall-Irkupru u r-Reżiljenza hija maħsuba biex tkun strument ibbażat fuq il-prestazzjoni, l-implimentazzjoni tagħha sikwit tagħti prijorità lill-</w:t>
      </w:r>
      <w:r w:rsidRPr="00F11281">
        <w:t>outputs</w:t>
      </w:r>
      <w:r w:rsidRPr="00F11281">
        <w:t>, aktar milli lir-riżultati; jesprimi d-dispjaċir tiegħu li l-miri u l-istadji importanti definiti b’mod vag, li primarjament jenfasizzaw l-inputs u l-</w:t>
      </w:r>
      <w:r w:rsidRPr="00F11281">
        <w:t>outputs</w:t>
      </w:r>
      <w:r w:rsidRPr="00F11281">
        <w:t xml:space="preserve"> aktar milli r-riżultati, jissograw li jikkompromettu l-ilħuq tal-objettivi tal-Faċilità għall-Irkupru u r-Reżiljenza; jemmen li l-istrumenti bbażati fuq il-prestazzjoni fil-futur għandhom jistabbilixxu indikaturi ewlenin tal-prestazzjoni aktar speċifiċi, u jiżguraw li l-investimenti </w:t>
      </w:r>
      <w:r w:rsidRPr="00F11281">
        <w:t>jallinjaw</w:t>
      </w:r>
      <w:r w:rsidRPr="00F11281">
        <w:t xml:space="preserve"> mal-objettivi tal-istrument u jagħmlu impatt pożittiv u joffru valur miżjud ċar għall-UE; jistieden lill-Kummissjoni tiżgura li l-istrumenti bbażati fuq il-prestazzjoni futuri jiġu armonizzati fl-Istati Membri kollha, ikunu trasparenti fit-tfassil tagħhom u stabbli maż-żmien biex jitrawmu l-konsistenza, l-obbligu ta’ rendikont u l-effettività fit-tul;</w:t>
      </w:r>
    </w:p>
    <w:p w:rsidR="00606BBA" w:rsidRPr="00F11281" w:rsidP="00606BBA" w14:paraId="1F4E15F2" w14:textId="77777777">
      <w:pPr>
        <w:pStyle w:val="NormalHanging12a"/>
      </w:pPr>
      <w:r w:rsidRPr="00F11281">
        <w:t>5.</w:t>
      </w:r>
      <w:r w:rsidRPr="00F11281">
        <w:tab/>
        <w:t xml:space="preserve">Jenfasizza li d-dipendenza fuq estimi tal-kostijiet ex </w:t>
      </w:r>
      <w:r w:rsidRPr="00F11281">
        <w:t>ante</w:t>
      </w:r>
      <w:r w:rsidRPr="00F11281">
        <w:t xml:space="preserve"> mingħajr verifika tan-nefqa reali tissogra li toħloq </w:t>
      </w:r>
      <w:r w:rsidRPr="00F11281">
        <w:t>lakuna</w:t>
      </w:r>
      <w:r w:rsidRPr="00F11281">
        <w:t xml:space="preserve"> strutturali fl-obbligu ta’ rendikont, tillimita l-possibbiltà li jiġi vvalutat il-valur għall-flus u b’hekk tissogra li ddgħajjef il-prinċipji tal-ekonomija u l-effiċjenza; jissottolinja l-ħtieġa li jiġu implimentati mekkaniżmi ta’ verifika bbażati fuq ir-riskju u l-</w:t>
      </w:r>
      <w:r w:rsidRPr="00F11281">
        <w:t>materjalità</w:t>
      </w:r>
      <w:r w:rsidRPr="00F11281">
        <w:t>, b’limiti definiti b’mod ċar għall-kontrolli obbligatorji; jistieden lill-Kummissjoni biex fi strumenti bbażati fuq il-prestazzjoni futuri tintegra b’mod sistematiku l-estrazzjoni tad-data, l-għodod ta’ kontroverifika, u l-</w:t>
      </w:r>
      <w:r w:rsidRPr="00F11281">
        <w:t>analitika</w:t>
      </w:r>
      <w:r w:rsidRPr="00F11281">
        <w:t xml:space="preserve"> biex tidentifika l-irregolaritajiet u r-riskji ta’ korruzzjoni u kunflitti ta’ interess;</w:t>
      </w:r>
    </w:p>
    <w:p w:rsidR="00606BBA" w:rsidRPr="00F11281" w:rsidP="00606BBA" w14:paraId="11ACA7AE" w14:textId="77777777">
      <w:pPr>
        <w:pStyle w:val="NormalHanging12a"/>
      </w:pPr>
      <w:r w:rsidRPr="00F11281">
        <w:t>6.</w:t>
      </w:r>
      <w:r w:rsidRPr="00F11281">
        <w:tab/>
        <w:t xml:space="preserve">Jinsab imħasseb ħafna dwar il-proposti tal-Kummissjoni biex isir użu </w:t>
      </w:r>
      <w:r w:rsidRPr="00F11281">
        <w:t>ġeneralizzat</w:t>
      </w:r>
      <w:r w:rsidRPr="00F11281">
        <w:t xml:space="preserve"> tal-finanzjament mhux marbut mal-kostijiet fil-qafas finanzjarju pluriennali li jmiss, u jissottolinja l-importanza li jiġu stabbiliti salvagwardji adegwati biex tiġi żgurata ġestjoni finanzjarja tajba fl-implimentazzjoni tal-finanzjament tal-Unjoni; jenfasizza l-ħtieġa li tiġi vvalutata bir-reqqa bidla sinifikanti bħal din lejn l-użu tal-finanzjament mhux marbut mal-kostijiet meta jitqiesu n-nuqqasijiet identifikati fi strumenti preċedenti jew eżistenti bbażati fuq il-prestazzjoni, u jisħaq fuq il-ħtieġa li titwettaq evalwazzjoni komprensiva tal-Faċilità għall-Irkupru u r-Reżiljenza;</w:t>
      </w:r>
    </w:p>
    <w:p w:rsidR="00606BBA" w:rsidRPr="00F11281" w:rsidP="00606BBA" w14:paraId="27A96B9F" w14:textId="77777777">
      <w:pPr>
        <w:pStyle w:val="NormalHanging12a"/>
      </w:pPr>
      <w:r w:rsidRPr="00F11281">
        <w:t>7.</w:t>
      </w:r>
      <w:r w:rsidRPr="00F11281">
        <w:tab/>
        <w:t xml:space="preserve">Jesprimi tħassib dwar il-fatt li l-piż tad-dejn u l-kostijiet tas-self tal-UE qed jiżdiedu; jinnota li r-Rapport Annwali tal-QEA għall-2024 jistma li s-self pendenti tal-UE jista’ jaqbeż EUR 900 biljun sal-2027, kważi għaxar darbiet il-livell tal-2020 qabel l-introduzzjoni tal-pakkett ta’ rkupru </w:t>
      </w:r>
      <w:r w:rsidRPr="00F11281">
        <w:t>Next</w:t>
      </w:r>
      <w:r w:rsidRPr="00F11281">
        <w:t xml:space="preserve"> </w:t>
      </w:r>
      <w:r w:rsidRPr="00F11281">
        <w:t>Generation</w:t>
      </w:r>
      <w:r w:rsidRPr="00F11281">
        <w:t xml:space="preserve"> EU (NGEU); iwissi li ż-żieda fil-kostijiet tas-self toħloq riskju għall-baġits futuri u tillimita l-ispazju fiskali għal prijoritajiet ġodda;</w:t>
      </w:r>
    </w:p>
    <w:p w:rsidR="00606BBA" w:rsidRPr="00F11281" w:rsidP="00606BBA" w14:paraId="29926916" w14:textId="77777777">
      <w:pPr>
        <w:pStyle w:val="NormalHanging12a"/>
      </w:pPr>
      <w:r w:rsidRPr="00F11281">
        <w:t>8.</w:t>
      </w:r>
      <w:r w:rsidRPr="00F11281">
        <w:tab/>
        <w:t xml:space="preserve">Jafferma li l-użu </w:t>
      </w:r>
      <w:r w:rsidRPr="00F11281">
        <w:t>ġeneralizzat</w:t>
      </w:r>
      <w:r w:rsidRPr="00F11281">
        <w:t xml:space="preserve"> tal-finanzjament mhux marbut mal-kostijiet, filwaqt li potenzjalment inaqqas il-piż amministrattiv, iżid ir-riskju ta’ irregolaritajiet, finanzjament doppju u frodi, u b’hekk inaqqas it-trasparenza u t-traċċabbiltà tal-fondi tal-UE; jenfasizza li nuqqas ta’ rabta mal-kostijiet jista’ jwassal għall-finanzjament ta’ proġetti mhux vijabbli mfassla biex jilħqu l-istadji importanti, aktar milli l-valur għall-flus; jenfasizza r-rwol ta’ skrutinju tal-Parlament fis-sorveljanza tal-implimentazzjoni tal-baġit tal-UE, b’mod partikolari l-awtorità tiegħu li jagħti l-kwittanza; jappella għal </w:t>
      </w:r>
      <w:r w:rsidRPr="00F11281">
        <w:t>governanza robusta fil-qafas finanzjarju pluriennali li jmiss, imfassla biex tiżgura li l-Parlament ikun jista’ jeżerċita għalkollox ir-rwol tiegħu bħala l-awtorità ta’ kwittanza;</w:t>
      </w:r>
    </w:p>
    <w:p w:rsidR="00606BBA" w:rsidRPr="00F11281" w:rsidP="00606BBA" w14:paraId="70D63EEA" w14:textId="77777777">
      <w:pPr>
        <w:pStyle w:val="NormalHanging12a"/>
      </w:pPr>
      <w:r w:rsidRPr="00F11281">
        <w:t>9.</w:t>
      </w:r>
      <w:r w:rsidRPr="00F11281">
        <w:tab/>
        <w:t xml:space="preserve">Jieħu nota tal-aspetti relatati mal-istat tad-dritt fil-proposta tal-Kummissjoni għall-qafas finanzjarju pluriennali għas-snin 2028-2034, u jappella għal qafas </w:t>
      </w:r>
      <w:r w:rsidRPr="00F11281">
        <w:t>unifikat</w:t>
      </w:r>
      <w:r w:rsidRPr="00F11281">
        <w:t>, koerenti u komprensiv fil-programmi kollha ta’ finanzjament tal-UE fl-ambitu tar-Regolament dwar il-Kundizzjonalità tal-Istat tad-Dritt; jappella, barra minn hekk, li kwalunkwe applikazzjoni ta’ finanzjament mhux marbut mal-kostijiet tkun kompletament kompatibbli mar-regolament;</w:t>
      </w:r>
    </w:p>
    <w:p w:rsidR="00606BBA" w:rsidRPr="00F11281" w:rsidP="00606BBA" w14:paraId="6638939D" w14:textId="77777777">
      <w:pPr>
        <w:pStyle w:val="NormalHanging12a"/>
      </w:pPr>
      <w:r w:rsidRPr="00F11281">
        <w:t>10.</w:t>
      </w:r>
      <w:r w:rsidRPr="00F11281">
        <w:tab/>
        <w:t xml:space="preserve">Jinnota bi tħassib li fi tmiem l-2024, l-Uffiċċju tal-Prosekutur Pubbliku Ewropew kien qed jittratta 311-il każ attiv marbuta ma’ </w:t>
      </w:r>
      <w:r w:rsidRPr="00F11281">
        <w:t>Next</w:t>
      </w:r>
      <w:r w:rsidRPr="00F11281">
        <w:t xml:space="preserve"> </w:t>
      </w:r>
      <w:r w:rsidRPr="00F11281">
        <w:t>Generation</w:t>
      </w:r>
      <w:r w:rsidRPr="00F11281">
        <w:t xml:space="preserve"> EU, li ħlief erbgħa minnhom, kollha kellhom x’jaqsmu mal-Faċilità għall-Irkupru u r-Reżiljenza, u jirrappreżentaw madwar 17 % tal-investigazzjonijiet attivi kollha ta’ frodi tan-nefqa u żieda ta’ madwar 51 % fil-każijiet relatati ma’ NGEU meta mqabbla mal-2023; jinnota, barra minn hekk, li l-ħsara stmata lill-interessi finanzjarji tal-UE tammonta għal EUR 2,8 biljuni, jiġifieri 30 % (meta mqabbla ma’ 25 % fl-2023) tal-ħsara totali stmata li tirriżulta mill-frodi tan-nefqa kollha tal-UE; jenfasizza li r-rappurtar ta’ każijiet mill-istituzzjonijiet tal-UE għadu baxx, u b’hekk iqajjem aktar tħassib dwar il-kapaċità tal-Kummissjoni li tissorvelja l-implimentazzjoni tal-Faċilità għall-Irkupru u r-Reżiljenza b’mod effettiv; ifakkar li mis-27 Stat Membru tal-UE, bħalissa 24 jipparteċipaw fl-UPPE;</w:t>
      </w:r>
    </w:p>
    <w:p w:rsidR="00606BBA" w:rsidRPr="00F11281" w:rsidP="00606BBA" w14:paraId="2383CA93" w14:textId="77777777">
      <w:pPr>
        <w:pStyle w:val="NormalHanging12a"/>
      </w:pPr>
      <w:r w:rsidRPr="00F11281">
        <w:t>11.</w:t>
      </w:r>
      <w:r w:rsidRPr="00F11281">
        <w:tab/>
        <w:t xml:space="preserve">Jesprimi t-tħassib tiegħu li l-istrumenti bbażati fuq il-prestazzjoni li jużaw il-finanzjament mhux marbut mal-kostijiet jiffukaw aktar fuq l-awditi tas-sistemi aktar milli fuq il-kontrolli tan-nefqa reali mġarrba; iwissi li tali awditi tas-sistemi jistgħu ma </w:t>
      </w:r>
      <w:r w:rsidRPr="00F11281">
        <w:t>jiżvelawx</w:t>
      </w:r>
      <w:r w:rsidRPr="00F11281">
        <w:t xml:space="preserve"> kwistjonijiet sottostanti li jistgħu jinfirxu u jikkompromettu serjament il-ġestjoni finanzjarja tajba tal-baġit tal-Unjoni u s-salvagwardja tal-</w:t>
      </w:r>
      <w:r w:rsidRPr="00F11281">
        <w:t>interesss</w:t>
      </w:r>
      <w:r w:rsidRPr="00F11281">
        <w:t xml:space="preserve"> finanzjarji tal-Unjoni; jemmen li anke fl-ambitu tal-arkitettura finanzjarja u l-mudell ta’ implimentazzjoni attwali għall-finanzjament tal-UE, is-sistemi ta’ kontroll ta’ diversi Stati Membri wrew dgħufijiet </w:t>
      </w:r>
      <w:r w:rsidRPr="00F11281">
        <w:t>sistemiċi</w:t>
      </w:r>
      <w:r w:rsidRPr="00F11281">
        <w:t xml:space="preserve">, li rriżultaw f’nuqqas ta’ identifikazzjoni u prevenzjoni ta’ frodi jew irregolaritajiet oħra, bħal fil-każ OPEKEPE fil-Greċja jew il-każijiet li jinvolvu fondi għall-iżvilupp rurali fis-Slovakkja, kif ukoll każijiet riċenti oħra f’diversi Stati Membri, u dan juri l-ħtieġa ta’ sorveljanza aktar qawwija min-naħa tal-UE; jistieden, għalhekk, lill-Kummissjoni tieħu miżuri korrettivi deċiżivi, issaħħaħ il-proċeduri tal-awditjar u tal-akkreditazzjoni, u tiżgura li fallimenti </w:t>
      </w:r>
      <w:r w:rsidRPr="00F11281">
        <w:t>sistemiċi</w:t>
      </w:r>
      <w:r w:rsidRPr="00F11281">
        <w:t xml:space="preserve"> simili ma jkunux jistgħu jerġgħu jseħħu, filwaqt li tirrispetta l-prinċipju tal-proporzjonalità fir-rigward tad-dmirijiet ta’ rapportar u dokumentazzjoni;</w:t>
      </w:r>
    </w:p>
    <w:p w:rsidR="00606BBA" w:rsidRPr="00F11281" w:rsidP="00606BBA" w14:paraId="11FF2965" w14:textId="77777777">
      <w:pPr>
        <w:pStyle w:val="NormalHanging12a"/>
      </w:pPr>
      <w:r w:rsidRPr="00F11281">
        <w:t>12.</w:t>
      </w:r>
      <w:r w:rsidRPr="00F11281">
        <w:tab/>
        <w:t xml:space="preserve">Jinnota bi tħassib, fil-leġiżlazzjoni ta’ strumenti bbażati fuq il-prestazzjoni bħal pereżempju l-Faċilità għall-Irkupru u r-Reżiljenza u fil-proposti tal-Kummissjoni għall-QFP 2028-2034, in-nuqqas ta’ standards u </w:t>
      </w:r>
      <w:r w:rsidRPr="00F11281">
        <w:t>sollijiet</w:t>
      </w:r>
      <w:r w:rsidRPr="00F11281">
        <w:t xml:space="preserve"> ċari għal każijiet meta s-sistemi nazzjonali ta’ ġestjoni u kontroll jitqiesu insuffiċjenti jew mhux affidabbli, b’mod li l-miżuri korrettivi jew is-</w:t>
      </w:r>
      <w:r w:rsidRPr="00F11281">
        <w:t>sospensjonijiet</w:t>
      </w:r>
      <w:r w:rsidRPr="00F11281">
        <w:t xml:space="preserve"> jitħallew għal ġudizzju diskrezzjonali;</w:t>
      </w:r>
    </w:p>
    <w:p w:rsidR="00606BBA" w:rsidRPr="00F11281" w:rsidP="00606BBA" w14:paraId="04E3BFD1" w14:textId="77777777">
      <w:pPr>
        <w:pStyle w:val="NormalHanging12a"/>
      </w:pPr>
      <w:r w:rsidRPr="00F11281">
        <w:t>13.</w:t>
      </w:r>
      <w:r w:rsidRPr="00F11281">
        <w:tab/>
        <w:t xml:space="preserve">Jissottolinja li l-użu </w:t>
      </w:r>
      <w:r w:rsidRPr="00F11281">
        <w:t>ġeneralizzat</w:t>
      </w:r>
      <w:r w:rsidRPr="00F11281">
        <w:t xml:space="preserve"> tal-finanzjament mhux marbut mal-kostijiet jirrikjedi li l-QEA u l-awtoritajiet nazzjonali tal-awditjar jadattaw b’mod sinifikanti l-attivitajiet tagħhom u jimxu lejn approċċ ta’ awditjar differenti; iwissi li tali bidla, mingħajr ma jiġi żgurat li l-awtoritajiet tal-awditjar jinsabu mħejjija għaliha, se tippreżenta sfidi sinifikanti u tista’ toħloq </w:t>
      </w:r>
      <w:r w:rsidRPr="00F11281">
        <w:t>lakuna</w:t>
      </w:r>
      <w:r w:rsidRPr="00F11281">
        <w:t xml:space="preserve"> strutturali fir-rendikont tal-</w:t>
      </w:r>
      <w:r w:rsidRPr="00F11281">
        <w:t>entrati</w:t>
      </w:r>
      <w:r w:rsidRPr="00F11281">
        <w:t xml:space="preserve"> b’konsegwenzi serji kemm għall-ġestjoni finanzjarja tajba tal-baġit tal-Unjoni kif ukoll għall-proċedura ta’ kwittanza;</w:t>
      </w:r>
    </w:p>
    <w:p w:rsidR="00606BBA" w:rsidRPr="00F11281" w:rsidP="00606BBA" w14:paraId="30426A47" w14:textId="77777777">
      <w:pPr>
        <w:pStyle w:val="NormalHanging12a"/>
      </w:pPr>
      <w:r w:rsidRPr="00F11281">
        <w:t>14.</w:t>
      </w:r>
      <w:r w:rsidRPr="00F11281">
        <w:tab/>
        <w:t>Jesprimi dispjaċir dwar ir-</w:t>
      </w:r>
      <w:r w:rsidRPr="00F11281">
        <w:t>rendikonti</w:t>
      </w:r>
      <w:r w:rsidRPr="00F11281">
        <w:t xml:space="preserve"> tal-</w:t>
      </w:r>
      <w:r w:rsidRPr="00F11281">
        <w:t>entrati</w:t>
      </w:r>
      <w:r w:rsidRPr="00F11281">
        <w:t xml:space="preserve"> mhux kompluti osservati mill-QEA fl-ambitu tal-istrumenti bbażati fuq il-prestazzjoni, bħall-Faċilità għall-Irkupru u r-Reżiljenza, li jdgħajfu t-traċċabbiltà u jillimitaw il-ħila tal-Parlament u tal-QEA li jeżerċitaw skrutinju;</w:t>
      </w:r>
    </w:p>
    <w:p w:rsidR="00606BBA" w:rsidRPr="00F11281" w:rsidP="00606BBA" w14:paraId="7EF3E5DA" w14:textId="77777777">
      <w:pPr>
        <w:pStyle w:val="NormalHanging12a"/>
      </w:pPr>
      <w:r w:rsidRPr="00F11281">
        <w:t>15.</w:t>
      </w:r>
      <w:r w:rsidRPr="00F11281">
        <w:tab/>
        <w:t>Jenfasizza li dipendenza qawwija fuq l-awtoritajiet nazzjonali u l-awdituri esterni, mingħajr salvagwardji sodi u gwida dettaljata, assistenza teknika u taħriġ iddedikat tal-Kummissjoni dwar il-metodoloġija tal-awditjar tal-prestazzjoni, tissogra l-</w:t>
      </w:r>
      <w:r w:rsidRPr="00F11281">
        <w:t>varjabbiltà</w:t>
      </w:r>
      <w:r w:rsidRPr="00F11281">
        <w:t xml:space="preserve"> fil-kwalità u fl-indipendenza tal-kontrolli, u b’hekk </w:t>
      </w:r>
      <w:r w:rsidRPr="00F11281">
        <w:t>jesponu</w:t>
      </w:r>
      <w:r w:rsidRPr="00F11281">
        <w:t xml:space="preserve"> lill-UE għal riskju </w:t>
      </w:r>
      <w:r w:rsidRPr="00F11281">
        <w:t>reputazzjonali</w:t>
      </w:r>
      <w:r w:rsidRPr="00F11281">
        <w:t>; jissottolinja li l-appoġġ lill-awtoritajiet nazzjonali tal-awditjar se jikkontribwixxi għal kwalità mtejba u konsistenza akbar;</w:t>
      </w:r>
    </w:p>
    <w:p w:rsidR="00606BBA" w:rsidRPr="00F11281" w:rsidP="00606BBA" w14:paraId="6DC5E802" w14:textId="77777777">
      <w:pPr>
        <w:pStyle w:val="NormalHanging12a"/>
      </w:pPr>
      <w:r w:rsidRPr="00F11281">
        <w:t>16.</w:t>
      </w:r>
      <w:r w:rsidRPr="00F11281">
        <w:tab/>
        <w:t>Jenfasizza li l-assorbiment tal-fondi jew l-</w:t>
      </w:r>
      <w:r w:rsidRPr="00F11281">
        <w:t>iżborżi</w:t>
      </w:r>
      <w:r w:rsidRPr="00F11281">
        <w:t xml:space="preserve"> mhumiex minnhom infushom indikatur ta’ suċċess; jiddispjaċih li fl-aħħar emendi tal-pjanijiet nazzjonali għall-irkupru u r-reżiljenza, l-enfasi fuq l-assorbiment wasslet għal tnaqqis fl-ambizzjoni prevista inizjalment, speċifikament fir-rigward tar-riformi;</w:t>
      </w:r>
    </w:p>
    <w:p w:rsidR="00606BBA" w:rsidRPr="00F11281" w:rsidP="00606BBA" w14:paraId="5C6292D4" w14:textId="77777777">
      <w:pPr>
        <w:pStyle w:val="NormalHanging12a"/>
      </w:pPr>
      <w:r w:rsidRPr="00F11281">
        <w:t>17.</w:t>
      </w:r>
      <w:r w:rsidRPr="00F11281">
        <w:tab/>
        <w:t xml:space="preserve">Ifakkar li l-korpi tal-awditjar fl-Istati Membri jeħtiġilhom jikkonformaw ma’ standards tal-awditjar aċċettati internazzjonalment; iwissi li jekk dan ma jsirx, tiġi </w:t>
      </w:r>
      <w:r w:rsidRPr="00F11281">
        <w:t>kompromessa</w:t>
      </w:r>
      <w:r w:rsidRPr="00F11281">
        <w:t xml:space="preserve"> l-affidabbiltà tal-ħidma tagħhom u jinħolqu riskji għall-approċċ ta’ awditu uniku; jinnota s-sejbiet ripetuti tal-QEA ta’ ċerti nuqqasijiet min-naħa tal-awtoritajiet nazzjonali tal-awditjar f’termini ta’ ambitu, kwalità, dokumentazzjoni u rapportar; jisħaq fuq il-ħtieġa ta’ qafas ċar ta’ responsabbiltajiet biex jiġu ggarantiti l-kwalità u l-konsistenza;</w:t>
      </w:r>
    </w:p>
    <w:p w:rsidR="00606BBA" w:rsidRPr="00F11281" w:rsidP="00606BBA" w14:paraId="4CA7C3D4" w14:textId="77777777">
      <w:pPr>
        <w:pStyle w:val="NormalHanging12a"/>
      </w:pPr>
      <w:r w:rsidRPr="00F11281">
        <w:t>18.</w:t>
      </w:r>
      <w:r w:rsidRPr="00F11281">
        <w:tab/>
        <w:t xml:space="preserve">Jenfasizza li sistemi tal-IT u tad-data </w:t>
      </w:r>
      <w:r w:rsidRPr="00F11281">
        <w:t>frammentati</w:t>
      </w:r>
      <w:r w:rsidRPr="00F11281">
        <w:t xml:space="preserve"> fost l-Istati Membri jżidu r-riskju ta’ żbalji, irregolaritajiet, finanzjament doppju, dewmien u rapportar inkonsistenti; ifakkar li, sabiex tiġi żgurata traċċabbiltà sħiħa tal-fondi tal-UE, il-Parlament talab ripetutament li tiġi stabbilita sistema unika, integrata u interoperabbli ta’ informazzjoni u monitoraġġ, inkluż għodda unika għall-estrazzjoni tad-data u għall-kejl tar-riskju, li tibni fuq, iżda mhux limitata għal, għodod u bażijiet tad-data eżistenti fil-kuntest tar-</w:t>
      </w:r>
      <w:r w:rsidRPr="00F11281">
        <w:t>riformulazzjoni</w:t>
      </w:r>
      <w:r w:rsidRPr="00F11281">
        <w:t xml:space="preserve"> tar-Regolament Finanzjarju; jiddispjaċih, madankollu, dwar ir-rifjut tal-Istati Membri li jagħmlu l-użu ta’ sistema bħal din obbligatorju mill-bidu tal-QFP li jmiss; jilqa’ l-isforz kontinwu tal-Kummissjoni biex tiżviluppa sistema interoperabbli bħal din, li tibni fuq l-għodda ARACHNE, u tħeġġeġ lill-Istati Membri kollha jagħmlu użu sħiħ minn din is-sistema; jenfasizza li l-effettività ta’ kwalunkwe mudell ta’ finanzjament ġdid tiddependi mill-affidabbiltà u l-konsistenza tad-data sottostanti u tal-għodod ta’ monitoraġġ; jissottolinja l-importanza li titfassal sistema interoperabbli li taderixxi mar-Regolament Ġenerali dwar il-Protezzjoni tad-Data (GDPR)</w:t>
      </w:r>
      <w:r>
        <w:rPr>
          <w:rStyle w:val="FootnoteReference"/>
        </w:rPr>
        <w:footnoteReference w:id="14"/>
      </w:r>
      <w:r w:rsidRPr="00F11281">
        <w:t xml:space="preserve">; jissottolinja li sistema bħal din trid tipprovdi informazzjoni preċiża u f’waqtha, timminimizza l-pożittivi foloz u topera b’mod affidabbli; </w:t>
      </w:r>
    </w:p>
    <w:p w:rsidR="00606BBA" w:rsidRPr="00F11281" w:rsidP="00606BBA" w14:paraId="5B107CAC" w14:textId="77777777">
      <w:pPr>
        <w:pStyle w:val="NormalHanging12a"/>
      </w:pPr>
      <w:r w:rsidRPr="00F11281">
        <w:t>19.</w:t>
      </w:r>
      <w:r w:rsidRPr="00F11281">
        <w:tab/>
        <w:t>Jenfasizza li l-ġestjoni kondiviża fil-qafas finanzjarju pluriennali li jmiss trid tinvolvi lill-awtoritajiet reġjonali u lokali u lill-partijiet ikkonċernati inkluż fil-każ ta’ strumenti bbażati fuq il-prestazzjoni, kemm fil-fażi tat-tfassil tat-teħid ta’ deċiżjonijiet u tal-</w:t>
      </w:r>
      <w:r w:rsidRPr="00F11281">
        <w:t>ippjanar kif ukoll fil-fażi tal-implimentazzjoni u t-twettiq, permezz ta’ approċċ ta’ governanza b’diversi livelli, sabiex jiġi żgurat il-valur miżjud għall-UE tal-proġetti transfruntiera u ssir enfasi fuq ir-riżultati li jistgħu jitkejlu aktar milli fuq l-</w:t>
      </w:r>
      <w:r w:rsidRPr="00F11281">
        <w:t>outputs</w:t>
      </w:r>
      <w:r w:rsidRPr="00F11281">
        <w:t>;</w:t>
      </w:r>
    </w:p>
    <w:p w:rsidR="00606BBA" w:rsidRPr="00F11281" w:rsidP="00606BBA" w14:paraId="228BB877" w14:textId="77777777">
      <w:pPr>
        <w:pStyle w:val="NormalHanging12a"/>
      </w:pPr>
      <w:r w:rsidRPr="00F11281">
        <w:t>20.</w:t>
      </w:r>
      <w:r w:rsidRPr="00F11281">
        <w:tab/>
        <w:t xml:space="preserve">Jinnota li t-taħlit ta’ għotjiet u strumenti finanzjarji f’oqfsa bbażati fuq il-prestazzjoni jżid il-kumplessità u jżid ir-riskji ta’ finanzjament doppju, irregolaritajiet, frodi, kumpens żejjed u ktajjen ta’ obbligu ta’ rendikont dgħajfa; jenfasizza b’mod partikolari li meta l-finanzjament ma jkunx marbut mal-kostijiet, l-assenza ta’ verifika tal-kostijiet tkompli żżid ir-riskju ta’ </w:t>
      </w:r>
      <w:r w:rsidRPr="00F11281">
        <w:t>trikkib</w:t>
      </w:r>
      <w:r w:rsidRPr="00F11281">
        <w:t xml:space="preserve"> bejn flussi differenti ta’ finanzjament u ddgħajjef l-assigurazzjoni ta’ ġestjoni finanzjarja tajba;</w:t>
      </w:r>
    </w:p>
    <w:p w:rsidR="00606BBA" w:rsidRPr="00F11281" w:rsidP="00606BBA" w14:paraId="653068DF" w14:textId="77777777">
      <w:pPr>
        <w:pStyle w:val="NormalHanging12a"/>
      </w:pPr>
      <w:r w:rsidRPr="00F11281">
        <w:t>21.</w:t>
      </w:r>
      <w:r w:rsidRPr="00F11281">
        <w:tab/>
        <w:t>Jirrimarka li l-monitoraġġ ibbażat fuq il-prestazzjoni mhux neċessarjament inaqqas il-piżijiet amministrattivi, għax sistemi ta’ verifika dgħajfa jistgħu joħolqu kostijiet moħbija mingħajr ma jtejbu l-assigurazzjoni; jistieden lill-Kummissjoni tissimplifika l-indikaturi tal-prestazzjoni u l-mudelli ta’ rapportar, telimina t-talbiet għal data żejda u tindirizza l-kumplessità bla bżonn tat-talbiet għal pagament; iqis li kwalunkwe bidla għall-użu ta’ mudelli tal-implimentazzjoni bbażati fuq il-prestazzjoni tirrikjedi t-tisħiħ tal-kapaċitajiet fil-livell tal-UE u fl-Istati Membri peress li l-ħtiġijiet ta’ monitoraġġ, kontroll u awditjar fil-każ ta’ mudelli tal-implimentazzjoni bbażati fuq il-prestazzjoni jvarjaw minn dawk ta’ strumenti bbażati fuq ir-</w:t>
      </w:r>
      <w:r w:rsidRPr="00F11281">
        <w:t>rimborż</w:t>
      </w:r>
      <w:r w:rsidRPr="00F11281">
        <w:t xml:space="preserve"> ta’ kostijiet eliġibbli;</w:t>
      </w:r>
    </w:p>
    <w:p w:rsidR="00606BBA" w:rsidRPr="00F11281" w:rsidP="00606BBA" w14:paraId="0D342355" w14:textId="77777777">
      <w:pPr>
        <w:pStyle w:val="NormalHanging12a"/>
      </w:pPr>
      <w:r w:rsidRPr="00F11281">
        <w:t>22.</w:t>
      </w:r>
      <w:r w:rsidRPr="00F11281">
        <w:tab/>
        <w:t>Iwissi li, fil-kuntest ġeopolitiku attwali u minħabba ż-żieda fil-pressjoni baġitarja, l-użu dejjem akbar ta’ strumenti bbażati fuq il-prestazzjoni, mingħajr l-indirizzar tad-dgħufijiet identifikati fil-Faċilità għall-Irkupru u r-Reżiljenza, inkluż billi jiġi msaħħaħ l-iskrutinju parlamentari, jissogra li jċaqlaq l-</w:t>
      </w:r>
      <w:r w:rsidRPr="00F11281">
        <w:t>orjentament</w:t>
      </w:r>
      <w:r w:rsidRPr="00F11281">
        <w:t xml:space="preserve"> tal-bilanċi istituzzjonali favur id-diskrezzjoni eżekuttiva u </w:t>
      </w:r>
      <w:r w:rsidRPr="00F11281">
        <w:t>jbegħidhom</w:t>
      </w:r>
      <w:r w:rsidRPr="00F11281">
        <w:t xml:space="preserve"> mir-responsabbiltà demokratika; jinsisti li kwalunkwe mudell ta’ governanza għal strumenti bbażati fuq il-prestazzjoni jrid jinvolvi lill-Parlament u lill-Kunsill fuq termini ugwali; jirrifjuta kwalunkwe proposta biex </w:t>
      </w:r>
      <w:r w:rsidRPr="00F11281">
        <w:t>jitħarbat</w:t>
      </w:r>
      <w:r w:rsidRPr="00F11281">
        <w:t xml:space="preserve"> il-bilanċ istituzzjonali u </w:t>
      </w:r>
      <w:r w:rsidRPr="00F11281">
        <w:t>jiddgħajjef</w:t>
      </w:r>
      <w:r w:rsidRPr="00F11281">
        <w:t xml:space="preserve"> ir-rwol tal-Parlament bħala l-awtorità baġitarja u ta’ kwittanza;</w:t>
      </w:r>
    </w:p>
    <w:p w:rsidR="00606BBA" w:rsidRPr="00F11281" w:rsidP="00606BBA" w14:paraId="243C3212" w14:textId="77777777">
      <w:pPr>
        <w:pStyle w:val="Normal12a"/>
      </w:pPr>
      <w:r w:rsidRPr="00F11281">
        <w:rPr>
          <w:b/>
          <w:i/>
        </w:rPr>
        <w:t>Rakkomandazzjonijiet għat-tisħiħ tal-kontroll, tat-trasparenza u tal-obbligu ta’ rendikont tal-istrumenti bbażati fuq il-prestazzjoni</w:t>
      </w:r>
    </w:p>
    <w:p w:rsidR="00606BBA" w:rsidRPr="00F11281" w:rsidP="00606BBA" w14:paraId="3459AD3D" w14:textId="77777777">
      <w:pPr>
        <w:pStyle w:val="NormalHanging12a"/>
      </w:pPr>
      <w:r w:rsidRPr="00F11281">
        <w:t>23.</w:t>
      </w:r>
      <w:r w:rsidRPr="00F11281">
        <w:tab/>
        <w:t xml:space="preserve">Jemmen li l-mudell tal-finanzjament mhux marbut mal-kostijiet għall-istrumenti bbażati fuq il-prestazzjoni ma għandux jintuża bħala metodu </w:t>
      </w:r>
      <w:r w:rsidRPr="00F11281">
        <w:t>ġeneralizzat</w:t>
      </w:r>
      <w:r w:rsidRPr="00F11281">
        <w:t xml:space="preserve"> ta’ implimentazzjoni jew </w:t>
      </w:r>
      <w:r w:rsidRPr="00F11281">
        <w:t>rimborż</w:t>
      </w:r>
      <w:r w:rsidRPr="00F11281">
        <w:t xml:space="preserve"> bejn l-Istati Membri u l-benefiċjarji, ħlief għal benefiċjarji iżgħar li jimplimentaw proġetti taħt ċerti </w:t>
      </w:r>
      <w:r w:rsidRPr="00F11281">
        <w:t>sollijiet</w:t>
      </w:r>
      <w:r w:rsidRPr="00F11281">
        <w:t xml:space="preserve"> finanzjarji, għax dan jippermetti sistema ta’ twettiq </w:t>
      </w:r>
      <w:r w:rsidRPr="00F11281">
        <w:t>simplifikata</w:t>
      </w:r>
      <w:r w:rsidRPr="00F11281">
        <w:t xml:space="preserve"> filwaqt li jżomm qafas ta’ kontroll robust; jissottolinja, b’mod partikolari, li proġetti fuq skala kbira u kumplessi għandhom jibqgħu bbażati fuq il-kostijiet, peress li l-kamp ta’ applikazzjoni, it-tul ta’ żmien u l-finanzjament f’diversi livelli tagħhom jirrikjedu rapportar finanzjarju dettaljat u data verifikabbli dwar in-nefqa biex jiġu żgurati l-monitoraġġ u l-obbligu ta’ rendikont xierqa; jisħaq fuq l-importanza li jiġi stabbilit mekkaniżmu għall-</w:t>
      </w:r>
      <w:r w:rsidRPr="00F11281">
        <w:t>irkupri</w:t>
      </w:r>
      <w:r w:rsidRPr="00F11281">
        <w:t xml:space="preserve"> f’każijiet fejn jirriżultaw </w:t>
      </w:r>
      <w:r w:rsidRPr="00F11281">
        <w:t>devjazzjonijiet</w:t>
      </w:r>
      <w:r w:rsidRPr="00F11281">
        <w:t xml:space="preserve"> sinifikanti bejn l-estimi ex </w:t>
      </w:r>
      <w:r w:rsidRPr="00F11281">
        <w:t>ante</w:t>
      </w:r>
      <w:r w:rsidRPr="00F11281">
        <w:t xml:space="preserve"> tal-kostijiet u l-kontrolli ex post, b’mod partikolari meta l-proġetti jitwettqu b’inqas mill-kost stmat inizjalment; jenfasizza li tali aġġustamenti jridu jirriflettu l-infiq reali biex jiġu żgurati l-integrità finanzjarja, il-valur għall-flus u l-obbligu ta’ rendikont; jappella għall-użu kontinwu u estiż ta’ somom f’daqqa u ta’ għażliet ta’ kostijiet </w:t>
      </w:r>
      <w:r w:rsidRPr="00F11281">
        <w:t>issimplifikati</w:t>
      </w:r>
      <w:r w:rsidRPr="00F11281">
        <w:t xml:space="preserve">, b’mod partikolari għal investimenti iżgħar jew fuq skala medja, bħala għodod effettivi u proporzjonati biex jitnaqqsu l-piżijiet </w:t>
      </w:r>
      <w:r w:rsidRPr="00F11281">
        <w:t>amministrattivi, tiżdied l-aċċessibbiltà għall-benefiċjarji iżgħar, u jinżammu l-obbligu ta’ rendikont u t-traċċabbiltà fl-użu tal-fondi tal-Unjoni;</w:t>
      </w:r>
    </w:p>
    <w:p w:rsidR="00606BBA" w:rsidRPr="00F11281" w:rsidP="00606BBA" w14:paraId="6F57C8AF" w14:textId="77777777">
      <w:pPr>
        <w:pStyle w:val="NormalHanging"/>
      </w:pPr>
      <w:r w:rsidRPr="00F11281">
        <w:t>24.</w:t>
      </w:r>
      <w:r w:rsidRPr="00F11281">
        <w:tab/>
        <w:t>Jinsisti li baġit simplifikat irid jirriżulta wkoll f’baġit trasparenti; iħeġġeġ lill-Kummissjoni tipprovdi aċċess pubbliku għall-informazzjoni proċedurali, inkluża l-metodoloġija tal-estimi tal-kostijiet, u tipprovdi lill-Parlament b’aċċess għall-kostijiet stmati tal-pjanijiet ta’ sħubija nazzjonali u reġjonali (</w:t>
      </w:r>
      <w:r w:rsidRPr="00F11281">
        <w:t>NRPPs</w:t>
      </w:r>
      <w:r w:rsidRPr="00F11281">
        <w:t>);</w:t>
      </w:r>
    </w:p>
    <w:p w:rsidR="00606BBA" w:rsidRPr="00F11281" w:rsidP="00606BBA" w14:paraId="15BAE560" w14:textId="77777777">
      <w:pPr>
        <w:pStyle w:val="NormalHanging12a"/>
      </w:pPr>
      <w:r w:rsidRPr="00F11281">
        <w:t>25.</w:t>
      </w:r>
      <w:r w:rsidRPr="00F11281">
        <w:tab/>
        <w:t xml:space="preserve">Jappella għal sistema unifikata ta’ obbligu ta’ rendikont li tippermetti t-traċċabbiltà tal-kontribuzzjonijiet tal-baġit tal-UE għal proġetti speċifiċi u l-benefiċjarji finali reali tagħhom, inklużi l-kuntratturi u s-sottokuntratturi, kif ukoll is-sidien benefiċjarji; jenfasizza l-importanza li tiġi żgurata l-viżibbiltà tal-proġetti ffinanzjati mill-UE għaċ-ċittadini; jenfasizza l-ħtieġa li l-pagamenti jintrabtu mat-twettiq ta’ miri u stadji importanti koerenti u definiti b’mod ċar biex jissaħħaħ l-allinjament bejn ir-riformi u l-investimenti; jenfasizza l-importanza li tiġi introdotta sistema ta’ evalwazzjoni ex post ibbażata fuq il-miri miksuba minn kull strument, kif </w:t>
      </w:r>
      <w:r w:rsidRPr="00F11281">
        <w:t>imkejla</w:t>
      </w:r>
      <w:r w:rsidRPr="00F11281">
        <w:t xml:space="preserve"> mill-indikaturi tal-prestazzjoni tagħhom;</w:t>
      </w:r>
    </w:p>
    <w:p w:rsidR="00606BBA" w:rsidRPr="00F11281" w:rsidP="00606BBA" w14:paraId="3DFE5AD5" w14:textId="77777777">
      <w:pPr>
        <w:pStyle w:val="NormalHanging12a"/>
      </w:pPr>
      <w:r w:rsidRPr="00F11281">
        <w:t>26.</w:t>
      </w:r>
      <w:r w:rsidRPr="00F11281">
        <w:tab/>
        <w:t xml:space="preserve">Jenfasizza li l-finanzjament tal-Unjoni għandu jingħata biss għal miżuri marbuta direttament ma’ proġetti konkreti u verifikabbli li juru progress tanġibbli, riżultati li jistgħu jitkejlu, jikkontribwixxu għall-objettivi tal-politika tal-Unjoni, u jistgħu jiġu mmonitorjati u </w:t>
      </w:r>
      <w:r w:rsidRPr="00F11281">
        <w:t>awditjati</w:t>
      </w:r>
      <w:r w:rsidRPr="00F11281">
        <w:t xml:space="preserve"> b’mod effettiv, soġġett għal rapportar trasparenti, inkluż dwar rekwiżiti relatati mal-valur għall-flus u mal-viżibbiltà;</w:t>
      </w:r>
    </w:p>
    <w:p w:rsidR="00606BBA" w:rsidRPr="00F11281" w:rsidP="00606BBA" w14:paraId="61EF77BE" w14:textId="77777777">
      <w:pPr>
        <w:pStyle w:val="NormalHanging12a"/>
      </w:pPr>
      <w:r w:rsidRPr="00F11281">
        <w:t>27.</w:t>
      </w:r>
      <w:r w:rsidRPr="00F11281">
        <w:tab/>
        <w:t xml:space="preserve">Jistieden lill-Kummissjoni żżomm lura milli tintroduċi metodoloġiji kumplessi jew </w:t>
      </w:r>
      <w:r w:rsidRPr="00F11281">
        <w:t>spekulattivi</w:t>
      </w:r>
      <w:r w:rsidRPr="00F11281">
        <w:t xml:space="preserve"> tal-estimi tal-kostijiet, li jissograw li jdgħajfu t-trasparenza u l-</w:t>
      </w:r>
      <w:r w:rsidRPr="00F11281">
        <w:t>komparabbiltà</w:t>
      </w:r>
      <w:r w:rsidRPr="00F11281">
        <w:t xml:space="preserve"> fost l-Istati Membri; iħeġġeġ minflok l-iżvilupp u l-użu estiż ta’ għażliet ta’ kostijiet </w:t>
      </w:r>
      <w:r w:rsidRPr="00F11281">
        <w:t>simplifikati</w:t>
      </w:r>
      <w:r w:rsidRPr="00F11281">
        <w:t xml:space="preserve"> armonizzati u verifikabbli li jipprovdu ċarezza, inaqqsu l-piżijiet amministrattivi u jżommu livell xieraq ta’ obbligu ta’ rendikont;</w:t>
      </w:r>
    </w:p>
    <w:p w:rsidR="00606BBA" w:rsidRPr="00F11281" w:rsidP="00606BBA" w14:paraId="3AD1901C" w14:textId="77777777">
      <w:pPr>
        <w:pStyle w:val="NormalHanging12a"/>
      </w:pPr>
      <w:r w:rsidRPr="00F11281">
        <w:t>28.</w:t>
      </w:r>
      <w:r w:rsidRPr="00F11281">
        <w:tab/>
        <w:t>Jappella għal kriterji tal-konformità mhux ambigwi biex jiġi ddeterminat meta kwalunkwe strument ibbażat fuq il-prestazzjoni jissodisfa l-</w:t>
      </w:r>
      <w:r w:rsidRPr="00F11281">
        <w:t>outputs</w:t>
      </w:r>
      <w:r w:rsidRPr="00F11281">
        <w:t xml:space="preserve"> jew ir-riżultati ppjanati, b’definizzjonijiet uniformi fl-Istati Membri kollha;</w:t>
      </w:r>
    </w:p>
    <w:p w:rsidR="00606BBA" w:rsidRPr="00F11281" w:rsidP="00606BBA" w14:paraId="14926515" w14:textId="77777777">
      <w:pPr>
        <w:pStyle w:val="NormalHanging12a"/>
      </w:pPr>
      <w:r w:rsidRPr="00F11281">
        <w:t>29.</w:t>
      </w:r>
      <w:r w:rsidRPr="00F11281">
        <w:tab/>
        <w:t xml:space="preserve">Jappella li jsiru valutazzjonijiet perjodiċi tal-kostijiet reali mġarrba fl-implimentazzjoni ta’ strumenti bbażati fuq il-prestazzjoni meta mqabbla mal-estimi tal-kostijiet tal-Istati Membri sabiex jiġu prevenuti d-diskrepanzi; jemmen li tali valutazzjonijiet għandhom </w:t>
      </w:r>
      <w:r w:rsidRPr="00F11281">
        <w:t>jiskattaw</w:t>
      </w:r>
      <w:r w:rsidRPr="00F11281">
        <w:t xml:space="preserve"> kontrolli u awditi b’mod awtomatiku f’każijiet fejn ikun hemm differenzi sinifikanti bejn il-kostijiet reali u dawk stmati;</w:t>
      </w:r>
    </w:p>
    <w:p w:rsidR="00606BBA" w:rsidRPr="00F11281" w:rsidP="00606BBA" w14:paraId="4F3C811D" w14:textId="77777777">
      <w:pPr>
        <w:pStyle w:val="NormalHanging12a"/>
      </w:pPr>
      <w:r w:rsidRPr="00F11281">
        <w:t>30.</w:t>
      </w:r>
      <w:r w:rsidRPr="00F11281">
        <w:tab/>
        <w:t xml:space="preserve">Jinsisti li kwalunkwe użu tal-mudell tal-finanzjament mhux marbut mal-kostijiet irid jirrikjedi </w:t>
      </w:r>
      <w:r w:rsidRPr="00F11281">
        <w:t>korrelazzjoni</w:t>
      </w:r>
      <w:r w:rsidRPr="00F11281">
        <w:t xml:space="preserve"> bejn l-applikazzjonijiet għal pagament u l-ilħuq tal-istadji importanti u l-miri minn naħa waħda u l-implimentazzjoni ta’ proġetti konkreti min-naħa l-oħra; jenfasizza li mingħajr tali </w:t>
      </w:r>
      <w:r w:rsidRPr="00F11281">
        <w:t>korrelazzjoni</w:t>
      </w:r>
      <w:r w:rsidRPr="00F11281">
        <w:t xml:space="preserve">, </w:t>
      </w:r>
      <w:r w:rsidRPr="00F11281">
        <w:t>it</w:t>
      </w:r>
      <w:r w:rsidRPr="00F11281">
        <w:t xml:space="preserve">-traċċabbiltà tal-finanzjament tal-Unjoni hija </w:t>
      </w:r>
      <w:r w:rsidRPr="00F11281">
        <w:t>kompromessa</w:t>
      </w:r>
      <w:r w:rsidRPr="00F11281">
        <w:t xml:space="preserve"> b’mod sever;</w:t>
      </w:r>
    </w:p>
    <w:p w:rsidR="00606BBA" w:rsidRPr="00F11281" w:rsidP="00606BBA" w14:paraId="5F320EFF" w14:textId="77777777">
      <w:pPr>
        <w:pStyle w:val="NormalHanging12a"/>
      </w:pPr>
      <w:r w:rsidRPr="00F11281">
        <w:t>31.</w:t>
      </w:r>
      <w:r w:rsidRPr="00F11281">
        <w:tab/>
        <w:t xml:space="preserve">Jappella li tiġi stabbilita sistema unika, integrata, interoperabbli ta’ informazzjoni u monitoraġġ, inkluża għodda unika għall-estrazzjoni tad-data u għall-kejl tar-riskju; jitlob li l-użu ta’ din is-sistema interoperabbli ġdida trid tkun </w:t>
      </w:r>
      <w:r w:rsidRPr="00F11281">
        <w:t>prekundizzjoni</w:t>
      </w:r>
      <w:r w:rsidRPr="00F11281">
        <w:t xml:space="preserve"> għall-aċċess għall-finanzjament tal-Unjoni fil-QFP li jmiss; jitlob li l-Kummissjoni toħloq </w:t>
      </w:r>
      <w:r w:rsidRPr="00F11281">
        <w:t>dashboards</w:t>
      </w:r>
      <w:r w:rsidRPr="00F11281">
        <w:t xml:space="preserve"> aċċessibbli għall-pubbliku, li jippermettu liċ-ċittadini jivvalutaw il-valur </w:t>
      </w:r>
      <w:r w:rsidRPr="00F11281">
        <w:t>iġġenerat mill-finanzjament tal-UE; jistieden lill-Kummissjoni tintroduċi għodod avvanzati tal-</w:t>
      </w:r>
      <w:r w:rsidRPr="00F11281">
        <w:t>analitika</w:t>
      </w:r>
      <w:r w:rsidRPr="00F11281">
        <w:t xml:space="preserve"> tad-data u tal-IA biex jittejbu t-traċċar, l-evalwazzjoni u r-rapportar tal-prestazzjoni, jittaffa l-ammont ta’ xogħol manwali u jiġu </w:t>
      </w:r>
      <w:r w:rsidRPr="00F11281">
        <w:t>simplifikati</w:t>
      </w:r>
      <w:r w:rsidRPr="00F11281">
        <w:t xml:space="preserve"> l-proċessi ta’ rapportar, u jiġi </w:t>
      </w:r>
      <w:r w:rsidRPr="00F11281">
        <w:t>prevenut</w:t>
      </w:r>
      <w:r w:rsidRPr="00F11281">
        <w:t xml:space="preserve"> il-finanzjament doppju u riskji oħra biex jiġu mħarsa l-interessi finanzjarji tal-UE;</w:t>
      </w:r>
    </w:p>
    <w:p w:rsidR="00606BBA" w:rsidRPr="00F11281" w:rsidP="00606BBA" w14:paraId="1E764832" w14:textId="77777777">
      <w:pPr>
        <w:pStyle w:val="NormalHanging12a"/>
      </w:pPr>
      <w:r w:rsidRPr="00F11281">
        <w:t>32.</w:t>
      </w:r>
      <w:r w:rsidRPr="00F11281">
        <w:tab/>
        <w:t xml:space="preserve">Jitlob li l-Kummissjoni tistabbilixxi u tippubblika </w:t>
      </w:r>
      <w:r w:rsidRPr="00F11281">
        <w:t>sollijiet</w:t>
      </w:r>
      <w:r w:rsidRPr="00F11281">
        <w:t xml:space="preserve"> ċari għall-miżuri korrettivi, inkluż livelli ta’ severità, biex tiggarantixxi trattament ugwali u infurzar konsistenti;</w:t>
      </w:r>
    </w:p>
    <w:p w:rsidR="00606BBA" w:rsidRPr="00F11281" w:rsidP="00606BBA" w14:paraId="3ABC6DCC" w14:textId="77777777">
      <w:pPr>
        <w:pStyle w:val="NormalHanging12a"/>
      </w:pPr>
      <w:r w:rsidRPr="00F11281">
        <w:t>33.</w:t>
      </w:r>
      <w:r w:rsidRPr="00F11281">
        <w:tab/>
        <w:t xml:space="preserve">Jinsisti li l-ilħuq tal-istadji importanti u tal-miri jeħtieġ jiġi vvalutat mill-Kummissjoni, filwaqt li titqies id-data provduta mill-Istati Membri, u jrid isegwi metodoloġija trasparenti u </w:t>
      </w:r>
      <w:r w:rsidRPr="00F11281">
        <w:t>standardizzata</w:t>
      </w:r>
      <w:r w:rsidRPr="00F11281">
        <w:t>, b’</w:t>
      </w:r>
      <w:r w:rsidRPr="00F11281">
        <w:t>punteġġi</w:t>
      </w:r>
      <w:r w:rsidRPr="00F11281">
        <w:t xml:space="preserve"> dokumentati u ġustifikazzjoni sostanzjata għal kwalunkwe devjazzjoni ogħla mis-</w:t>
      </w:r>
      <w:r w:rsidRPr="00F11281">
        <w:t>soll</w:t>
      </w:r>
      <w:r w:rsidRPr="00F11281">
        <w:t xml:space="preserve"> legali; jappella li l-fajls kollha ta’ valutazzjoni jkunu disponibbli għall-Parlament u għall-QEA;</w:t>
      </w:r>
    </w:p>
    <w:p w:rsidR="00606BBA" w:rsidRPr="00F11281" w:rsidP="00606BBA" w14:paraId="69CCF776" w14:textId="77777777">
      <w:pPr>
        <w:pStyle w:val="NormalHanging12a"/>
      </w:pPr>
      <w:r w:rsidRPr="00F11281">
        <w:t>34.</w:t>
      </w:r>
      <w:r w:rsidRPr="00F11281">
        <w:tab/>
        <w:t>Jitlob trasparenza akbar fl-implimentazzjoni tal-istrumenti bbażati fuq il-prestazzjoni, li tirrikjedi l-pubblikazzjoni f’waqtha tal-valutazzjonijiet kollha tal-Kummissjoni, ir-rapporti nazzjonali, is-</w:t>
      </w:r>
      <w:r w:rsidRPr="00F11281">
        <w:t>sommarji</w:t>
      </w:r>
      <w:r w:rsidRPr="00F11281">
        <w:t xml:space="preserve"> tal-awditjar u l-azzjonijiet ta’ rkupru, f’formati li jkunu aċċessibbli, komparabbli, verifikabbli u faċli għall-utent, filwaqt li jiġi żgurat li l-Parlament, il-QEA u ċ-ċittadini jkunu jistgħu </w:t>
      </w:r>
      <w:r w:rsidRPr="00F11281">
        <w:t>jiskrutinizzaw</w:t>
      </w:r>
      <w:r w:rsidRPr="00F11281">
        <w:t xml:space="preserve"> l-użu tal-fondi tal-Unjoni; jenfasizza li l-aċċess għall-informazzjoni għandu jsegwi approċċ </w:t>
      </w:r>
      <w:r w:rsidRPr="00F11281">
        <w:t>kaskata</w:t>
      </w:r>
      <w:r w:rsidRPr="00F11281">
        <w:t xml:space="preserve"> – li jiżgura aċċess sħiħ u mhux ristrett f’ħin reali għall-QEA, dritt garantit u mhux ristrett għall-Parlament li jagħmel mistoqsijiet u jitlob informazzjoni, u aċċess xieraq u trasparenti għaċ-ċittadini f’</w:t>
      </w:r>
      <w:r w:rsidRPr="00F11281">
        <w:t>konformita</w:t>
      </w:r>
      <w:r w:rsidRPr="00F11281">
        <w:t xml:space="preserve"> mad-deċiżjonijiet tal-Qorti tal-Ġustizzja tal-Unjoni Ewropea; ifakkar li l-miżuri kollha tat-trasparenza jeħtieġ li jikkonformaw mar-rekwiżiti tal-protezzjoni tad-data fl-ambitu tar-Regolament Ġenerali dwar il-Protezzjoni tad-Data u ta’ leġiżlazzjoni rilevanti oħra tal-Unjoni; jenfasizza li d-data disponibbli għall-pubbliku trid tirrifletti b’mod preċiż l-implimentazzjoni u l-progress reali tal-proġetti, aktar milli l-impenji ppjanati jew l-</w:t>
      </w:r>
      <w:r w:rsidRPr="00F11281">
        <w:t>iżborżi</w:t>
      </w:r>
      <w:r w:rsidRPr="00F11281">
        <w:t xml:space="preserve"> magħmula purament għat-twettiq tal-istadji importanti u l-miri fl-ambitu tal-pjanijiet nazzjonali, u b’hekk tipprovdi stampa ġenwina tar-riżultati miksuba fil-prattika;</w:t>
      </w:r>
    </w:p>
    <w:p w:rsidR="00606BBA" w:rsidRPr="00F11281" w:rsidP="00606BBA" w14:paraId="773E473A" w14:textId="77777777">
      <w:pPr>
        <w:pStyle w:val="NormalHanging12a"/>
      </w:pPr>
      <w:r w:rsidRPr="00F11281">
        <w:t>35.</w:t>
      </w:r>
      <w:r w:rsidRPr="00F11281">
        <w:tab/>
        <w:t>Jenfasizza li l-bażijiet tad-data u s-sistemi ta’ informazzjoni kollha tal-Kummissjoni użati għall-ġbir, l-iskambju u l-monitoraġġ tad-data bejn il-Kummissjoni u l-Istati Membri jridu jkunu aċċessibbli għall-QEA; jissottolinja li l-QEA għandu jkollha aċċess dirett u fil-pront għad-data oriġinali kif reġistrata fis-sistema, mingħajr modifika, aggregazzjoni jew editjar minn qabel mill-awtoritajiet nazzjonali jew mis-servizzi tal-Kummissjoni; jenfasizza li tali aċċess huwa essenzjali biex jiġu żgurati l-indipendenza, l-affidabbiltà u l-effettività tal-awditi u biex jinżammu t-trasparenza u l-obbligu ta’ rendikont fl-implimentazzjoni tal-baġit tal-Unjoni;</w:t>
      </w:r>
    </w:p>
    <w:p w:rsidR="00606BBA" w:rsidRPr="00F11281" w:rsidP="00606BBA" w14:paraId="2B3F6259" w14:textId="77777777">
      <w:pPr>
        <w:pStyle w:val="NormalHanging12a"/>
      </w:pPr>
      <w:r w:rsidRPr="00F11281">
        <w:t>36.</w:t>
      </w:r>
      <w:r w:rsidRPr="00F11281">
        <w:tab/>
        <w:t xml:space="preserve">Jappella għal rapportar imsaħħaħ tal-istrumenti bbażati fuq il-prestazzjoni biex tiġi inkluża data fil-livell tal-proġetti simili għal dik tal-Politika ta’ Koeżjoni, li tipprovdi d-distribuzzjoni ġeografika tal-finanzjament u tal-interventi fil-livell </w:t>
      </w:r>
      <w:r w:rsidRPr="00F11281">
        <w:t>sottonazzjonali</w:t>
      </w:r>
      <w:r w:rsidRPr="00F11281">
        <w:t>;</w:t>
      </w:r>
    </w:p>
    <w:p w:rsidR="00606BBA" w:rsidRPr="00F11281" w:rsidP="00606BBA" w14:paraId="39ACC7ED" w14:textId="77777777">
      <w:pPr>
        <w:pStyle w:val="NormalHanging12a"/>
      </w:pPr>
      <w:r w:rsidRPr="00F11281">
        <w:t>37.</w:t>
      </w:r>
      <w:r w:rsidRPr="00F11281">
        <w:tab/>
        <w:t>Jappella għal titjib fir-</w:t>
      </w:r>
      <w:r w:rsidRPr="00F11281">
        <w:t>rendikonti</w:t>
      </w:r>
      <w:r w:rsidRPr="00F11281">
        <w:t xml:space="preserve"> tal-</w:t>
      </w:r>
      <w:r w:rsidRPr="00F11281">
        <w:t>entrati</w:t>
      </w:r>
      <w:r w:rsidRPr="00F11281">
        <w:t xml:space="preserve"> billi tkun meħtieġa dokumentazzjoni sistematika tal-passi tal-verifika u jiġi żgurat li r-rekords ikunu kompluti, aċċessibbli u verifikabbli kemm fil-livell tal-UE kif ukoll f’dak nazzjonali;</w:t>
      </w:r>
    </w:p>
    <w:p w:rsidR="00606BBA" w:rsidRPr="00F11281" w:rsidP="00606BBA" w14:paraId="347E8F89" w14:textId="77777777">
      <w:pPr>
        <w:pStyle w:val="NormalHanging12a"/>
      </w:pPr>
      <w:r w:rsidRPr="00F11281">
        <w:t>38.</w:t>
      </w:r>
      <w:r w:rsidRPr="00F11281">
        <w:tab/>
        <w:t xml:space="preserve">Jitlob li l-Kummissjoni tistabbilixxi salvagwardji robusti biex tiżgura xogħol ta’ awditjar konsistenti, indipendenti u b’livell għoli ta’ kwalità fl-Istati Membri kollha, </w:t>
      </w:r>
      <w:r w:rsidRPr="00F11281">
        <w:t xml:space="preserve">inkluż permezz ta’ gwida </w:t>
      </w:r>
      <w:r w:rsidRPr="00F11281">
        <w:t>metodoloġika</w:t>
      </w:r>
      <w:r w:rsidRPr="00F11281">
        <w:t xml:space="preserve"> dettaljata, assistenza teknika sostenibbli kull fejn l-awtoritajiet tal-awditjar juru dgħufijiet persistenti, u taħriġ apposta dwar l-istandards tal-awditjar tal-prestazzjoni; jinsisti li d-dipendenza fuq l-awtoritajiet nazzjonali u l-awdituri esterni trid tkun </w:t>
      </w:r>
      <w:r w:rsidRPr="00F11281">
        <w:t>kundizzjonali</w:t>
      </w:r>
      <w:r w:rsidRPr="00F11281">
        <w:t xml:space="preserve"> fuq il-konformità ma’ dawn is-salvagwardji biex tiġi evitata l-</w:t>
      </w:r>
      <w:r w:rsidRPr="00F11281">
        <w:t>varjabbiltà</w:t>
      </w:r>
      <w:r w:rsidRPr="00F11281">
        <w:t xml:space="preserve"> fil-kwalità tal-kontrolli; jistieden lill-Istati Membri jistabbilixxu salvagwardji biex jiżguraw l-indipendenza tal-awtoritajiet nazzjonali tal-awditjar mill-korpi politiċi u amministrattivi responsabbli għall-ġestjoni tal-fondi;</w:t>
      </w:r>
    </w:p>
    <w:p w:rsidR="00606BBA" w:rsidRPr="00F11281" w:rsidP="00606BBA" w14:paraId="76555CB3" w14:textId="77777777">
      <w:pPr>
        <w:pStyle w:val="NormalHanging12a"/>
      </w:pPr>
      <w:r w:rsidRPr="00F11281">
        <w:t>39.</w:t>
      </w:r>
      <w:r w:rsidRPr="00F11281">
        <w:tab/>
        <w:t xml:space="preserve">Jappella għall-introduzzjoni ta’ għodod </w:t>
      </w:r>
      <w:r w:rsidRPr="00F11281">
        <w:t>analitiċi</w:t>
      </w:r>
      <w:r w:rsidRPr="00F11281">
        <w:t xml:space="preserve"> </w:t>
      </w:r>
      <w:r w:rsidRPr="00F11281">
        <w:t>predittivi</w:t>
      </w:r>
      <w:r w:rsidRPr="00F11281">
        <w:t xml:space="preserve"> mħaddma mill-IA kif ukoll ta’ kapaċitajiet ta’ tagħlim awtomatiku li jippermettu lill-awdituri jwettqu valutazzjonijiet tar-riskju f’ħin reali, jidentifikaw l-anomaliji b’mod aktar effettiv u jwettqu awditi tal-valur għall-flus u rapporti </w:t>
      </w:r>
      <w:r w:rsidRPr="00F11281">
        <w:t>analitiċi</w:t>
      </w:r>
      <w:r w:rsidRPr="00F11281">
        <w:t xml:space="preserve"> mmirati f’każijiet ta’ </w:t>
      </w:r>
      <w:r w:rsidRPr="00F11281">
        <w:t>insuffiċjenzi</w:t>
      </w:r>
      <w:r w:rsidRPr="00F11281">
        <w:t xml:space="preserve"> konsistenti identifikati mill-Qorti Ewropea tal-Awdituri; jisħaq fuq l-importanza li jiġu sfruttati l-għodod </w:t>
      </w:r>
      <w:r w:rsidRPr="00F11281">
        <w:t>awtomatizzati</w:t>
      </w:r>
      <w:r w:rsidRPr="00F11281">
        <w:t xml:space="preserve"> tal-estrazzjoni tad-data u l-IA biex jiġu identifikati l-anomaliji filwaqt li jiġu evitati obbligi ta’ rapportar addizzjonali fuq benefiċjarji konformi; ifakkar li tali teknoloġiji tal-IA jridu jintużaw f’konformità sħiħa mar-regoli tal-UE dwar il-protezzjoni tad-data u appoġġjati minn taħriġ komprensiv għall-awtoritajiet nazzjonali tal-awditjar;</w:t>
      </w:r>
    </w:p>
    <w:p w:rsidR="00606BBA" w:rsidRPr="00F11281" w:rsidP="00606BBA" w14:paraId="43D22860" w14:textId="77777777">
      <w:pPr>
        <w:pStyle w:val="NormalHanging12a"/>
      </w:pPr>
      <w:r w:rsidRPr="00F11281">
        <w:t>40.</w:t>
      </w:r>
      <w:r w:rsidRPr="00F11281">
        <w:tab/>
        <w:t>Jitlob li l-Kummissjoni ssaħħaħ is-salvagwardji għall-istrumenti finanzjarji, inklużi limiti massimi aktar stretti għat-tariffi tal-ġestjoni, regoli trasparenti għall-għotjiet diretti, u kontrolli għall-prevenzjoni ta’ finanzjament doppju u ksur tar-regoli dwar l-għajnuna mill-Istat; jitlob li l-limiti massimi tat-tariffi tal-ġestjoni, b’mod partikolari għall-għotjiet diretti lill-maniġers tal-fondi għal prodotti ta’ ekwità jew kważi ekwità ma għandhomx inaqqsu l-valur għall-flus tal-appoġġ tal-Unjoni, speċjalment meta l-volum tal-operazzjonijiet ikun modest;</w:t>
      </w:r>
    </w:p>
    <w:p w:rsidR="00606BBA" w:rsidRPr="00F11281" w:rsidP="00606BBA" w14:paraId="7063D3B2" w14:textId="77777777">
      <w:pPr>
        <w:pStyle w:val="NormalHanging12a"/>
      </w:pPr>
      <w:r w:rsidRPr="00F11281">
        <w:t>41.</w:t>
      </w:r>
      <w:r w:rsidRPr="00F11281">
        <w:tab/>
        <w:t>Itenni l-ħtieġa li tissaħħaħ it-trasparenza bl-espansjoni tat-Tabella ta’ Valutazzjoni tal-Faċilità għall-Irkupru u r-Reżiljenza għall-istrumenti kollha bbażati fuq il-prestazzjoni, biex jittejbu t-</w:t>
      </w:r>
      <w:r w:rsidRPr="00F11281">
        <w:t>tempestività</w:t>
      </w:r>
      <w:r w:rsidRPr="00F11281">
        <w:t xml:space="preserve"> u l-</w:t>
      </w:r>
      <w:r w:rsidRPr="00F11281">
        <w:t>komparabbiltà</w:t>
      </w:r>
      <w:r w:rsidRPr="00F11281">
        <w:t xml:space="preserve"> tar-rapportar nazzjonali, u jiġu żgurati l-aċċess pubbliku, </w:t>
      </w:r>
      <w:r w:rsidRPr="00F11281">
        <w:t>it</w:t>
      </w:r>
      <w:r w:rsidRPr="00F11281">
        <w:t>-traċċabbiltà u l-obbligu ta’ rendikont; iħeġġeġ lill-Kummissjoni tiżgura l-interoperabbiltà sħiħa tas-sistemi tad-data nazzjonali u tal-UE, tnaqqas l-inputs manwali, ittejjeb il-kwalità tad-data u tippermetti t-traċċabbiltà f’ħin reali sal-livell tal-benefiċjarji finali; jistieden, f’dan il-kuntest, lill-Kummissjoni tiżgura li d-data dwar ir-riċevituri finali reali tal-finanzjament tal-istrumenti bbażati fuq il-prestazzjoni, inklużi l-kuntratturi u s-sottokuntratturi, tkun disponibbli f’ħin reali għall-awtoritajiet tal-awditjar u tal-kwittanza kif ukoll għall-UPPE u għall-Uffiċċju Ewropew ta’ Kontra l-Frodi;</w:t>
      </w:r>
    </w:p>
    <w:p w:rsidR="00606BBA" w:rsidRPr="00F11281" w:rsidP="00606BBA" w14:paraId="40BD584A" w14:textId="77777777">
      <w:pPr>
        <w:pStyle w:val="NormalHanging12a"/>
      </w:pPr>
      <w:r w:rsidRPr="00F11281">
        <w:t>42.</w:t>
      </w:r>
      <w:r w:rsidRPr="00F11281">
        <w:tab/>
        <w:t xml:space="preserve">Jinsisti li l-prerogattivi tal-Parlament bħala </w:t>
      </w:r>
      <w:r w:rsidRPr="00F11281">
        <w:t>leġiżlatur</w:t>
      </w:r>
      <w:r w:rsidRPr="00F11281">
        <w:t>, awtorità baġitarja u awtorità ta’ kwittanza jeħtieġ li jiġu rispettati għalkollox, u li l-Parlament għandu jingħata aċċess għad-data kollha meħtieġa biex jeżerċita l-funzjonijiet tiegħu;</w:t>
      </w:r>
    </w:p>
    <w:p w:rsidR="00606BBA" w:rsidRPr="00F11281" w:rsidP="00606BBA" w14:paraId="3AF0D5D7" w14:textId="77777777">
      <w:pPr>
        <w:pStyle w:val="NormalCenter12a"/>
      </w:pPr>
      <w:r w:rsidRPr="00F11281">
        <w:t>°</w:t>
      </w:r>
    </w:p>
    <w:p w:rsidR="00606BBA" w:rsidRPr="00F11281" w:rsidP="00606BBA" w14:paraId="44487378" w14:textId="77777777">
      <w:pPr>
        <w:pStyle w:val="NormalCenter12a"/>
      </w:pPr>
      <w:r w:rsidRPr="00F11281">
        <w:t>°</w:t>
      </w:r>
      <w:r w:rsidRPr="00F11281">
        <w:tab/>
        <w:t>°</w:t>
      </w:r>
    </w:p>
    <w:p w:rsidR="00F11281" w:rsidRPr="00F11281" w:rsidP="00F11281" w14:paraId="2A829EAF" w14:textId="2867F5C7">
      <w:pPr>
        <w:pStyle w:val="NormalHanging12a"/>
      </w:pPr>
      <w:r w:rsidRPr="00F11281">
        <w:t>43.</w:t>
      </w:r>
      <w:r w:rsidRPr="00F11281">
        <w:tab/>
        <w:t>Jagħti istruzzjonijiet lill-President tiegħu biex tgħaddi din ir-riżoluzzjoni lill-Kunsill u lill-Kummissjoni.</w:t>
      </w:r>
    </w:p>
    <w:p w:rsidR="00E365E1" w:rsidRPr="00F11281" w:rsidP="000A03A9" w14:paraId="59657454" w14:textId="10D82D6D"/>
    <w:sectPr w:rsidSect="00F112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1281" w14:paraId="2039222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1281" w14:paraId="04F37C3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1281" w14:paraId="71E624C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A03A9" w:rsidRPr="00F11281" w14:paraId="7538255C" w14:textId="77777777">
      <w:r w:rsidRPr="00F11281">
        <w:separator/>
      </w:r>
    </w:p>
  </w:footnote>
  <w:footnote w:type="continuationSeparator" w:id="1">
    <w:p w:rsidR="000A03A9" w:rsidRPr="00F11281" w14:paraId="04D6E0FB" w14:textId="77777777">
      <w:r w:rsidRPr="00F11281">
        <w:continuationSeparator/>
      </w:r>
    </w:p>
  </w:footnote>
  <w:footnote w:id="2">
    <w:p w:rsidR="00606BBA" w:rsidRPr="00F11281" w:rsidP="00F11281" w14:paraId="71F0BBBE" w14:textId="0737D0E8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1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 xml:space="preserve">ĠU L 433 I, 22.12.2020, p. 11, ELI: </w:t>
      </w:r>
      <w:hyperlink r:id="rId1" w:tgtFrame="http://data.europa.eu/eli/reg/2020/2093/oj" w:history="1">
        <w:r w:rsidRPr="00F11281">
          <w:rPr>
            <w:rStyle w:val="Hyperlink"/>
            <w:sz w:val="24"/>
            <w:lang w:val="mt-MT"/>
          </w:rPr>
          <w:t>http://data.europa.eu/eli/reg/2020/2093/oj</w:t>
        </w:r>
      </w:hyperlink>
      <w:r w:rsidRPr="00F11281">
        <w:rPr>
          <w:sz w:val="24"/>
          <w:lang w:val="mt-MT"/>
        </w:rPr>
        <w:t>.</w:t>
      </w:r>
    </w:p>
  </w:footnote>
  <w:footnote w:id="3">
    <w:p w:rsidR="00606BBA" w:rsidRPr="00F11281" w:rsidP="00F11281" w14:paraId="3B5F67ED" w14:textId="18969694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2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 xml:space="preserve">ĠU L, 2024/2509, 26.9.2024, ELI: </w:t>
      </w:r>
      <w:hyperlink r:id="rId2" w:tgtFrame="http://data.europa.eu/eli/reg/2024/2509/oj" w:history="1">
        <w:r w:rsidRPr="00F11281">
          <w:rPr>
            <w:rStyle w:val="Hyperlink"/>
            <w:sz w:val="24"/>
            <w:lang w:val="mt-MT"/>
          </w:rPr>
          <w:t>http://data.europa.eu/eli/reg/2024/2509/oj</w:t>
        </w:r>
      </w:hyperlink>
      <w:r w:rsidRPr="00F11281">
        <w:rPr>
          <w:sz w:val="24"/>
          <w:lang w:val="mt-MT"/>
        </w:rPr>
        <w:t>.</w:t>
      </w:r>
    </w:p>
  </w:footnote>
  <w:footnote w:id="4">
    <w:p w:rsidR="00606BBA" w:rsidRPr="00F11281" w:rsidP="00F11281" w14:paraId="5622CB55" w14:textId="0C7478EB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3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 xml:space="preserve">ĠU L 433 I, 22.12.2020, p. 1, ELI: </w:t>
      </w:r>
      <w:hyperlink r:id="rId3" w:tgtFrame="http://data.europa.eu/eli/reg/2020/2092/oj" w:history="1">
        <w:r w:rsidRPr="00F11281">
          <w:rPr>
            <w:rStyle w:val="Hyperlink"/>
            <w:sz w:val="24"/>
            <w:lang w:val="mt-MT"/>
          </w:rPr>
          <w:t>http://data.europa.eu/eli/reg/2020/2092/oj</w:t>
        </w:r>
      </w:hyperlink>
      <w:r w:rsidRPr="00F11281">
        <w:rPr>
          <w:sz w:val="24"/>
          <w:lang w:val="mt-MT"/>
        </w:rPr>
        <w:t>.</w:t>
      </w:r>
    </w:p>
  </w:footnote>
  <w:footnote w:id="5">
    <w:p w:rsidR="00606BBA" w:rsidRPr="00F11281" w:rsidP="00F11281" w14:paraId="0FDF6CB9" w14:textId="657543D4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4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 xml:space="preserve">ĠU L, 2024/1263, 30.4.2024, ELI: </w:t>
      </w:r>
      <w:hyperlink r:id="rId4" w:tgtFrame="http://data.europa.eu/eli/reg/2024/1263/oj" w:history="1">
        <w:r w:rsidRPr="00F11281">
          <w:rPr>
            <w:rStyle w:val="Hyperlink"/>
            <w:sz w:val="24"/>
            <w:lang w:val="mt-MT"/>
          </w:rPr>
          <w:t>http://data.europa.eu/eli/reg/2024/1263/oj</w:t>
        </w:r>
      </w:hyperlink>
      <w:r w:rsidRPr="00F11281">
        <w:rPr>
          <w:sz w:val="24"/>
          <w:lang w:val="mt-MT"/>
        </w:rPr>
        <w:t>.</w:t>
      </w:r>
    </w:p>
  </w:footnote>
  <w:footnote w:id="6">
    <w:p w:rsidR="00606BBA" w:rsidRPr="00F11281" w:rsidP="00F11281" w14:paraId="095ABDD1" w14:textId="550605B5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5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>ĠU C 177, 17.5.2023, p. 115.</w:t>
      </w:r>
    </w:p>
  </w:footnote>
  <w:footnote w:id="7">
    <w:p w:rsidR="00606BBA" w:rsidRPr="00F11281" w:rsidP="00F11281" w14:paraId="7930AEC6" w14:textId="59B310BB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6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 xml:space="preserve">ĠU C, C/2024/6750, 26.11.2024, ELI: </w:t>
      </w:r>
      <w:hyperlink r:id="rId5" w:tgtFrame="http://data.europa.eu/eli/C/2024/6750/oj" w:history="1">
        <w:r w:rsidRPr="00F11281">
          <w:rPr>
            <w:rStyle w:val="Hyperlink"/>
            <w:sz w:val="24"/>
            <w:lang w:val="mt-MT"/>
          </w:rPr>
          <w:t>http://data.europa.eu/eli/C/2024/6750/oj</w:t>
        </w:r>
      </w:hyperlink>
      <w:r w:rsidRPr="00F11281">
        <w:rPr>
          <w:sz w:val="24"/>
          <w:lang w:val="mt-MT"/>
        </w:rPr>
        <w:t>.</w:t>
      </w:r>
    </w:p>
  </w:footnote>
  <w:footnote w:id="8">
    <w:p w:rsidR="00606BBA" w:rsidRPr="00F11281" w:rsidP="00F11281" w14:paraId="5BADD671" w14:textId="1A5712AC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7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 xml:space="preserve">ĠU L 433 I, 22.12.2020, p. 28, ELI: </w:t>
      </w:r>
      <w:hyperlink r:id="rId6" w:tgtFrame="http://data.europa.eu/eli/agree_interinstit/2020/1222/oj" w:history="1">
        <w:r w:rsidRPr="00F11281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F11281">
        <w:rPr>
          <w:sz w:val="24"/>
          <w:lang w:val="mt-MT"/>
        </w:rPr>
        <w:t>.</w:t>
      </w:r>
    </w:p>
  </w:footnote>
  <w:footnote w:id="9">
    <w:p w:rsidR="00606BBA" w:rsidRPr="00F11281" w:rsidP="00F11281" w14:paraId="37089846" w14:textId="16D9573A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8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>ĠU C 445, 29.10.2021, p. 240.</w:t>
      </w:r>
    </w:p>
  </w:footnote>
  <w:footnote w:id="10">
    <w:p w:rsidR="00606BBA" w:rsidRPr="00F11281" w:rsidP="00F11281" w14:paraId="5FC68C7F" w14:textId="6E34E8CE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9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>Testi adottati, P10_TA(2025)0090.</w:t>
      </w:r>
    </w:p>
  </w:footnote>
  <w:footnote w:id="11">
    <w:p w:rsidR="00606BBA" w:rsidRPr="00F11281" w:rsidP="00F11281" w14:paraId="5F08C086" w14:textId="287AE3F4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10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 xml:space="preserve">ĠU C, C/2024/7057, 4.12.2024, ELI: </w:t>
      </w:r>
      <w:hyperlink r:id="rId7" w:tgtFrame="http://data.europa.eu/eli/C/2024/7057/oj" w:history="1">
        <w:r w:rsidRPr="00F11281">
          <w:rPr>
            <w:rStyle w:val="Hyperlink"/>
            <w:sz w:val="24"/>
            <w:lang w:val="mt-MT"/>
          </w:rPr>
          <w:t>http://data.europa.eu/eli/C/2024/7057/oj</w:t>
        </w:r>
      </w:hyperlink>
      <w:r w:rsidRPr="00F11281">
        <w:rPr>
          <w:sz w:val="24"/>
          <w:lang w:val="mt-MT"/>
        </w:rPr>
        <w:t>.</w:t>
      </w:r>
    </w:p>
  </w:footnote>
  <w:footnote w:id="12">
    <w:p w:rsidR="00606BBA" w:rsidRPr="00F11281" w:rsidP="00F11281" w14:paraId="6DCEAD18" w14:textId="31213A83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11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 xml:space="preserve">ĠU C, C/2025/279, 24.1.2025, ELI: </w:t>
      </w:r>
      <w:hyperlink r:id="rId8" w:tgtFrame="http://data.europa.eu/eli/C/2025/279/oj" w:history="1">
        <w:r w:rsidRPr="00F11281">
          <w:rPr>
            <w:rStyle w:val="Hyperlink"/>
            <w:sz w:val="24"/>
            <w:lang w:val="mt-MT"/>
          </w:rPr>
          <w:t>http://data.europa.eu/eli/C/2025/279/oj</w:t>
        </w:r>
      </w:hyperlink>
      <w:r w:rsidRPr="00F11281">
        <w:rPr>
          <w:sz w:val="24"/>
          <w:lang w:val="mt-MT"/>
        </w:rPr>
        <w:t>.</w:t>
      </w:r>
    </w:p>
  </w:footnote>
  <w:footnote w:id="13">
    <w:p w:rsidR="00606BBA" w:rsidRPr="00F11281" w:rsidP="00F11281" w14:paraId="2CD35872" w14:textId="26EC9F77">
      <w:pPr>
        <w:pStyle w:val="FootnoteText"/>
        <w:ind w:left="567" w:hanging="567"/>
        <w:rPr>
          <w:sz w:val="24"/>
          <w:lang w:val="mt-MT"/>
        </w:rPr>
      </w:pPr>
      <w:r w:rsidRPr="00F11281">
        <w:rPr>
          <w:sz w:val="24"/>
          <w:vertAlign w:val="superscript"/>
          <w:lang w:val="mt-MT"/>
        </w:rPr>
        <w:t>12</w:t>
      </w:r>
      <w:r w:rsidRPr="00F11281" w:rsidR="00F11281">
        <w:rPr>
          <w:sz w:val="24"/>
          <w:vertAlign w:val="superscript"/>
          <w:lang w:val="mt-MT"/>
        </w:rPr>
        <w:t xml:space="preserve"> </w:t>
      </w:r>
      <w:r w:rsidRPr="00F11281" w:rsidR="00F11281">
        <w:rPr>
          <w:sz w:val="24"/>
          <w:vertAlign w:val="superscript"/>
          <w:lang w:val="mt-MT"/>
        </w:rPr>
        <w:tab/>
      </w:r>
      <w:r w:rsidRPr="00F11281">
        <w:rPr>
          <w:sz w:val="24"/>
          <w:lang w:val="mt-MT"/>
        </w:rPr>
        <w:t>Testi adottati, P10_TA(2025)0128.</w:t>
      </w:r>
    </w:p>
  </w:footnote>
  <w:footnote w:id="14">
    <w:p w:rsidR="00606BBA" w:rsidRPr="00F11281" w:rsidP="00F11281" w14:paraId="42F4E874" w14:textId="6321C7D1">
      <w:pPr>
        <w:pStyle w:val="FootnoteText"/>
        <w:ind w:left="567" w:hanging="567"/>
        <w:rPr>
          <w:sz w:val="24"/>
          <w:lang w:val="mt-MT"/>
        </w:rPr>
      </w:pPr>
      <w:r w:rsidRPr="00F11281">
        <w:rPr>
          <w:rStyle w:val="FootnoteReference"/>
          <w:sz w:val="24"/>
          <w:lang w:val="mt-MT"/>
        </w:rPr>
        <w:footnoteRef/>
      </w:r>
      <w:r w:rsidRPr="00F11281" w:rsidR="00F11281">
        <w:rPr>
          <w:sz w:val="24"/>
          <w:lang w:val="mt-MT"/>
        </w:rPr>
        <w:t xml:space="preserve"> </w:t>
      </w:r>
      <w:r w:rsidRPr="00F11281" w:rsidR="00F11281">
        <w:rPr>
          <w:sz w:val="24"/>
          <w:lang w:val="mt-MT"/>
        </w:rPr>
        <w:tab/>
      </w:r>
      <w:r w:rsidRPr="00F11281">
        <w:rPr>
          <w:sz w:val="24"/>
          <w:lang w:val="mt-MT"/>
        </w:rPr>
        <w:t xml:space="preserve">Ir-Regolament (UE) 2016/679 tal-Parlament Ewropew u tal-Kunsill tas-27 ta’ April 2016 dwar il-protezzjoni tal-persuni fiżiċi fir-rigward tal-ipproċessar ta’ data personali u dwar il-moviment liberu ta’ tali data, u li jħassar id-Direttiva 95/46/KE (Regolament Ġenerali dwar il-Protezzjoni tad-Data) (ĠU L 119, 4.5.2016, p. 1, ELI: </w:t>
      </w:r>
      <w:hyperlink r:id="rId9" w:history="1">
        <w:r w:rsidRPr="00F11281">
          <w:rPr>
            <w:rStyle w:val="Hyperlink"/>
            <w:sz w:val="24"/>
            <w:lang w:val="mt-MT"/>
          </w:rPr>
          <w:t>http://data.europa.eu/eli/reg/2016/679/oj</w:t>
        </w:r>
      </w:hyperlink>
      <w:r w:rsidRPr="00F11281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1281" w14:paraId="30F15ED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1281" w14:paraId="5B35DD7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1281" w14:paraId="644A7C0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3212640">
    <w:abstractNumId w:val="9"/>
  </w:num>
  <w:num w:numId="2" w16cid:durableId="1270091178">
    <w:abstractNumId w:val="9"/>
  </w:num>
  <w:num w:numId="3" w16cid:durableId="1307122233">
    <w:abstractNumId w:val="7"/>
  </w:num>
  <w:num w:numId="4" w16cid:durableId="2077430600">
    <w:abstractNumId w:val="7"/>
  </w:num>
  <w:num w:numId="5" w16cid:durableId="362289084">
    <w:abstractNumId w:val="6"/>
  </w:num>
  <w:num w:numId="6" w16cid:durableId="1685746246">
    <w:abstractNumId w:val="6"/>
  </w:num>
  <w:num w:numId="7" w16cid:durableId="437678322">
    <w:abstractNumId w:val="5"/>
  </w:num>
  <w:num w:numId="8" w16cid:durableId="1102991437">
    <w:abstractNumId w:val="5"/>
  </w:num>
  <w:num w:numId="9" w16cid:durableId="1861159722">
    <w:abstractNumId w:val="4"/>
  </w:num>
  <w:num w:numId="10" w16cid:durableId="54208077">
    <w:abstractNumId w:val="4"/>
  </w:num>
  <w:num w:numId="11" w16cid:durableId="457332850">
    <w:abstractNumId w:val="8"/>
  </w:num>
  <w:num w:numId="12" w16cid:durableId="1993212682">
    <w:abstractNumId w:val="8"/>
  </w:num>
  <w:num w:numId="13" w16cid:durableId="1692878331">
    <w:abstractNumId w:val="3"/>
  </w:num>
  <w:num w:numId="14" w16cid:durableId="1701199339">
    <w:abstractNumId w:val="3"/>
  </w:num>
  <w:num w:numId="15" w16cid:durableId="1064644723">
    <w:abstractNumId w:val="2"/>
  </w:num>
  <w:num w:numId="16" w16cid:durableId="1720592594">
    <w:abstractNumId w:val="2"/>
  </w:num>
  <w:num w:numId="17" w16cid:durableId="2045135686">
    <w:abstractNumId w:val="1"/>
  </w:num>
  <w:num w:numId="18" w16cid:durableId="1000934056">
    <w:abstractNumId w:val="1"/>
  </w:num>
  <w:num w:numId="19" w16cid:durableId="633364937">
    <w:abstractNumId w:val="0"/>
  </w:num>
  <w:num w:numId="20" w16cid:durableId="326791937">
    <w:abstractNumId w:val="0"/>
  </w:num>
  <w:num w:numId="21" w16cid:durableId="468406211">
    <w:abstractNumId w:val="9"/>
  </w:num>
  <w:num w:numId="22" w16cid:durableId="1731154720">
    <w:abstractNumId w:val="7"/>
  </w:num>
  <w:num w:numId="23" w16cid:durableId="2022122195">
    <w:abstractNumId w:val="6"/>
  </w:num>
  <w:num w:numId="24" w16cid:durableId="1428380798">
    <w:abstractNumId w:val="5"/>
  </w:num>
  <w:num w:numId="25" w16cid:durableId="305428208">
    <w:abstractNumId w:val="4"/>
  </w:num>
  <w:num w:numId="26" w16cid:durableId="1029841422">
    <w:abstractNumId w:val="8"/>
  </w:num>
  <w:num w:numId="27" w16cid:durableId="1707096122">
    <w:abstractNumId w:val="3"/>
  </w:num>
  <w:num w:numId="28" w16cid:durableId="1231885475">
    <w:abstractNumId w:val="2"/>
  </w:num>
  <w:num w:numId="29" w16cid:durableId="1124545022">
    <w:abstractNumId w:val="1"/>
  </w:num>
  <w:num w:numId="30" w16cid:durableId="1038818449">
    <w:abstractNumId w:val="0"/>
  </w:num>
  <w:num w:numId="31" w16cid:durableId="958102080">
    <w:abstractNumId w:val="9"/>
  </w:num>
  <w:num w:numId="32" w16cid:durableId="1561549997">
    <w:abstractNumId w:val="7"/>
  </w:num>
  <w:num w:numId="33" w16cid:durableId="1934438150">
    <w:abstractNumId w:val="6"/>
  </w:num>
  <w:num w:numId="34" w16cid:durableId="2144619761">
    <w:abstractNumId w:val="5"/>
  </w:num>
  <w:num w:numId="35" w16cid:durableId="2071921510">
    <w:abstractNumId w:val="4"/>
  </w:num>
  <w:num w:numId="36" w16cid:durableId="397674840">
    <w:abstractNumId w:val="8"/>
  </w:num>
  <w:num w:numId="37" w16cid:durableId="1886259005">
    <w:abstractNumId w:val="3"/>
  </w:num>
  <w:num w:numId="38" w16cid:durableId="2073846509">
    <w:abstractNumId w:val="2"/>
  </w:num>
  <w:num w:numId="39" w16cid:durableId="577403362">
    <w:abstractNumId w:val="1"/>
  </w:num>
  <w:num w:numId="40" w16cid:durableId="723413854">
    <w:abstractNumId w:val="0"/>
  </w:num>
  <w:num w:numId="41" w16cid:durableId="1452433714">
    <w:abstractNumId w:val="10"/>
  </w:num>
  <w:num w:numId="42" w16cid:durableId="1715080605">
    <w:abstractNumId w:val="10"/>
  </w:num>
  <w:num w:numId="43" w16cid:durableId="1664817011">
    <w:abstractNumId w:val="10"/>
  </w:num>
  <w:num w:numId="44" w16cid:durableId="4809737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A9"/>
    <w:rsid w:val="00002272"/>
    <w:rsid w:val="00064002"/>
    <w:rsid w:val="000677B9"/>
    <w:rsid w:val="000831BA"/>
    <w:rsid w:val="000A03A9"/>
    <w:rsid w:val="000A42CC"/>
    <w:rsid w:val="000E7DD9"/>
    <w:rsid w:val="0010095E"/>
    <w:rsid w:val="00105BBE"/>
    <w:rsid w:val="00125B37"/>
    <w:rsid w:val="00187494"/>
    <w:rsid w:val="001B79F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BBA"/>
    <w:rsid w:val="00650A9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281"/>
    <w:rsid w:val="00F149E9"/>
    <w:rsid w:val="00F5134D"/>
    <w:rsid w:val="00F74202"/>
    <w:rsid w:val="00F87713"/>
    <w:rsid w:val="00FB4360"/>
    <w:rsid w:val="00FD0C70"/>
  </w:rsids>
  <w:docVars>
    <w:docVar w:name="dvdocse" w:val="A10-0022/2026"/>
    <w:docVar w:name="dvlangue" w:val="MT"/>
    <w:docVar w:name="dvnumam" w:val="0"/>
    <w:docVar w:name="dvpe" w:val="778.127"/>
    <w:docVar w:name="dvrapporteur" w:val="Rapporteur: "/>
    <w:docVar w:name="dvtitre" w:val="Riżoluzzjoni tal-Parlament Ewropew xx xx xxxx 2026 dwar il-kontroll, it-trasparenza u t-traċċabbiltà tal-istrumenti bbażati fuq il-prestazzjoni(2025/203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3095BC5"/>
  <w15:chartTrackingRefBased/>
  <w15:docId w15:val="{3D7267AA-D9F8-483E-AD65-AAECA7D1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06BBA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606BB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06BBA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06BB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06BBA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06BB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606BBA"/>
    <w:rPr>
      <w:sz w:val="24"/>
      <w:szCs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0/2093/oj" TargetMode="External" /><Relationship Id="rId2" Type="http://schemas.openxmlformats.org/officeDocument/2006/relationships/hyperlink" Target="http://data.europa.eu/eli/reg/2024/2509/oj" TargetMode="External" /><Relationship Id="rId3" Type="http://schemas.openxmlformats.org/officeDocument/2006/relationships/hyperlink" Target="http://data.europa.eu/eli/reg/2020/2092/oj" TargetMode="External" /><Relationship Id="rId4" Type="http://schemas.openxmlformats.org/officeDocument/2006/relationships/hyperlink" Target="http://data.europa.eu/eli/reg/2024/1263/oj" TargetMode="External" /><Relationship Id="rId5" Type="http://schemas.openxmlformats.org/officeDocument/2006/relationships/hyperlink" Target="http://data.europa.eu/eli/C/2024/6750/oj" TargetMode="External" /><Relationship Id="rId6" Type="http://schemas.openxmlformats.org/officeDocument/2006/relationships/hyperlink" Target="http://data.europa.eu/eli/agree_interinstit/2020/1222/oj" TargetMode="External" /><Relationship Id="rId7" Type="http://schemas.openxmlformats.org/officeDocument/2006/relationships/hyperlink" Target="http://data.europa.eu/eli/C/2024/7057/oj" TargetMode="External" /><Relationship Id="rId8" Type="http://schemas.openxmlformats.org/officeDocument/2006/relationships/hyperlink" Target="http://data.europa.eu/eli/C/2025/279/oj" TargetMode="External" /><Relationship Id="rId9" Type="http://schemas.openxmlformats.org/officeDocument/2006/relationships/hyperlink" Target="http://data.europa.eu/eli/reg/2016/6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4528</Words>
  <Characters>34354</Characters>
  <Application>Microsoft Office Word</Application>
  <DocSecurity>0</DocSecurity>
  <Lines>1184</Lines>
  <Paragraphs>303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2026-04-28T11:54:00Z</dcterms:created>
  <dcterms:modified xsi:type="dcterms:W3CDTF">2026-04-28T11:54:00Z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A10-0022/2026</vt:lpwstr>
  </property>
  <property fmtid="{D5CDD505-2E9C-101B-9397-08002B2CF9AE}" pid="4" name="&lt;Type&gt;">
    <vt:lpwstr>RR</vt:lpwstr>
  </property>
</Properties>
</file>