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3CFAB7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B6375" w:rsidP="0010095E" w14:paraId="46B5EE3C" w14:textId="3A3638E4">
            <w:pPr>
              <w:pStyle w:val="EPName"/>
            </w:pPr>
            <w:r w:rsidRPr="000B6375">
              <w:t>Parlament Europejski</w:t>
            </w:r>
          </w:p>
          <w:p w:rsidR="00751A4A" w:rsidRPr="000B6375" w:rsidP="005F1B17" w14:paraId="4C814FF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6375">
              <w:t>2024</w:t>
            </w:r>
            <w:r w:rsidRPr="000B6375" w:rsidR="00817416">
              <w:t>-202</w:t>
            </w:r>
            <w:r w:rsidRPr="000B637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B6375" w:rsidP="0010095E" w14:paraId="17E553E1" w14:textId="77777777">
            <w:pPr>
              <w:pStyle w:val="EPLogo"/>
            </w:pPr>
            <w:r w:rsidRPr="000B637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B6375" w:rsidP="004C5D52" w14:paraId="60F1CE11" w14:textId="77777777">
      <w:pPr>
        <w:pStyle w:val="LineTop"/>
      </w:pPr>
    </w:p>
    <w:p w:rsidR="00680577" w:rsidRPr="000B6375" w:rsidP="00680577" w14:paraId="377B5A36" w14:textId="7A6C35E7">
      <w:pPr>
        <w:pStyle w:val="EPBodyTA1"/>
      </w:pPr>
      <w:r w:rsidRPr="000B6375">
        <w:t>TEKSTY PRZYJĘTE</w:t>
      </w:r>
    </w:p>
    <w:p w:rsidR="00D058B8" w:rsidRPr="000B6375" w:rsidP="00D058B8" w14:paraId="1240A302" w14:textId="77777777">
      <w:pPr>
        <w:pStyle w:val="LineBottom"/>
      </w:pPr>
    </w:p>
    <w:p w:rsidR="00311413" w:rsidRPr="000B6375" w:rsidP="00311413" w14:paraId="0922D48F" w14:textId="17CA03E2">
      <w:pPr>
        <w:pStyle w:val="ATHeading1"/>
      </w:pPr>
      <w:bookmarkStart w:id="0" w:name="TANumber"/>
      <w:r w:rsidRPr="000B6375">
        <w:t>P10_TA(2026)0</w:t>
      </w:r>
      <w:bookmarkEnd w:id="0"/>
      <w:r w:rsidR="000A5605">
        <w:t>122</w:t>
      </w:r>
    </w:p>
    <w:p w:rsidR="00311413" w:rsidRPr="000B6375" w:rsidP="00311413" w14:paraId="13136F7C" w14:textId="77777777">
      <w:pPr>
        <w:pStyle w:val="ATHeading2"/>
      </w:pPr>
      <w:bookmarkStart w:id="1" w:name="title"/>
      <w:r w:rsidRPr="000B6375">
        <w:t>Kontrola, przejrzystość i identyfikowalność instrumentów opartych na wynikach</w:t>
      </w:r>
      <w:bookmarkEnd w:id="1"/>
    </w:p>
    <w:p w:rsidR="00311413" w:rsidRPr="000B6375" w:rsidP="00311413" w14:paraId="50A4655B" w14:textId="77777777">
      <w:pPr>
        <w:rPr>
          <w:i/>
          <w:vanish/>
        </w:rPr>
      </w:pPr>
      <w:r>
        <w:rPr>
          <w:i/>
        </w:rPr>
        <w:fldChar w:fldCharType="begin"/>
      </w:r>
      <w:r w:rsidRPr="000B6375">
        <w:rPr>
          <w:i/>
        </w:rPr>
        <w:instrText xml:space="preserve"> TC"(</w:instrText>
      </w:r>
      <w:bookmarkStart w:id="2" w:name="DocNumber"/>
      <w:r w:rsidRPr="000B6375">
        <w:rPr>
          <w:i/>
        </w:rPr>
        <w:instrText>A10-0022/2026</w:instrText>
      </w:r>
      <w:bookmarkEnd w:id="2"/>
      <w:r w:rsidRPr="000B6375">
        <w:rPr>
          <w:i/>
        </w:rPr>
        <w:instrText xml:space="preserve"> - Sprawozdawca: Monika Hohlmeier)"\l3 \n&gt; \* MERGEFORMAT </w:instrText>
      </w:r>
      <w:r>
        <w:rPr>
          <w:i/>
        </w:rPr>
        <w:fldChar w:fldCharType="end"/>
      </w:r>
    </w:p>
    <w:p w:rsidR="00311413" w:rsidRPr="000B6375" w:rsidP="00311413" w14:paraId="149B7E0F" w14:textId="77777777">
      <w:pPr>
        <w:rPr>
          <w:vanish/>
        </w:rPr>
      </w:pPr>
      <w:bookmarkStart w:id="3" w:name="Commission"/>
      <w:r w:rsidRPr="000B6375">
        <w:rPr>
          <w:vanish/>
        </w:rPr>
        <w:t>Komisja Kontroli Budżetowej</w:t>
      </w:r>
      <w:bookmarkEnd w:id="3"/>
    </w:p>
    <w:p w:rsidR="00311413" w:rsidRPr="000B6375" w:rsidP="00311413" w14:paraId="451C84C4" w14:textId="77777777">
      <w:pPr>
        <w:rPr>
          <w:vanish/>
        </w:rPr>
      </w:pPr>
      <w:bookmarkStart w:id="4" w:name="PE"/>
      <w:r w:rsidRPr="000B6375">
        <w:rPr>
          <w:vanish/>
        </w:rPr>
        <w:t>PE778.127</w:t>
      </w:r>
      <w:bookmarkEnd w:id="4"/>
    </w:p>
    <w:p w:rsidR="00311413" w:rsidRPr="000B6375" w:rsidP="00311413" w14:paraId="18502D20" w14:textId="17F4F9BA">
      <w:pPr>
        <w:pStyle w:val="ATHeading3"/>
      </w:pPr>
      <w:bookmarkStart w:id="5" w:name="Sujet"/>
      <w:r w:rsidRPr="000B6375">
        <w:t xml:space="preserve">Rezolucja Parlamentu Europejskiego z dnia </w:t>
      </w:r>
      <w:r w:rsidR="00EC2AA3">
        <w:t>28 kwietnia</w:t>
      </w:r>
      <w:r w:rsidRPr="000B6375">
        <w:t xml:space="preserve"> 2026 r. w sprawie kontroli, przejrzystości i identyfikowalności instrumentów opartych na wynikach</w:t>
      </w:r>
      <w:bookmarkEnd w:id="5"/>
      <w:r w:rsidRPr="000B6375">
        <w:t xml:space="preserve"> </w:t>
      </w:r>
      <w:bookmarkStart w:id="6" w:name="References"/>
      <w:r w:rsidRPr="000B6375">
        <w:t>(2025/2032(INI))</w:t>
      </w:r>
      <w:bookmarkEnd w:id="6"/>
    </w:p>
    <w:p w:rsidR="003F7594" w:rsidRPr="000B6375" w:rsidP="003F7594" w14:paraId="7E9E5194" w14:textId="77777777">
      <w:pPr>
        <w:pStyle w:val="Normal12"/>
      </w:pPr>
      <w:r w:rsidRPr="000B6375">
        <w:rPr>
          <w:i/>
        </w:rPr>
        <w:t>Parlament Europejski</w:t>
      </w:r>
      <w:r w:rsidRPr="000B6375">
        <w:t>,</w:t>
      </w:r>
    </w:p>
    <w:p w:rsidR="003F7594" w:rsidRPr="000B6375" w:rsidP="003F7594" w14:paraId="1AACA336" w14:textId="77777777">
      <w:pPr>
        <w:pStyle w:val="NormalHanging"/>
      </w:pPr>
      <w:r w:rsidRPr="000B6375">
        <w:t>–</w:t>
      </w:r>
      <w:r w:rsidRPr="000B6375">
        <w:tab/>
        <w:t>uwzględniając art. 311, 312, 319, 323 i 324 Traktatu o funkcjonowaniu Unii Europejskiej (TFUE),</w:t>
      </w:r>
    </w:p>
    <w:p w:rsidR="003F7594" w:rsidRPr="000B6375" w:rsidP="003F7594" w14:paraId="6BFE1F9D" w14:textId="77777777">
      <w:pPr>
        <w:pStyle w:val="NormalHanging"/>
      </w:pPr>
      <w:r w:rsidRPr="000B6375">
        <w:t>–</w:t>
      </w:r>
      <w:r w:rsidRPr="000B6375">
        <w:tab/>
        <w:t xml:space="preserve">uwzględniając rozporządzenie Rady (UE, </w:t>
      </w:r>
      <w:r w:rsidRPr="000B6375">
        <w:t>Euratom</w:t>
      </w:r>
      <w:r w:rsidRPr="000B6375">
        <w:t>) 2020/2093 z dnia 17 grudnia 2020 r. określające wieloletnie ramy finansowe na lata 2021–2027</w:t>
      </w:r>
      <w:r>
        <w:rPr>
          <w:rStyle w:val="FootnoteReference"/>
        </w:rPr>
        <w:footnoteReference w:customMarkFollows="1" w:id="2"/>
        <w:t xml:space="preserve">1</w:t>
      </w:r>
      <w:r w:rsidRPr="000B6375">
        <w:t>, wspólne oświadczenia uzgodnione między Parlamentem, Radą i Komisją w tym kontekście, a także powiązane deklaracje jednostronne,</w:t>
      </w:r>
    </w:p>
    <w:p w:rsidR="003F7594" w:rsidRPr="000B6375" w:rsidP="003F7594" w14:paraId="0F0FB171" w14:textId="77777777">
      <w:pPr>
        <w:pStyle w:val="NormalHanging"/>
      </w:pPr>
      <w:r w:rsidRPr="000B6375">
        <w:t>–</w:t>
      </w:r>
      <w:r w:rsidRPr="000B6375">
        <w:tab/>
        <w:t xml:space="preserve">uwzględniając rozporządzenie Parlamentu Europejskiego i Rady (UE, </w:t>
      </w:r>
      <w:r w:rsidRPr="000B6375">
        <w:t>Euratom</w:t>
      </w:r>
      <w:r w:rsidRPr="000B6375">
        <w:t>) 2024/2509 z dnia 23 września 2024 r. w sprawie zasad finansowych mających zastosowanie do budżetu ogólnego Unii</w:t>
      </w:r>
      <w:r>
        <w:rPr>
          <w:rStyle w:val="FootnoteReference"/>
        </w:rPr>
        <w:footnoteReference w:customMarkFollows="1" w:id="3"/>
        <w:t xml:space="preserve">2</w:t>
      </w:r>
      <w:r w:rsidRPr="000B6375">
        <w:t xml:space="preserve"> (rozporządzenie finansowe),</w:t>
      </w:r>
    </w:p>
    <w:p w:rsidR="003F7594" w:rsidRPr="000B6375" w:rsidP="003F7594" w14:paraId="6816E2A3" w14:textId="77777777">
      <w:pPr>
        <w:pStyle w:val="NormalHanging"/>
      </w:pPr>
      <w:r w:rsidRPr="000B6375">
        <w:t>–</w:t>
      </w:r>
      <w:r w:rsidRPr="000B6375">
        <w:tab/>
        <w:t xml:space="preserve">uwzględniając rozporządzenie Parlamentu Europejskiego i Rady (UE, </w:t>
      </w:r>
      <w:r w:rsidRPr="000B6375">
        <w:t>Euratom</w:t>
      </w:r>
      <w:r w:rsidRPr="000B6375">
        <w:t>) 2020/2092 z dnia 16 grudnia 2020 r. w sprawie ogólnego systemu warunkowości służącego ochronie budżetu Unii</w:t>
      </w:r>
      <w:r>
        <w:rPr>
          <w:rStyle w:val="FootnoteReference"/>
        </w:rPr>
        <w:footnoteReference w:customMarkFollows="1" w:id="4"/>
        <w:t xml:space="preserve">3</w:t>
      </w:r>
      <w:r w:rsidRPr="000B6375">
        <w:t xml:space="preserve"> (rozporządzenie dotyczące warunkowości w zakresie praworządności),</w:t>
      </w:r>
    </w:p>
    <w:p w:rsidR="003F7594" w:rsidRPr="000B6375" w:rsidP="003F7594" w14:paraId="510175F5" w14:textId="77777777">
      <w:pPr>
        <w:pStyle w:val="NormalHanging"/>
      </w:pPr>
      <w:r w:rsidRPr="000B6375">
        <w:t>–</w:t>
      </w:r>
      <w:r w:rsidRPr="000B6375">
        <w:tab/>
        <w:t>uwzględniając rozporządzenie Parlamentu Europejskiego i Rady (UE) 2024/1263 z dnia 29 kwietnia 2024 r. w sprawie skutecznej koordynacji polityk gospodarczych i w sprawie wielostronnego nadzoru budżetowego oraz uchylające rozporządzenie Rady (WE) nr 1466/97</w:t>
      </w:r>
      <w:r>
        <w:rPr>
          <w:rStyle w:val="FootnoteReference"/>
        </w:rPr>
        <w:footnoteReference w:customMarkFollows="1" w:id="5"/>
        <w:t xml:space="preserve">4</w:t>
      </w:r>
      <w:r w:rsidRPr="000B6375">
        <w:t>,</w:t>
      </w:r>
    </w:p>
    <w:p w:rsidR="003F7594" w:rsidRPr="000B6375" w:rsidP="003F7594" w14:paraId="401723AD" w14:textId="77777777">
      <w:pPr>
        <w:pStyle w:val="NormalHanging"/>
      </w:pPr>
      <w:r w:rsidRPr="000B6375">
        <w:t>–</w:t>
      </w:r>
      <w:r w:rsidRPr="000B6375">
        <w:tab/>
        <w:t>uwzględniając swoją rezolucję z dnia 15 grudnia 2022 r. w sprawie ulepszenia wieloletnich ram finansowych na lata 2021–2027: gotowy na nowe wyzwania, odporny budżet UE</w:t>
      </w:r>
      <w:r>
        <w:rPr>
          <w:rStyle w:val="FootnoteReference"/>
        </w:rPr>
        <w:footnoteReference w:customMarkFollows="1" w:id="6"/>
        <w:t xml:space="preserve">5</w:t>
      </w:r>
      <w:r w:rsidRPr="000B6375">
        <w:t>,</w:t>
      </w:r>
    </w:p>
    <w:p w:rsidR="003F7594" w:rsidRPr="000B6375" w:rsidP="003F7594" w14:paraId="52C07E5C" w14:textId="77777777">
      <w:pPr>
        <w:pStyle w:val="NormalHanging"/>
      </w:pPr>
      <w:r w:rsidRPr="000B6375">
        <w:t>–</w:t>
      </w:r>
      <w:r w:rsidRPr="000B6375">
        <w:tab/>
        <w:t xml:space="preserve">uwzględniając swoje stanowisko z dnia 27 lutego 2024 r. w sprawie projektu rozporządzenia Rady w sprawie zmiany rozporządzenia (UE, </w:t>
      </w:r>
      <w:r w:rsidRPr="000B6375">
        <w:t>Euratom</w:t>
      </w:r>
      <w:r w:rsidRPr="000B6375">
        <w:t>) 2020/2093 określającego wieloletnie ramy finansowe na lata 2021–2027</w:t>
      </w:r>
      <w:r>
        <w:rPr>
          <w:rStyle w:val="FootnoteReference"/>
        </w:rPr>
        <w:footnoteReference w:customMarkFollows="1" w:id="7"/>
        <w:t xml:space="preserve">6</w:t>
      </w:r>
      <w:r w:rsidRPr="000B6375">
        <w:t>,</w:t>
      </w:r>
    </w:p>
    <w:p w:rsidR="003F7594" w:rsidRPr="000B6375" w:rsidP="003F7594" w14:paraId="3DBC7972" w14:textId="77777777">
      <w:pPr>
        <w:pStyle w:val="NormalHanging"/>
      </w:pPr>
      <w:r w:rsidRPr="000B6375">
        <w:t>–</w:t>
      </w:r>
      <w:r w:rsidRPr="000B6375">
        <w:tab/>
        <w:t>uwzględniając Porozumienie międzyinstytucjonalne z dnia 16 grudnia 2020 r. między Parlamentem Europejskim, Radą Unii Europejskiej i Komisją Europejską w sprawie dyscypliny budżetowej, współpracy w kwestiach budżetowych i należytego zarządzania finansami oraz w sprawie nowych zasobów własnych, w tym również harmonogramu wprowadzania nowych zasobów własnych</w:t>
      </w:r>
      <w:r>
        <w:rPr>
          <w:rStyle w:val="FootnoteReference"/>
        </w:rPr>
        <w:footnoteReference w:customMarkFollows="1" w:id="8"/>
        <w:t xml:space="preserve">7</w:t>
      </w:r>
      <w:r w:rsidRPr="000B6375">
        <w:t xml:space="preserve"> (porozumienie międzyinstytucjonalne),</w:t>
      </w:r>
    </w:p>
    <w:p w:rsidR="003F7594" w:rsidRPr="000B6375" w:rsidP="003F7594" w14:paraId="028BE515" w14:textId="77777777">
      <w:pPr>
        <w:pStyle w:val="NormalHanging"/>
      </w:pPr>
      <w:r w:rsidRPr="000B6375">
        <w:t>–</w:t>
      </w:r>
      <w:r w:rsidRPr="000B6375">
        <w:tab/>
        <w:t>uwzględniając swoje stanowisko z dnia 16 grudnia 2020 r. w sprawie projektu rozporządzenia Rady określającego wieloletnie ramy finansowe na lata 2021–2027</w:t>
      </w:r>
      <w:r>
        <w:rPr>
          <w:rStyle w:val="FootnoteReference"/>
        </w:rPr>
        <w:footnoteReference w:customMarkFollows="1" w:id="9"/>
        <w:t xml:space="preserve">8</w:t>
      </w:r>
      <w:r w:rsidRPr="000B6375">
        <w:t>,</w:t>
      </w:r>
    </w:p>
    <w:p w:rsidR="003F7594" w:rsidRPr="000B6375" w:rsidP="003F7594" w14:paraId="4BE001DD" w14:textId="77777777">
      <w:pPr>
        <w:pStyle w:val="NormalHanging"/>
      </w:pPr>
      <w:r w:rsidRPr="000B6375">
        <w:t>–</w:t>
      </w:r>
      <w:r w:rsidRPr="000B6375">
        <w:tab/>
        <w:t>uwzględniając sprawozdanie roczne Europejskiego Trybunału Obrachunkowego (ETO) z dnia 10 października 2024 r. dotyczące wykonania budżetu za rok budżetowy 2023 wraz z odpowiedziami instytucji,</w:t>
      </w:r>
    </w:p>
    <w:p w:rsidR="003F7594" w:rsidRPr="000B6375" w:rsidP="003F7594" w14:paraId="6BB44DB5" w14:textId="77777777">
      <w:pPr>
        <w:pStyle w:val="NormalHanging"/>
      </w:pPr>
      <w:r w:rsidRPr="000B6375">
        <w:t>–</w:t>
      </w:r>
      <w:r w:rsidRPr="000B6375">
        <w:tab/>
        <w:t>uwzględniając sprawozdania specjalne ETO: 13/2024 z dnia 2 września 2024 r. pt. „Absorpcja środków z Instrumentu na rzecz Odbudowy i Zwiększania Odporności – Postępy są powolne, a ukończenie działań i tym samym osiągnięcie celów RRF jest wciąż niepewne”, 14/2024 z dnia 11 września 2024 r. pt. „Transformacja ekologiczna – Wkład RRF nie jest jasny” oraz 22/2024 z dnia 21 października 2024 r. pt. „Podwójne finansowanie z budżetu UE – W systemach kontroli brakuje istotnych elementów, które zredukowałyby zwiększone ryzyko wynikające z zastosowanego w RRF modelu finansowania niepowiązanego z kosztami”,</w:t>
      </w:r>
    </w:p>
    <w:p w:rsidR="003F7594" w:rsidRPr="000B6375" w:rsidP="003F7594" w14:paraId="7F160219" w14:textId="77777777">
      <w:pPr>
        <w:pStyle w:val="NormalHanging"/>
      </w:pPr>
      <w:r w:rsidRPr="000B6375">
        <w:t>–</w:t>
      </w:r>
      <w:r w:rsidRPr="000B6375">
        <w:tab/>
        <w:t>uwzględniając przegląd ETO 03/2025 z dnia 16 czerwca 2025 r. pt. „Wieloletnie ramy finansowe na okres po 2027 r. – szansa na wprowadzenie zmian” oraz przegląd ETO 04/2025 z dnia 19 czerwca 2025 r. pt. „Przyszłość polityki spójności UE: wnioski z dotychczasowych doświadczeń”,</w:t>
      </w:r>
    </w:p>
    <w:p w:rsidR="003F7594" w:rsidRPr="000B6375" w:rsidP="003F7594" w14:paraId="0A5B8846" w14:textId="77777777">
      <w:pPr>
        <w:pStyle w:val="NormalHanging"/>
      </w:pPr>
      <w:r w:rsidRPr="000B6375">
        <w:t>–</w:t>
      </w:r>
      <w:r w:rsidRPr="000B6375">
        <w:tab/>
        <w:t>uwzględniając swoją rezolucję z dnia 7 maja 2025 r. w sprawie zmienionego budżetu długoterminowego dla Unii w zmieniającym się świecie oraz opinię Komisji Kontroli Budżetowej dla Komisji Budżetowej w sprawie zmienionego budżetu długoterminowego Unii w zmieniającym się świecie</w:t>
      </w:r>
      <w:r>
        <w:rPr>
          <w:rStyle w:val="FootnoteReference"/>
        </w:rPr>
        <w:footnoteReference w:customMarkFollows="1" w:id="10"/>
        <w:t xml:space="preserve">9</w:t>
      </w:r>
      <w:r w:rsidRPr="000B6375">
        <w:t>,</w:t>
      </w:r>
    </w:p>
    <w:p w:rsidR="003F7594" w:rsidRPr="000B6375" w:rsidP="003F7594" w14:paraId="74879D66" w14:textId="77777777">
      <w:pPr>
        <w:pStyle w:val="NormalHanging"/>
      </w:pPr>
      <w:r w:rsidRPr="000B6375">
        <w:t>–</w:t>
      </w:r>
      <w:r w:rsidRPr="000B6375">
        <w:tab/>
        <w:t>uwzględniając sprawozdanie swojej Komisji Kontroli Budżetowej z dnia 23 kwietnia 2025 r. w sprawie absolutorium z wykonania budżetu ogólnego Unii Europejskiej za rok budżetowy 2023, sekcja III – Komisja, agencje wykonawcze oraz dziewiąty, dziesiąty i jedenasty Europejski Fundusz Rozwoju,</w:t>
      </w:r>
    </w:p>
    <w:p w:rsidR="003F7594" w:rsidRPr="000B6375" w:rsidP="003F7594" w14:paraId="11AE4632" w14:textId="77777777">
      <w:pPr>
        <w:pStyle w:val="NormalHanging"/>
      </w:pPr>
      <w:r w:rsidRPr="000B6375">
        <w:t>–</w:t>
      </w:r>
      <w:r w:rsidRPr="000B6375">
        <w:tab/>
        <w:t>uwzględniając sprawozdanie Komisji z grudnia 2023 r. pt. „</w:t>
      </w:r>
      <w:r w:rsidRPr="000B6375">
        <w:t>Study</w:t>
      </w:r>
      <w:r w:rsidRPr="000B6375">
        <w:t xml:space="preserve"> </w:t>
      </w:r>
      <w:r w:rsidRPr="000B6375">
        <w:t>supporting</w:t>
      </w:r>
      <w:r w:rsidRPr="000B6375">
        <w:t xml:space="preserve"> the </w:t>
      </w:r>
      <w:r w:rsidRPr="000B6375">
        <w:t>mid</w:t>
      </w:r>
      <w:r w:rsidRPr="000B6375">
        <w:t xml:space="preserve">-term Evaluation of the </w:t>
      </w:r>
      <w:r w:rsidRPr="000B6375">
        <w:t>Recovery</w:t>
      </w:r>
      <w:r w:rsidRPr="000B6375">
        <w:t xml:space="preserve"> and </w:t>
      </w:r>
      <w:r w:rsidRPr="000B6375">
        <w:t>Resilience</w:t>
      </w:r>
      <w:r w:rsidRPr="000B6375">
        <w:t xml:space="preserve"> </w:t>
      </w:r>
      <w:r w:rsidRPr="000B6375">
        <w:t>Facility</w:t>
      </w:r>
      <w:r w:rsidRPr="000B6375">
        <w:t>” [Badanie potwierdzające śródokresową ocenę Instrumentu na rzecz Odbudowy i Zwiększania Odporności],</w:t>
      </w:r>
    </w:p>
    <w:p w:rsidR="003F7594" w:rsidRPr="000B6375" w:rsidP="003F7594" w14:paraId="65C7B49E" w14:textId="77777777">
      <w:pPr>
        <w:pStyle w:val="NormalHanging"/>
      </w:pPr>
      <w:r w:rsidRPr="000B6375">
        <w:t>–</w:t>
      </w:r>
      <w:r w:rsidRPr="000B6375">
        <w:tab/>
        <w:t>uwzględniając sprawozdanie roczne Prokuratury Europejskiej (EPPO) za 2024 r. opublikowane dnia 3 marca 2025 r.,</w:t>
      </w:r>
    </w:p>
    <w:p w:rsidR="003F7594" w:rsidRPr="000B6375" w:rsidP="003F7594" w14:paraId="3969040A" w14:textId="77777777">
      <w:pPr>
        <w:pStyle w:val="NormalHanging"/>
      </w:pPr>
      <w:r w:rsidRPr="000B6375">
        <w:t>–</w:t>
      </w:r>
      <w:r w:rsidRPr="000B6375">
        <w:tab/>
        <w:t xml:space="preserve">uwzględniając raport Maria </w:t>
      </w:r>
      <w:r w:rsidRPr="000B6375">
        <w:t>Draghiego</w:t>
      </w:r>
      <w:r w:rsidRPr="000B6375">
        <w:t xml:space="preserve"> z września 2024 r. na temat przyszłości europejskiej konkurencyjności (raport </w:t>
      </w:r>
      <w:r w:rsidRPr="000B6375">
        <w:t>Draghiego</w:t>
      </w:r>
      <w:r w:rsidRPr="000B6375">
        <w:t>),</w:t>
      </w:r>
    </w:p>
    <w:p w:rsidR="003F7594" w:rsidRPr="000B6375" w:rsidP="003F7594" w14:paraId="0CCCCA07" w14:textId="77777777">
      <w:pPr>
        <w:pStyle w:val="NormalHanging"/>
      </w:pPr>
      <w:r w:rsidRPr="000B6375">
        <w:t>–</w:t>
      </w:r>
      <w:r w:rsidRPr="000B6375">
        <w:tab/>
        <w:t>uwzględniając opinię Europejskiego Komitetu Regionów z dnia 8 października 2024 r. pt. „Śródokresowy przegląd europejskiego planu odbudowy po pandemii COVID-19 (Instrument na rzecz Odbudowy i Zwiększania Odporności)”</w:t>
      </w:r>
      <w:r>
        <w:rPr>
          <w:rStyle w:val="FootnoteReference"/>
        </w:rPr>
        <w:footnoteReference w:customMarkFollows="1" w:id="11"/>
        <w:t xml:space="preserve">10</w:t>
      </w:r>
      <w:r w:rsidRPr="000B6375">
        <w:t>,</w:t>
      </w:r>
    </w:p>
    <w:p w:rsidR="003F7594" w:rsidRPr="000B6375" w:rsidP="003F7594" w14:paraId="276F3294" w14:textId="77777777">
      <w:pPr>
        <w:pStyle w:val="NormalHanging"/>
      </w:pPr>
      <w:r w:rsidRPr="000B6375">
        <w:t>–</w:t>
      </w:r>
      <w:r w:rsidRPr="000B6375">
        <w:tab/>
        <w:t>uwzględniając informacje opublikowane w tabeli wyników w zakresie odbudowy i zwiększania odporności (tabela wyników RRF),</w:t>
      </w:r>
    </w:p>
    <w:p w:rsidR="003F7594" w:rsidRPr="000B6375" w:rsidP="003F7594" w14:paraId="6FF42EE8" w14:textId="77777777">
      <w:pPr>
        <w:pStyle w:val="NormalHanging"/>
      </w:pPr>
      <w:r w:rsidRPr="000B6375">
        <w:t>–</w:t>
      </w:r>
      <w:r w:rsidRPr="000B6375">
        <w:tab/>
        <w:t>uwzględniając wewnętrzne badania, dogłębne analizy i briefingi dotyczące wdrażania RRF,</w:t>
      </w:r>
    </w:p>
    <w:p w:rsidR="003F7594" w:rsidRPr="000B6375" w:rsidP="003F7594" w14:paraId="05B85DA4" w14:textId="77777777">
      <w:pPr>
        <w:pStyle w:val="NormalHanging"/>
      </w:pPr>
      <w:r w:rsidRPr="000B6375">
        <w:t>–</w:t>
      </w:r>
      <w:r w:rsidRPr="000B6375">
        <w:tab/>
        <w:t xml:space="preserve">uwzględniając raport Enrica </w:t>
      </w:r>
      <w:r w:rsidRPr="000B6375">
        <w:t>Letty</w:t>
      </w:r>
      <w:r w:rsidRPr="000B6375">
        <w:t xml:space="preserve"> z dnia 17 kwietnia 2024 r. pt. </w:t>
      </w:r>
      <w:r w:rsidRPr="00EC2AA3">
        <w:rPr>
          <w:lang w:val="en-GB"/>
        </w:rPr>
        <w:t>„Much more than a market – speed, security, solidarity: empowering the Single Market to deliver a sustainable future and prosperity for all EU Citizens” [</w:t>
      </w:r>
      <w:r w:rsidRPr="00EC2AA3">
        <w:rPr>
          <w:lang w:val="en-GB"/>
        </w:rPr>
        <w:t>Znacznie</w:t>
      </w:r>
      <w:r w:rsidRPr="00EC2AA3">
        <w:rPr>
          <w:lang w:val="en-GB"/>
        </w:rPr>
        <w:t xml:space="preserve"> </w:t>
      </w:r>
      <w:r w:rsidRPr="00EC2AA3">
        <w:rPr>
          <w:lang w:val="en-GB"/>
        </w:rPr>
        <w:t>więcej</w:t>
      </w:r>
      <w:r w:rsidRPr="00EC2AA3">
        <w:rPr>
          <w:lang w:val="en-GB"/>
        </w:rPr>
        <w:t xml:space="preserve"> </w:t>
      </w:r>
      <w:r w:rsidRPr="00EC2AA3">
        <w:rPr>
          <w:lang w:val="en-GB"/>
        </w:rPr>
        <w:t>niż</w:t>
      </w:r>
      <w:r w:rsidRPr="00EC2AA3">
        <w:rPr>
          <w:lang w:val="en-GB"/>
        </w:rPr>
        <w:t xml:space="preserve"> </w:t>
      </w:r>
      <w:r w:rsidRPr="00EC2AA3">
        <w:rPr>
          <w:lang w:val="en-GB"/>
        </w:rPr>
        <w:t>rynek</w:t>
      </w:r>
      <w:r w:rsidRPr="00EC2AA3">
        <w:rPr>
          <w:lang w:val="en-GB"/>
        </w:rPr>
        <w:t xml:space="preserve">. </w:t>
      </w:r>
      <w:r w:rsidRPr="000B6375">
        <w:t xml:space="preserve">Szybkość, bezpieczeństwo, solidarność – wzmocnienie jednolitego rynku w celu zapewnienia zrównoważonej przyszłości i dobrobytu wszystkim obywatelom UE] (raport </w:t>
      </w:r>
      <w:r w:rsidRPr="000B6375">
        <w:t>Letty</w:t>
      </w:r>
      <w:r w:rsidRPr="000B6375">
        <w:t>),</w:t>
      </w:r>
    </w:p>
    <w:p w:rsidR="003F7594" w:rsidRPr="000B6375" w:rsidP="003F7594" w14:paraId="0CED0AAA" w14:textId="77777777">
      <w:pPr>
        <w:pStyle w:val="NormalHanging"/>
      </w:pPr>
      <w:r w:rsidRPr="000B6375">
        <w:t>–</w:t>
      </w:r>
      <w:r w:rsidRPr="000B6375">
        <w:tab/>
        <w:t>uwzględniając sprawozdanie grupy wysokiego szczebla Komisji ds. przyszłości polityki spójności z dnia 20 lutego 2024 r. pt. „</w:t>
      </w:r>
      <w:r w:rsidRPr="000B6375">
        <w:t>Forging</w:t>
      </w:r>
      <w:r w:rsidRPr="000B6375">
        <w:t xml:space="preserve"> a </w:t>
      </w:r>
      <w:r w:rsidRPr="000B6375">
        <w:t>sustainable</w:t>
      </w:r>
      <w:r w:rsidRPr="000B6375">
        <w:t xml:space="preserve"> </w:t>
      </w:r>
      <w:r w:rsidRPr="000B6375">
        <w:t>future</w:t>
      </w:r>
      <w:r w:rsidRPr="000B6375">
        <w:t xml:space="preserve"> </w:t>
      </w:r>
      <w:r w:rsidRPr="000B6375">
        <w:t>together</w:t>
      </w:r>
      <w:r w:rsidRPr="000B6375">
        <w:t xml:space="preserve"> – </w:t>
      </w:r>
      <w:r w:rsidRPr="000B6375">
        <w:t>cohesion</w:t>
      </w:r>
      <w:r w:rsidRPr="000B6375">
        <w:t xml:space="preserve"> for a </w:t>
      </w:r>
      <w:r w:rsidRPr="000B6375">
        <w:t>competitive</w:t>
      </w:r>
      <w:r w:rsidRPr="000B6375">
        <w:t xml:space="preserve"> and inclusive Europe” [Budując zrównoważoną przyszłość razem – spójność na rzecz Europy konkurencyjnej i sprzyjającej włączeniu społecznemu],</w:t>
      </w:r>
    </w:p>
    <w:p w:rsidR="003F7594" w:rsidRPr="000B6375" w:rsidP="003F7594" w14:paraId="7CBEC411" w14:textId="77777777">
      <w:pPr>
        <w:pStyle w:val="NormalHanging"/>
      </w:pPr>
      <w:r w:rsidRPr="000B6375">
        <w:t>–</w:t>
      </w:r>
      <w:r w:rsidRPr="000B6375">
        <w:tab/>
        <w:t>uwzględniając komunikat Komisji z dnia 11 lutego 2025 r. pt. „Droga ku następnym wieloletnim ramom finansowym” (COM(2025)0046),</w:t>
      </w:r>
    </w:p>
    <w:p w:rsidR="003F7594" w:rsidRPr="000B6375" w:rsidP="003F7594" w14:paraId="3D74B5BD" w14:textId="77777777">
      <w:pPr>
        <w:pStyle w:val="NormalHanging"/>
      </w:pPr>
      <w:r w:rsidRPr="000B6375">
        <w:t>–</w:t>
      </w:r>
      <w:r w:rsidRPr="000B6375">
        <w:tab/>
        <w:t>uwzględniając komunikat Komisji z dnia 29 stycznia 2025 r. pt. „Kompas konkurencyjności dla UE” (COM(2025)0030),</w:t>
      </w:r>
    </w:p>
    <w:p w:rsidR="003F7594" w:rsidRPr="000B6375" w:rsidP="003F7594" w14:paraId="416CED59" w14:textId="77777777">
      <w:pPr>
        <w:pStyle w:val="NormalHanging"/>
      </w:pPr>
      <w:r w:rsidRPr="000B6375">
        <w:t>–</w:t>
      </w:r>
      <w:r w:rsidRPr="000B6375">
        <w:tab/>
        <w:t>uwzględniając konkluzje Rady Europejskiej z dnia 20 marca 2025 r., 6 marca 2025 r. oraz 19 grudnia 2024 r.,</w:t>
      </w:r>
    </w:p>
    <w:p w:rsidR="003F7594" w:rsidRPr="000B6375" w:rsidP="003F7594" w14:paraId="0ADA596F" w14:textId="77777777">
      <w:pPr>
        <w:pStyle w:val="NormalHanging"/>
      </w:pPr>
      <w:r w:rsidRPr="000B6375">
        <w:t>–</w:t>
      </w:r>
      <w:r w:rsidRPr="000B6375">
        <w:tab/>
        <w:t>uwzględniając wytyczne polityczne na kadencję Komisji 2024–2029, przedstawione dnia 18 lipca 2024 r. przez kandydatkę na przewodniczącą Komisji,</w:t>
      </w:r>
    </w:p>
    <w:p w:rsidR="003F7594" w:rsidRPr="000B6375" w:rsidP="003F7594" w14:paraId="75A5B297" w14:textId="77777777">
      <w:pPr>
        <w:pStyle w:val="NormalHanging"/>
      </w:pPr>
      <w:r w:rsidRPr="000B6375">
        <w:t>–</w:t>
      </w:r>
      <w:r w:rsidRPr="000B6375">
        <w:tab/>
        <w:t>uwzględniając opinię Europejskiego Komitetu Regionów z dnia 20 listopada 2024 r. pt. „Budżet UE i polityka ukierunkowana na konkretny obszar: propozycje dotyczące nowych mechanizmów projektowania i realizacji w kontekście WRF na okres po 2027 r.”</w:t>
      </w:r>
      <w:r>
        <w:rPr>
          <w:rStyle w:val="FootnoteReference"/>
        </w:rPr>
        <w:footnoteReference w:customMarkFollows="1" w:id="12"/>
        <w:t xml:space="preserve">11</w:t>
      </w:r>
      <w:r w:rsidRPr="000B6375">
        <w:t>,</w:t>
      </w:r>
    </w:p>
    <w:p w:rsidR="003F7594" w:rsidRPr="000B6375" w:rsidP="003F7594" w14:paraId="70C13EB1" w14:textId="77777777">
      <w:pPr>
        <w:pStyle w:val="NormalHanging"/>
      </w:pPr>
      <w:r w:rsidRPr="000B6375">
        <w:t>–</w:t>
      </w:r>
      <w:r w:rsidRPr="000B6375">
        <w:tab/>
        <w:t>uwzględniając wniosek Komisji z dnia 16 lipca 2025 r. dotyczący rozporządzenia Parlamentu Europejskiego i Rady ustanawiającego ramy monitorowania wydatków budżetowych i ramy wykonania budżetu oraz inne przepisy horyzontalne dla programów i działań Unii (COM(2025)0545),</w:t>
      </w:r>
    </w:p>
    <w:p w:rsidR="003F7594" w:rsidRPr="000B6375" w:rsidP="003F7594" w14:paraId="408F059C" w14:textId="77777777">
      <w:pPr>
        <w:pStyle w:val="NormalHanging"/>
      </w:pPr>
      <w:r w:rsidRPr="000B6375">
        <w:t>–</w:t>
      </w:r>
      <w:r w:rsidRPr="000B6375">
        <w:tab/>
        <w:t>uwzględniając swoją rezolucję z dnia 18 czerwca 2025 r. w sprawie wdrażania Instrumentu na rzecz Odbudowy i Zwiększania Odporności</w:t>
      </w:r>
      <w:r>
        <w:rPr>
          <w:rStyle w:val="FootnoteReference"/>
        </w:rPr>
        <w:footnoteReference w:customMarkFollows="1" w:id="13"/>
        <w:t xml:space="preserve">12</w:t>
      </w:r>
      <w:r w:rsidRPr="000B6375">
        <w:t>,</w:t>
      </w:r>
    </w:p>
    <w:p w:rsidR="003F7594" w:rsidRPr="000B6375" w:rsidP="003F7594" w14:paraId="49D70E82" w14:textId="77777777">
      <w:pPr>
        <w:pStyle w:val="NormalHanging"/>
      </w:pPr>
      <w:r w:rsidRPr="000B6375">
        <w:t>–</w:t>
      </w:r>
      <w:r w:rsidRPr="000B6375">
        <w:tab/>
        <w:t>uwzględniając sprawozdanie Komisji Kontroli Budżetowej (A10-0074/2025),</w:t>
      </w:r>
    </w:p>
    <w:p w:rsidR="003F7594" w:rsidRPr="000B6375" w:rsidP="003F7594" w14:paraId="5A546D16" w14:textId="77777777">
      <w:pPr>
        <w:pStyle w:val="NormalHanging"/>
      </w:pPr>
      <w:r w:rsidRPr="000B6375">
        <w:t>–</w:t>
      </w:r>
      <w:r w:rsidRPr="000B6375">
        <w:tab/>
        <w:t>uwzględniając art. 55 i art. 148 ust. 2 Regulaminu,</w:t>
      </w:r>
    </w:p>
    <w:p w:rsidR="003F7594" w:rsidRPr="000B6375" w:rsidP="003F7594" w14:paraId="73E9D95A" w14:textId="77777777">
      <w:pPr>
        <w:pStyle w:val="NormalHanging"/>
      </w:pPr>
      <w:r w:rsidRPr="000B6375">
        <w:t>–</w:t>
      </w:r>
      <w:r w:rsidRPr="000B6375">
        <w:tab/>
        <w:t>uwzględniając sprawozdanie Komisji Kontroli Budżetowej (A10-0022/2026),</w:t>
      </w:r>
    </w:p>
    <w:p w:rsidR="003F7594" w:rsidRPr="000B6375" w:rsidP="003F7594" w14:paraId="6D445544" w14:textId="77777777">
      <w:pPr>
        <w:pStyle w:val="NormalHanging12a"/>
      </w:pPr>
      <w:r w:rsidRPr="000B6375">
        <w:t>A.</w:t>
      </w:r>
      <w:r w:rsidRPr="000B6375">
        <w:tab/>
        <w:t>mając na uwadze, że coraz większa liczba priorytetów politycznych UE wywiera dodatkową presję na budżet UE, co sprawia, że odpowiedzialne wykorzystanie dostępnych zasobów finansowych ma większe znaczenie niż kiedykolwiek; mając na uwadze, że zgodnie z definicją zawartą w rozporządzeniu finansowym należyte zarządzanie finansami wymaga wydatkowania środków finansowych UE zgodnie z zasadami oszczędności, wydajności i skuteczności, by zasoby były wykorzystywane w sposób efektywny kosztowo, by cele były osiągane w odpowiednim czasie, przy zapewnieniu odpowiedniej ilości i najlepszej ceny, a także by osiągać zamierzone wyniki i oddziaływanie; mając na uwadze, że tym bardziej konieczne jest zachowanie czujności w zarządzaniu finansami, aby zagwarantować, że wydatki przyniosą możliwy do wykazania zwrot z inwestycji pod względem wzrostu gospodarczego, konkurencyjności i realizacji priorytetów UE;</w:t>
      </w:r>
    </w:p>
    <w:p w:rsidR="003F7594" w:rsidRPr="000B6375" w:rsidP="003F7594" w14:paraId="71881067" w14:textId="77777777">
      <w:pPr>
        <w:pStyle w:val="NormalHanging"/>
      </w:pPr>
      <w:r w:rsidRPr="000B6375">
        <w:t>B.</w:t>
      </w:r>
      <w:r w:rsidRPr="000B6375">
        <w:tab/>
        <w:t>mając na uwadze, że jeśli finansowanie unijne przyjmuje formę wsparcia niepowiązanego ze zwrotem kosztów kwalifikowalnych, a powiązanego z rezultatami, produktami lub innymi wskaźnikami wykonania, płatności zależą od osiągnięcia wcześniej określonych kamieni milowych lub wartości docelowych, które trzeba zweryfikować przed dokonaniem wypłaty;</w:t>
      </w:r>
    </w:p>
    <w:p w:rsidR="003F7594" w:rsidRPr="000B6375" w:rsidP="003F7594" w14:paraId="0BEA459E" w14:textId="77777777">
      <w:pPr>
        <w:pStyle w:val="NormalHanging"/>
      </w:pPr>
      <w:r w:rsidRPr="000B6375">
        <w:t>C.</w:t>
      </w:r>
      <w:r w:rsidRPr="000B6375">
        <w:tab/>
        <w:t>mając na uwadze, że podejście to, zakładające oddzielenie wypłat od rzeczywistych wydatków, ogranicza dostęp do danych na temat rzeczywistych kosztów, a tym samym utrudnia ocenę oszczędności, wydajności i skuteczności; zwraca uwagę, że ta luka w danych uniemożliwia systematyczne wykrywanie nieprawidłowości, ryzyka nadużyć finansowych i podwójnego finansowania oraz osłabia zdolność Unii do stosowania mechanizmów wczesnego ostrzegania i opartych na danych ocen ryzyka;</w:t>
      </w:r>
    </w:p>
    <w:p w:rsidR="003F7594" w:rsidRPr="000B6375" w:rsidP="003F7594" w14:paraId="357D7E2A" w14:textId="77777777">
      <w:pPr>
        <w:pStyle w:val="NormalHanging"/>
      </w:pPr>
      <w:r w:rsidRPr="000B6375">
        <w:t>D.</w:t>
      </w:r>
      <w:r w:rsidRPr="000B6375">
        <w:tab/>
        <w:t>mając na uwadze, że nieweryfikowanie wydatków zwiększa ryzyko niedokładności w szacunkach kosztów, co podważa należyte zarządzanie finansami, przejrzystość i rozliczalność; mając na uwadze, że ETO wielokrotnie ostrzegał o niedociągnięciach w ocenach kosztów, zmienności krajowych standardów kontroli oraz uchybieniach w zdolnościach nadzorczych Komisji;</w:t>
      </w:r>
    </w:p>
    <w:p w:rsidR="003F7594" w:rsidRPr="000B6375" w:rsidP="003F7594" w14:paraId="2A5DDAD7" w14:textId="77777777">
      <w:pPr>
        <w:pStyle w:val="NormalHanging"/>
      </w:pPr>
      <w:r w:rsidRPr="000B6375">
        <w:t>E.</w:t>
      </w:r>
      <w:r w:rsidRPr="000B6375">
        <w:tab/>
        <w:t xml:space="preserve">mając na uwadze, że duża swoboda w ocenie, czy kamienie milowe i wartości docelowe zostały osiągnięte, może prowadzić do nierównego traktowania państw członkowskich </w:t>
      </w:r>
      <w:r w:rsidRPr="000B6375">
        <w:t>przez Komisję lub do przedwczesnego uwolnienia środków, zanim jeszcze warunki ich wypłaty zostaną w pełni spełnione;</w:t>
      </w:r>
    </w:p>
    <w:p w:rsidR="003F7594" w:rsidRPr="000B6375" w:rsidP="003F7594" w14:paraId="6DA12BD1" w14:textId="77777777">
      <w:pPr>
        <w:pStyle w:val="NormalHanging"/>
      </w:pPr>
      <w:r w:rsidRPr="000B6375">
        <w:t>F.</w:t>
      </w:r>
      <w:r w:rsidRPr="000B6375">
        <w:tab/>
        <w:t>mając na uwadze, że ETO stwierdził uchybienia w koncepcji systemu kontroli Instrumentu na rzecz Odbudowy i Zwiększania Odporności, w tym nadmierne poleganie na organach krajowych, niekompletne ścieżki audytu, błędy systemowe i ryzyko niespójnego stosowania w państwach członkowskich; zauważa, że słabości te pogłębia fragmentacja i niekompatybilność krajowych systemów danych, co utrudnia interoperacyjność, terminowe wykrywanie ryzyka i skuteczną ochronę danych osobowych podczas operacji audytowych i kontrolnych;</w:t>
      </w:r>
    </w:p>
    <w:p w:rsidR="003F7594" w:rsidRPr="000B6375" w:rsidP="003F7594" w14:paraId="5B1AD63A" w14:textId="77777777">
      <w:pPr>
        <w:pStyle w:val="NormalHanging"/>
      </w:pPr>
      <w:r w:rsidRPr="000B6375">
        <w:t>G.</w:t>
      </w:r>
      <w:r w:rsidRPr="000B6375">
        <w:tab/>
        <w:t>mając na uwadze, że kontrola instrumentów opartych na wynikach zależy od wiarygodności krajowych mechanizmów monitorowania; mając na uwadze, że niedociągnięcia w zakresie praworządności zwiększają zagrożenie dla interesów finansowych UE, ponieważ ochrona tych interesów zależy od niezależnego sądownictwa i niezależnych organów ds. zwalczania nadużyć finansowych;</w:t>
      </w:r>
    </w:p>
    <w:p w:rsidR="003F7594" w:rsidRPr="000B6375" w:rsidP="003F7594" w14:paraId="2F995F17" w14:textId="77777777">
      <w:pPr>
        <w:pStyle w:val="NormalHanging"/>
      </w:pPr>
      <w:r w:rsidRPr="000B6375">
        <w:t>H.</w:t>
      </w:r>
      <w:r w:rsidRPr="000B6375">
        <w:tab/>
        <w:t>mając na uwadze, że demokratyczna rozliczalność wymaga zabezpieczenia roli Parlamentu jako prawodawcy oraz organu budżetowego i udzielającego absolutorium za pomocą rygorystycznych mechanizmów rozliczalności i pełnej przejrzystości w odniesieniu do odbiorców końcowych środków unijnych, a także mając na uwadze, że państwa członkowskie i inne organy krajowe nie powinny być uznawane za odbiorców końcowych finansowania unijnego;</w:t>
      </w:r>
    </w:p>
    <w:p w:rsidR="003F7594" w:rsidRPr="000B6375" w:rsidP="003F7594" w14:paraId="29E1BE0A" w14:textId="77777777">
      <w:pPr>
        <w:pStyle w:val="Normal12a"/>
      </w:pPr>
      <w:r w:rsidRPr="000B6375">
        <w:rPr>
          <w:b/>
          <w:i/>
        </w:rPr>
        <w:t>Wyzwania związane z przejrzystością, rozliczalnością i skuteczną kontrolą instrumentów opartych na wynikach</w:t>
      </w:r>
    </w:p>
    <w:p w:rsidR="003F7594" w:rsidRPr="000B6375" w:rsidP="003F7594" w14:paraId="54444073" w14:textId="77777777">
      <w:pPr>
        <w:pStyle w:val="NormalHanging12a"/>
      </w:pPr>
      <w:r w:rsidRPr="000B6375">
        <w:t>1.</w:t>
      </w:r>
      <w:r w:rsidRPr="000B6375">
        <w:tab/>
        <w:t>podkreśla, że – jak stwierdzono w sprawozdaniu finansowym – instrumenty oparte na wynikach muszą być zgodne z zasadami legalności, prawidłowości, oszczędności, wydajności i skuteczności oraz że uproszczenie nigdy nie powinno odbywać się kosztem należytego zarządzania finansami i przejrzystości; apeluje o oparte na analizie ryzyka i proporcjonalne kontrole oraz nalega, aby wskaźniki dotyczące instrumentów opartych na wynikach odzwierciedlały wymierne rezultaty i wartość dodaną UE, a nie tylko wcześniej określone produkty; podkreśla, że odpowiednio zaprojektowane instrumenty tego rodzaju mogą zwiększyć nacisk na wyniki, reformy i konkurencyjność;</w:t>
      </w:r>
    </w:p>
    <w:p w:rsidR="003F7594" w:rsidRPr="000B6375" w:rsidP="003F7594" w14:paraId="59696C2B" w14:textId="77777777">
      <w:pPr>
        <w:pStyle w:val="NormalHanging12a"/>
      </w:pPr>
      <w:r w:rsidRPr="000B6375">
        <w:t>2.</w:t>
      </w:r>
      <w:r w:rsidRPr="000B6375">
        <w:tab/>
        <w:t>zauważa, że Instrument na rzecz Odbudowy i Zwiększania Odporności (RRF) – skoncentrowany na wypłacaniu środków w oparciu o zadowalającą realizację kamieni milowych i wartości docelowych – jest pierwszym ważnym instrumentem opartym na wynikach na szczeblu UE, opierającym się wyłącznie na finansowaniu niepowiązanym z kosztami odnośnych operacji; zauważa ponadto, że model RRF został powielony w innych instrumentach finansowych, takich jak Instrument na rzecz Ukrainy i Instrument na rzecz Bałkanów Zachodnich; jest zaniepokojony propozycją Komisji dotyczącą wykorzystania podobnego modelu w kolejnych wieloletnich ramach finansowych (WRF) w odniesieniu do większości unijnych programów finansowania, w tym również programów działu 1; zauważa, że RRF w pewnym stopniu zachęcał do niektórych krajowych inwestycji i reform;</w:t>
      </w:r>
    </w:p>
    <w:p w:rsidR="003F7594" w:rsidRPr="000B6375" w:rsidP="003F7594" w14:paraId="3C679925" w14:textId="77777777">
      <w:pPr>
        <w:pStyle w:val="NormalHanging12a"/>
      </w:pPr>
      <w:r w:rsidRPr="000B6375">
        <w:t>3.</w:t>
      </w:r>
      <w:r w:rsidRPr="000B6375">
        <w:tab/>
        <w:t xml:space="preserve">podkreśla, jak ważne jest wyciągnięcie wniosków z krytycznych słabości odnotowanych, i potwierdzonych przez ETO i Komisję, w scentralizowanym, opartym </w:t>
      </w:r>
      <w:r w:rsidRPr="000B6375">
        <w:t xml:space="preserve">na wynikach modelu realizacji RRF; obejmują one ograniczoną rozliczalność i ograniczony nadzór na szczeblu UE nad przestrzeganiem przepisów i regulacji; podkreśla, że przejrzystość w odniesieniu do odbiorców końcowych trzeba zapewnić za pomocą jednolitego, </w:t>
      </w:r>
      <w:r w:rsidRPr="000B6375">
        <w:t>interoperacyjnego</w:t>
      </w:r>
      <w:r w:rsidRPr="000B6375">
        <w:t xml:space="preserve">, </w:t>
      </w:r>
      <w:r w:rsidRPr="000B6375">
        <w:t>ogólnounijnego</w:t>
      </w:r>
      <w:r w:rsidRPr="000B6375">
        <w:t xml:space="preserve"> systemu sprawozdawczości dostępnego dla Komisji, ETO, EPPO i Parlamentu; podkreśla, że unijną wartość dodaną można wzmocnić, zwiększając liczbę projektów transgranicznych i zapewniając odpowiednie uprawnienia decyzyjne podmiotom szczebla niższego niż krajowy, w szczególności władzom lokalnym i regionalnym, w zakresie projektowania i wdrażania instrumentu;</w:t>
      </w:r>
    </w:p>
    <w:p w:rsidR="003F7594" w:rsidRPr="000B6375" w:rsidP="003F7594" w14:paraId="6D6AED04" w14:textId="77777777">
      <w:pPr>
        <w:pStyle w:val="NormalHanging12a"/>
      </w:pPr>
      <w:r w:rsidRPr="000B6375">
        <w:t>4.</w:t>
      </w:r>
      <w:r w:rsidRPr="000B6375">
        <w:tab/>
        <w:t>uważa, że chociaż RRF ma być instrumentem opartym na wynikach, podczas jego wdrażania często priorytetowo traktuje się produkty, a nie rezultaty; wyraża ubolewanie, że niejasno określone kamienie milowe i wartości docelowe, kładące nacisk przede wszystkim na wkład i produkty, a nie na rezultaty, mogą utrudnić osiągnięcie celów RRF; uważa, że w przyszłych instrumentach opartych na wynikach należy ustanowić bardziej szczegółowe kluczowe wskaźniki skuteczności działania, aby zapewnić dostosowanie inwestycji do celów instrumentu, ich pozytywne oddziaływanie i wyraźną wartość dodaną dla UE; wzywa Komisję do dopilnowania, aby przyszłe instrumenty oparte na wynikach były ujednolicone w poszczególnych państwach członkowskich, opracowane w przejrzysty sposób i stabilne w czasie, aby wspierać spójność, rozliczalność i długoterminową skuteczność;</w:t>
      </w:r>
    </w:p>
    <w:p w:rsidR="003F7594" w:rsidRPr="000B6375" w:rsidP="003F7594" w14:paraId="3A13A4B8" w14:textId="77777777">
      <w:pPr>
        <w:pStyle w:val="NormalHanging12a"/>
      </w:pPr>
      <w:r w:rsidRPr="000B6375">
        <w:t>5.</w:t>
      </w:r>
      <w:r w:rsidRPr="000B6375">
        <w:tab/>
        <w:t xml:space="preserve">podkreśla, że poleganie na szacunkach kosztów ex </w:t>
      </w:r>
      <w:r w:rsidRPr="000B6375">
        <w:t>ante</w:t>
      </w:r>
      <w:r w:rsidRPr="000B6375">
        <w:t xml:space="preserve"> bez weryfikacji rzeczywistych wydatków może spowodować strukturalną lukę w zakresie rozliczalności i ograniczyć możliwość oceny stosunku wartości do ceny, a tym samym podważyć zasady oszczędności i skuteczności; podkreśla, że trzeba koniecznie wdrożyć mechanizmy weryfikacji oparte na analizie ryzyka i istotności, z jasno określonymi progami skutkującymi obowiązkowymi kontrolami; wzywa Komisję do systematycznego włączania eksploracji danych, narzędzi kontroli krzyżowej i analiz do przyszłych instrumentów opartych na wynikach w celu wykrywania nieprawidłowości oraz ryzyka korupcji oraz konfliktów interesów;</w:t>
      </w:r>
    </w:p>
    <w:p w:rsidR="003F7594" w:rsidRPr="000B6375" w:rsidP="003F7594" w14:paraId="1EA300D6" w14:textId="77777777">
      <w:pPr>
        <w:pStyle w:val="NormalHanging12a"/>
      </w:pPr>
      <w:r w:rsidRPr="000B6375">
        <w:t>6.</w:t>
      </w:r>
      <w:r w:rsidRPr="000B6375">
        <w:tab/>
        <w:t>jest bardzo zaniepokojony propozycją Komisji dotyczącą powszechnego stosowania finansowania niepowiązanego z kosztami odnośnych operacji w następnych WRF i podkreśla, jak ważne jest ustanowienie odpowiednich zabezpieczeń zapewniających należyte zarządzanie finansami przy wdrażaniu finansowania unijnego; podkreśla, że trzeba dokładnie ocenić tak znaczącą zmianę, jaką jest przejście na stosowanie finansowania niepowiązanego z kosztami odnośnych operacji, biorąc pod uwagę niedociągnięcia stwierdzone w poprzednich lub istniejących instrumentach opartych na wynikach, oraz podkreśla, że trzeba też przeprowadzić kompleksową ocenę RRF;</w:t>
      </w:r>
    </w:p>
    <w:p w:rsidR="003F7594" w:rsidRPr="000B6375" w:rsidP="003F7594" w14:paraId="6E63CAFC" w14:textId="77777777">
      <w:pPr>
        <w:pStyle w:val="NormalHanging12a"/>
      </w:pPr>
      <w:r w:rsidRPr="000B6375">
        <w:t>7.</w:t>
      </w:r>
      <w:r w:rsidRPr="000B6375">
        <w:tab/>
        <w:t xml:space="preserve">wyraża zaniepokojenie rosnącym zadłużeniem UE i kosztami finansowania zewnętrznego; zauważa, że w swoim rocznym sprawozdaniu z 2024 r. ETO szacuje, że do 2027 r. pozostający do spłaty dług UE może przekroczyć 900 mld EUR, czyli wynieść prawie dziesięciokrotnie więcej niż w 2020 r., przed wprowadzeniem pakietu na rzecz odbudowy w ramach instrumentu </w:t>
      </w:r>
      <w:r w:rsidRPr="000B6375">
        <w:t>NextGenerationEU</w:t>
      </w:r>
      <w:r w:rsidRPr="000B6375">
        <w:t xml:space="preserve"> („NGEU”); ostrzega, że rosnące koszty finansowania zewnętrznego stanowią zagrożenie dla przyszłych budżetów i ograniczają przestrzeń fiskalną dla nowych priorytetów;</w:t>
      </w:r>
    </w:p>
    <w:p w:rsidR="003F7594" w:rsidRPr="000B6375" w:rsidP="003F7594" w14:paraId="056F1D10" w14:textId="77777777">
      <w:pPr>
        <w:pStyle w:val="NormalHanging12a"/>
      </w:pPr>
      <w:r w:rsidRPr="000B6375">
        <w:t>8.</w:t>
      </w:r>
      <w:r w:rsidRPr="000B6375">
        <w:tab/>
        <w:t xml:space="preserve">stwierdza, że powszechne stosowanie finansowania niepowiązanego z kosztami odnośnych operacji, choć potencjalnie ogranicza obciążania administracyjne, zwiększa </w:t>
      </w:r>
      <w:r w:rsidRPr="000B6375">
        <w:t>ryzyko nieprawidłowości, podwójnego finansowania i nadużyć finansowych, a tym samym zmniejsza przejrzystość i identyfikowalność środków finansowych UE; podkreśla, że brak powiązania z kosztami może prowadzić do finansowania nieopłacalnych projektów opracowanych w celu osiągnięcia kamieni milowych, a nie uzyskania najlepszego stosunku jakości do ceny; podkreśla rolę kontrolną Parlamentu w nadzorowaniu wykonania budżetu UE, w szczególności jego uprawnienia do udzielania absolutorium; apeluje o solidne zarządzanie w następnych WRF, tak aby Parlament mógł w pełni wykonywać swoją rolę organu udzielającego absolutorium;</w:t>
      </w:r>
    </w:p>
    <w:p w:rsidR="003F7594" w:rsidRPr="000B6375" w:rsidP="003F7594" w14:paraId="12BA9780" w14:textId="77777777">
      <w:pPr>
        <w:pStyle w:val="NormalHanging12a"/>
      </w:pPr>
      <w:r w:rsidRPr="000B6375">
        <w:t>9.</w:t>
      </w:r>
      <w:r w:rsidRPr="000B6375">
        <w:tab/>
        <w:t>odnotowuje obecne we wniosku Komisji dotyczącym WRF na lata 2028–2034 aspekty związane z praworządnością oraz apeluje o jednolite, spójne i kompleksowe ramy we wszystkich unijnych programach finansowania w ramach rozporządzenia dotyczącego warunkowości w zakresie praworządności; apeluje ponadto, aby wszelkie stosowanie finansowania niepowiązanego z kosztami odnośnych operacji było w pełni zgodne z rozporządzeniem;</w:t>
      </w:r>
    </w:p>
    <w:p w:rsidR="003F7594" w:rsidRPr="000B6375" w:rsidP="003F7594" w14:paraId="1B52D52E" w14:textId="77777777">
      <w:pPr>
        <w:pStyle w:val="NormalHanging12a"/>
      </w:pPr>
      <w:r w:rsidRPr="000B6375">
        <w:t>10.</w:t>
      </w:r>
      <w:r w:rsidRPr="000B6375">
        <w:tab/>
        <w:t>zauważa z zaniepokojeniem, że według stanu na koniec 2024 r. EPPO prowadziła 311 spraw związanych z NGEU, z których wszystkie z wyjątkiem czterech dotyczyły RRF, co stanowi około 17 % wszystkich postępowań przygotowawczych w sprawie nadużyć finansowych związanych z wydatkami; odnotowano również wzrost liczby spraw związanych z NGEU o około 51 % w porównaniu z 2023 r.; zauważa ponadto, że szkodę dla interesów finansowych UE szacuje się na 2,8 mld EUR, co stanowi 30 % (w porównaniu z 25 % w 2023 r.) całkowitej szacowanej szkody wynikającej ze wszystkich nadużyć finansowych związanych z wydatkami UE; podkreśla, że liczba spraw zgłaszanych przez instytucje UE pozostaje niska, co budzi dalsze obawy co do zdolności Komisji do skutecznego nadzorowania wdrażania RRF; przypomina, że spośród 27 państw członkowskich UE 24 uczestniczą obecnie w EPPO;</w:t>
      </w:r>
    </w:p>
    <w:p w:rsidR="003F7594" w:rsidRPr="000B6375" w:rsidP="003F7594" w14:paraId="53C90AB8" w14:textId="77777777">
      <w:pPr>
        <w:pStyle w:val="NormalHanging12a"/>
      </w:pPr>
      <w:r w:rsidRPr="000B6375">
        <w:t>11.</w:t>
      </w:r>
      <w:r w:rsidRPr="000B6375">
        <w:tab/>
        <w:t>wyraża zaniepokojenie, że instrumenty oparte na wynikach, wykorzystujące finansowanie niepowiązane z kosztami odnośnych operacji, koncentrują się bardziej na audytach systemów niż na kontrolach faktycznie poniesionych wydatków; ostrzega, że takie audyty systemów mogą nie ujawniać podstawowych problemów, które mogą mieć skutki uboczne i poważnie zagrażać należytemu zarządzaniu finansami w ramach budżetu Unii oraz ochronie interesów finansowych Unii; uważa, że nawet w obecnej architekturze finansowej i obecnym modelu wdrażania finansowania unijnego systemy kontroli kilku państw członkowskich wykazały niedociągnięcia systemowe, które uniemożliwiły wykrycie nadużyć finansowych lub innych nieprawidłowości i zapobieżenie im, jak miało to miejsce w przypadku sprawy OPEKEPE w Grecji lub spraw dotyczących funduszy rozwoju obszarów wiejskich na Słowacji, a także niedawnych spraw w kilku państwach członkowskich, co wskazuje na potrzebę wzmocnienia nadzoru UE; w związku z tym wzywa Komisję do podjęcia zdecydowanych środków naprawczych, wzmocnienia procedur audytu i akredytacji oraz dopilnowania, by podobne błędy systemowe nie powtarzały się, przy jednoczesnym poszanowaniu zasady proporcjonalności w odniesieniu do obowiązków sprawozdawczych i dokumentacyjnych;</w:t>
      </w:r>
    </w:p>
    <w:p w:rsidR="003F7594" w:rsidRPr="000B6375" w:rsidP="003F7594" w14:paraId="62AD19D8" w14:textId="77777777">
      <w:pPr>
        <w:pStyle w:val="NormalHanging12a"/>
      </w:pPr>
      <w:r w:rsidRPr="000B6375">
        <w:t>12.</w:t>
      </w:r>
      <w:r w:rsidRPr="000B6375">
        <w:tab/>
        <w:t xml:space="preserve">z zaniepokojeniem odnotowuje, że w przepisach dotyczących instrumentów opartych na wynikach, takich jak RRF, oraz we wnioskach Komisji dotyczących WRF na lata 2028–2034 brakuje jasnych standardów i progów dotyczących sytuacji, w których krajowe systemy zarządzania i kontroli uznaje się za niewystarczające lub niewiarygodne, w </w:t>
      </w:r>
      <w:r w:rsidRPr="000B6375">
        <w:t xml:space="preserve">związku z czym o środkach naprawczych lub </w:t>
      </w:r>
      <w:r w:rsidRPr="000B6375">
        <w:t>zawieszeniach</w:t>
      </w:r>
      <w:r w:rsidRPr="000B6375">
        <w:t xml:space="preserve"> decyduje się według uznania;</w:t>
      </w:r>
    </w:p>
    <w:p w:rsidR="003F7594" w:rsidRPr="000B6375" w:rsidP="003F7594" w14:paraId="25C56DFA" w14:textId="77777777">
      <w:pPr>
        <w:pStyle w:val="NormalHanging12a"/>
      </w:pPr>
      <w:r w:rsidRPr="000B6375">
        <w:t>13.</w:t>
      </w:r>
      <w:r w:rsidRPr="000B6375">
        <w:tab/>
        <w:t>podkreśla, że powszechne stosowanie finansowania niepowiązanego z kosztami odnośnych operacji wymaga od ETO i krajowych instytucji audytowych znacznego dostosowania działań i przejścia na inne podejście kontrolne; ostrzega, że taka zmiana, bez zapewnienia gotowości instytucji audytowych, będzie stanowić poważne wyzwanie i może stworzyć lukę strukturalną w ścieżce audytu, co będzie miało poważne konsekwencje zarówno dla należytego zarządzania finansami w ramach budżetu Unii, jak i dla procedury udzielania absolutorium;</w:t>
      </w:r>
    </w:p>
    <w:p w:rsidR="003F7594" w:rsidRPr="000B6375" w:rsidP="003F7594" w14:paraId="2218E8FD" w14:textId="77777777">
      <w:pPr>
        <w:pStyle w:val="NormalHanging12a"/>
      </w:pPr>
      <w:r w:rsidRPr="000B6375">
        <w:t>14.</w:t>
      </w:r>
      <w:r w:rsidRPr="000B6375">
        <w:tab/>
        <w:t>ubolewa z powodu niepełnych ścieżek audytu, jakich ETO dopatrzył się w instrumentach opartych na wynikach, takich jak RRF, co nie służy identyfikowalności oraz ogranicza zdolność Parlamentu i ETO do sprawowania kontroli;</w:t>
      </w:r>
    </w:p>
    <w:p w:rsidR="003F7594" w:rsidRPr="000B6375" w:rsidP="003F7594" w14:paraId="30AEEB3B" w14:textId="77777777">
      <w:pPr>
        <w:pStyle w:val="NormalHanging12a"/>
      </w:pPr>
      <w:r w:rsidRPr="000B6375">
        <w:t>15.</w:t>
      </w:r>
      <w:r w:rsidRPr="000B6375">
        <w:tab/>
        <w:t>podkreśla, że duża zależność od organów krajowych i audytorów zewnętrznych, a przy tym brak solidnych zabezpieczeń, szczegółowych wytycznych Komisji, pomocy technicznej i specjalnych szkoleń na temat metod kontroli wykonania zadań stwarza ryzyko zmiennej jakości i niezależności kontroli, a tym samym naraża UE na utratę reputacji; podkreśla, że wspieranie krajowych instytucji audytowych przyczyni się do poprawy jakości i większej spójności;</w:t>
      </w:r>
    </w:p>
    <w:p w:rsidR="003F7594" w:rsidRPr="000B6375" w:rsidP="003F7594" w14:paraId="41830E8D" w14:textId="77777777">
      <w:pPr>
        <w:pStyle w:val="NormalHanging12a"/>
      </w:pPr>
      <w:r w:rsidRPr="000B6375">
        <w:t>16.</w:t>
      </w:r>
      <w:r w:rsidRPr="000B6375">
        <w:tab/>
        <w:t>podkreśla, że absorpcja lub wypłaty środków nie są z definicji wskaźnikiem sukcesu; ubolewa, że w ostatnich zmianach krajowych planów odbudowy i zwiększania odporności skoncentrowanie się na absorpcji doprowadziło do obniżenia pierwotnie przewidywanego poziomu ambicji, w szczególności w odniesieniu do reform;</w:t>
      </w:r>
    </w:p>
    <w:p w:rsidR="003F7594" w:rsidRPr="000B6375" w:rsidP="003F7594" w14:paraId="5BD20213" w14:textId="77777777">
      <w:pPr>
        <w:pStyle w:val="NormalHanging12a"/>
      </w:pPr>
      <w:r w:rsidRPr="000B6375">
        <w:t>17.</w:t>
      </w:r>
      <w:r w:rsidRPr="000B6375">
        <w:tab/>
        <w:t>przypomina, że organy audytowe w państwach członkowskich muszą przestrzegać międzynarodowych standardów audytu; ostrzega, że niedopełnienie tego obowiązku podważa wiarygodność ich pracy i stanowi zagrożenie dla podejścia opartego na zasadzie jednego audytu; odnotowuje wielokrotne ustalenia ETO dotyczące niedociągnięć niektórych krajowych instytucji audytowych w kwestii zakresu i jakości ich prac oraz odnośnej dokumentacji i sprawozdawczości; podkreśla potrzebę jasnych ram odpowiedzialności, aby zagwarantować jakość i spójność;</w:t>
      </w:r>
    </w:p>
    <w:p w:rsidR="003F7594" w:rsidRPr="000B6375" w:rsidP="003F7594" w14:paraId="22A67E5A" w14:textId="77777777">
      <w:pPr>
        <w:pStyle w:val="NormalHanging12a"/>
      </w:pPr>
      <w:r w:rsidRPr="000B6375">
        <w:t>18.</w:t>
      </w:r>
      <w:r w:rsidRPr="000B6375">
        <w:tab/>
        <w:t xml:space="preserve">podkreśla, że różne systemy informatyczne i systemy danych w państwach członkowskich zwiększają ryzyko błędów, nieprawidłowości, podwójnego finansowania, opóźnień i niespójnej sprawozdawczości; przypomina, że w celu zagwarantowania pełnej identyfikowalności funduszy UE Parlament wielokrotnie apelował o ustanowienie – w kontekście przekształcenia rozporządzenia finansowego – jednolitego, zintegrowanego i </w:t>
      </w:r>
      <w:r w:rsidRPr="000B6375">
        <w:t>interoperacyjnego</w:t>
      </w:r>
      <w:r w:rsidRPr="000B6375">
        <w:t xml:space="preserve"> systemu informacji i monitorowania, w tym jednolitego narzędzia eksploracji danych i punktowej oceny ryzyka, w oparciu m.in. o istniejące narzędzia i bazy danych; ubolewa jednak, że państwa członkowskie odmówiły wprowadzenia obowiązku korzystania z takiego systemu od początku okresu obowiązywania kolejnych WRF; z zadowoleniem przyjmuje wysiłki podejmowane obecnie przez Komisję na rzecz opracowania takiego </w:t>
      </w:r>
      <w:r w:rsidRPr="000B6375">
        <w:t>interoperacyjnego</w:t>
      </w:r>
      <w:r w:rsidRPr="000B6375">
        <w:t xml:space="preserve"> systemu w oparciu o narzędzie ARACHNE i wzywa wszystkie państwa członkowskie do wykorzystywania wszystkich możliwości tego systemu; podkreśla, że skuteczność każdego nowego modelu finansowania zależy od wiarygodności i spójności podstawowych danych i narzędzi monitorowania; podkreśla znaczenie opracowania </w:t>
      </w:r>
      <w:r w:rsidRPr="000B6375">
        <w:t>interoperacyjnego</w:t>
      </w:r>
      <w:r w:rsidRPr="000B6375">
        <w:t xml:space="preserve"> systemu zgodnego z ogólnym rozporządzeniem o ochronie danych </w:t>
      </w:r>
      <w:r w:rsidRPr="000B6375">
        <w:t>(RODO)</w:t>
      </w:r>
      <w:r>
        <w:rPr>
          <w:rStyle w:val="FootnoteReference"/>
        </w:rPr>
        <w:footnoteReference w:id="14"/>
      </w:r>
      <w:r w:rsidRPr="000B6375">
        <w:t xml:space="preserve">; podkreśla, że taki system musi dostarczać dokładnych i aktualnych informacji, minimalizować zjawisko występowania wyników fałszywie dodatnich oraz funkcjonować niezawodnie; </w:t>
      </w:r>
    </w:p>
    <w:p w:rsidR="003F7594" w:rsidRPr="000B6375" w:rsidP="003F7594" w14:paraId="684A084D" w14:textId="77777777">
      <w:pPr>
        <w:pStyle w:val="NormalHanging12a"/>
      </w:pPr>
      <w:r w:rsidRPr="000B6375">
        <w:t>19.</w:t>
      </w:r>
      <w:r w:rsidRPr="000B6375">
        <w:tab/>
        <w:t>podkreśla, że zarządzanie dzielone w następnych WRF musi obejmować władze regionalne i lokalne oraz zainteresowane strony, w tym również w przypadku instrumentów opartych na wynikach, zarówno na etapie projektowania, podejmowania decyzji i planowania, jak i na etapie wdrażania i realizacji, w ramach podejścia opartego na wielopoziomowym sprawowaniu rządów, aby zapewnić unijną wartość dodaną projektów transgranicznych i skupić się na wymiernych wynikach, a nie na produktach;</w:t>
      </w:r>
    </w:p>
    <w:p w:rsidR="003F7594" w:rsidRPr="000B6375" w:rsidP="003F7594" w14:paraId="7B2D685B" w14:textId="77777777">
      <w:pPr>
        <w:pStyle w:val="NormalHanging12a"/>
      </w:pPr>
      <w:r w:rsidRPr="000B6375">
        <w:t>20.</w:t>
      </w:r>
      <w:r w:rsidRPr="000B6375">
        <w:tab/>
        <w:t>zauważa, że łączenie dotacji i instrumentów finansowych w ramach, których podstawą są wyniki, zwiększa złożoność oraz ryzyko podwójnego finansowania, nieprawidłowości, nadużyć finansowych, nadmiernej rekompensaty i słabych łańcuchów rozliczalności; podkreśla w szczególności, że jeżeli finansowanie nie jest powiązane z kosztami, brak weryfikacji kosztów dodatkowo zwiększa ryzyko pokrywania się różnych strumieni finansowania i podważa pewność co do należytego zarządzania finansami;</w:t>
      </w:r>
    </w:p>
    <w:p w:rsidR="003F7594" w:rsidRPr="000B6375" w:rsidP="003F7594" w14:paraId="18096AF7" w14:textId="77777777">
      <w:pPr>
        <w:pStyle w:val="NormalHanging12a"/>
      </w:pPr>
      <w:r w:rsidRPr="000B6375">
        <w:t>21.</w:t>
      </w:r>
      <w:r w:rsidRPr="000B6375">
        <w:tab/>
        <w:t>zwraca uwagę, że monitorowanie oparte na wynikach niekoniecznie zmniejsza obciążenia administracyjne, podczas gdy słabe systemy weryfikacji mogą generować ukryte koszty, nie zapewniając większej pewności; wzywa Komisję, aby usprawniła wskaźniki wykonania, uprościła wzory sprawozdań, wyeliminowała zbędne wnioski o dane i zajęła się niepotrzebną złożonością wniosków o płatność; uważa, że przejście na modele realizacji oparte na wynikach wymaga budowania zdolności na szczeblu UE i w państwach członkowskich, ponieważ potrzeby w zakresie monitorowania, kontroli i audytu w przypadku takich modeli różnią się od potrzeb instrumentów, których podstawą jest zasada zwrotu kosztów kwalifikowalnych;</w:t>
      </w:r>
    </w:p>
    <w:p w:rsidR="003F7594" w:rsidRPr="000B6375" w:rsidP="003F7594" w14:paraId="3C593B9B" w14:textId="77777777">
      <w:pPr>
        <w:pStyle w:val="NormalHanging12a"/>
      </w:pPr>
      <w:r w:rsidRPr="000B6375">
        <w:t>22.</w:t>
      </w:r>
      <w:r w:rsidRPr="000B6375">
        <w:tab/>
        <w:t>ostrzega, że w obecnym kontekście geopolitycznym i biorąc pod uwagę zwiększoną presję budżetową, coraz częstsze stosowanie instrumentów opartych na wynikach, bez wyeliminowania niedociągnięć stwierdzonych w RRF, w tym poprzez wzmocnienie kontroli parlamentarnej, grozi zmianą równowagi instytucjonalnej na korzyść swobody decyzyjnej organów wykonawczych i odejściem od demokratycznej rozliczalności; podkreśla, że Parlament i Rada muszą być na równych warunkach zaangażowane w każdy model zarządzania instrumentami opartymi na wynikach; odrzuca wszelkie propozycje mające na celu zakłócenie równowagi instytucjonalnej i osłabienie roli Parlamentu jako organu budżetowego i udzielającego absolutorium;</w:t>
      </w:r>
    </w:p>
    <w:p w:rsidR="003F7594" w:rsidRPr="000B6375" w:rsidP="003F7594" w14:paraId="465073CA" w14:textId="77777777">
      <w:pPr>
        <w:pStyle w:val="Normal12a"/>
      </w:pPr>
      <w:r w:rsidRPr="000B6375">
        <w:rPr>
          <w:b/>
          <w:i/>
        </w:rPr>
        <w:t>Zalecenia dotyczące wzmocnienia kontroli oraz poprawy przejrzystości i rozliczalności instrumentów opartych na wynikach</w:t>
      </w:r>
    </w:p>
    <w:p w:rsidR="003F7594" w:rsidRPr="000B6375" w:rsidP="003F7594" w14:paraId="1776D4FE" w14:textId="77777777">
      <w:pPr>
        <w:pStyle w:val="NormalHanging12a"/>
      </w:pPr>
      <w:r w:rsidRPr="000B6375">
        <w:t>23.</w:t>
      </w:r>
      <w:r w:rsidRPr="000B6375">
        <w:tab/>
        <w:t xml:space="preserve">uważa, że w przypadku instrumentów opartych na wynikach model finansowania niepowiązanego z kosztami odnośnych operacji nie powinien być wykorzystywany jako uogólniona metoda wdrażania lub zwrotu kosztów między państwami członkowskimi a </w:t>
      </w:r>
      <w:r w:rsidRPr="000B6375">
        <w:t xml:space="preserve">beneficjentami z wyjątkiem mniejszych beneficjentów realizujących projekty poniżej określonych progów finansowych, co pozwala im na stosowanie bardziej uproszczonego systemu realizacji, ale jednocześnie zapewnia solidne ramy kontroli; podkreśla w szczególności, że w przypadku dużych i złożonych projektów podstawą nadal powinny być koszty, ponieważ ich zakres, czas trwania i wielopoziomowe finansowanie wymagają szczegółowej sprawozdawczości finansowej i dających się zweryfikować informacji o wydatkach, aby zagwarantować właściwe monitorowanie i rozliczalność; podkreśla, że trzeba ustanowić mechanizmy odzyskiwania środków w przypadkach, gdy pojawiają się znaczne rozbieżności między szacunkami kosztów ex </w:t>
      </w:r>
      <w:r w:rsidRPr="000B6375">
        <w:t>ante</w:t>
      </w:r>
      <w:r w:rsidRPr="000B6375">
        <w:t xml:space="preserve"> a kontrolami ex post, zwłaszcza gdy projekty są realizowane poniżej pierwotnie szacowanych kosztów; podkreśla, że takie dostosowania muszą odzwierciedlać rzeczywiste wydatki, aby zapewnić integralność finansową, optymalne wykorzystanie środków i rozliczalność; apeluje o ciągłe i rozszerzone stosowanie płatności ryczałtowych i uproszczonych metod rozliczania kosztów, zwłaszcza w przypadku inwestycji na mniejszą lub średnią skalę, jako skutecznych i proporcjonalnych narzędzi zmniejszających obciążenia administracyjne, umożliwiających poprawę dostępności dla mniejszych beneficjentów oraz gwarantujących rozliczalność i identyfikowalność w wykorzystaniu funduszy unijnych;</w:t>
      </w:r>
    </w:p>
    <w:p w:rsidR="003F7594" w:rsidRPr="000B6375" w:rsidP="003F7594" w14:paraId="44D5C820" w14:textId="77777777">
      <w:pPr>
        <w:pStyle w:val="NormalHanging"/>
      </w:pPr>
      <w:r w:rsidRPr="000B6375">
        <w:t>24.</w:t>
      </w:r>
      <w:r w:rsidRPr="000B6375">
        <w:tab/>
        <w:t>podkreśla, że uproszczony budżet musi być również budżetem przejrzystym; wzywa Komisję do zapewnienia publicznego dostępu do informacji proceduralnych, w tym metod szacowania kosztów, oraz do zapewnienia Parlamentowi dostępu do szacunkowych kosztów planów partnerstwa krajowego i regionalnego (PPKR);</w:t>
      </w:r>
    </w:p>
    <w:p w:rsidR="003F7594" w:rsidRPr="000B6375" w:rsidP="003F7594" w14:paraId="586B41C6" w14:textId="77777777">
      <w:pPr>
        <w:pStyle w:val="NormalHanging12a"/>
      </w:pPr>
      <w:r w:rsidRPr="000B6375">
        <w:t>25.</w:t>
      </w:r>
      <w:r w:rsidRPr="000B6375">
        <w:tab/>
        <w:t>apeluje o jednolity system rozliczalności, który umożliwi identyfikowalność wkładów z budżetu UE na rzecz konkretnych projektów i ich rzeczywistych beneficjentów końcowych, w tym wykonawców i podwykonawców, a także beneficjentów rzeczywistych; podkreśla, że trzeba zapewnić widoczność projektów finansowanych przez UE wśród obywateli; podkreśla, że trzeba powiązać płatności z osiągnięciem spójnych, jasno określonych kamieni milowych i wartości docelowych, aby zwiększyć zgodność między reformami a inwestycjami; podkreśla, jak ważne jest wprowadzenie systemu oceny ex post opartego na celach osiągniętych przez każdy instrument, mierzonych za pomocą wskaźników wykonania;</w:t>
      </w:r>
    </w:p>
    <w:p w:rsidR="003F7594" w:rsidRPr="000B6375" w:rsidP="003F7594" w14:paraId="25C73414" w14:textId="77777777">
      <w:pPr>
        <w:pStyle w:val="NormalHanging12a"/>
      </w:pPr>
      <w:r w:rsidRPr="000B6375">
        <w:t>26.</w:t>
      </w:r>
      <w:r w:rsidRPr="000B6375">
        <w:tab/>
        <w:t>podkreśla, że finansowanie unijne należy przyznawać wyłącznie na środki bezpośrednio związane z konkretnymi i weryfikowalnymi projektami, które umożliwiają konkretne postępy i dają wymierne rezultaty, przyczyniają się do realizacji celów polityki Unii oraz mogą być skutecznie monitorowane i kontrolowane, a także są przedmiotem przejrzystych sprawozdań, w tym na temat optymalnego wykorzystania środków i wymogów dotyczących widoczności;</w:t>
      </w:r>
    </w:p>
    <w:p w:rsidR="003F7594" w:rsidRPr="000B6375" w:rsidP="003F7594" w14:paraId="6625B35D" w14:textId="77777777">
      <w:pPr>
        <w:pStyle w:val="NormalHanging12a"/>
      </w:pPr>
      <w:r w:rsidRPr="000B6375">
        <w:t>27.</w:t>
      </w:r>
      <w:r w:rsidRPr="000B6375">
        <w:tab/>
        <w:t>wzywa Komisję do niewprowadzania złożonych lub spekulacyjnych metod szacowania kosztów, mogących zaszkodzić przejrzystości i porównywalności między państwami członkowskimi; zamiast tego apeluje o opracowanie i szersze stosowanie zharmonizowanych i weryfikowalnych uproszczonych metod rozliczania kosztów, które zapewnią jasność, zmniejszą obciążenia administracyjne i zagwarantują odpowiedni poziom rozliczalności;</w:t>
      </w:r>
    </w:p>
    <w:p w:rsidR="003F7594" w:rsidRPr="000B6375" w:rsidP="003F7594" w14:paraId="4F5ED74B" w14:textId="77777777">
      <w:pPr>
        <w:pStyle w:val="NormalHanging12a"/>
      </w:pPr>
      <w:r w:rsidRPr="000B6375">
        <w:t>28.</w:t>
      </w:r>
      <w:r w:rsidRPr="000B6375">
        <w:tab/>
        <w:t>apeluje o ustanowienie jednoznacznych kryteriów zgodności w celu określenia, kiedy dany instrument oparty na wynikach osiąga planowane produkty lub rezultaty, wraz z jednolitymi definicjami we wszystkich państwach członkowskich;</w:t>
      </w:r>
    </w:p>
    <w:p w:rsidR="003F7594" w:rsidRPr="000B6375" w:rsidP="003F7594" w14:paraId="0476304A" w14:textId="77777777">
      <w:pPr>
        <w:pStyle w:val="NormalHanging12a"/>
      </w:pPr>
      <w:r w:rsidRPr="000B6375">
        <w:t>29.</w:t>
      </w:r>
      <w:r w:rsidRPr="000B6375">
        <w:tab/>
        <w:t>apeluje o okresowe oceny rzeczywistych kosztów poniesionych w związku z wdrażaniem instrumentów opartych na wynikach w porównaniu z szacunkowymi kosztami państw członkowskich, aby zapobiegać rozbieżnościom; uważa, że takie oceny powinny automatycznie skutkować kontrolą i audytem, jeżeli występują znaczne różnice między rzeczywistymi a szacunkowymi kosztami;</w:t>
      </w:r>
    </w:p>
    <w:p w:rsidR="003F7594" w:rsidRPr="000B6375" w:rsidP="003F7594" w14:paraId="45274AC5" w14:textId="77777777">
      <w:pPr>
        <w:pStyle w:val="NormalHanging12a"/>
      </w:pPr>
      <w:r w:rsidRPr="000B6375">
        <w:t>30.</w:t>
      </w:r>
      <w:r w:rsidRPr="000B6375">
        <w:tab/>
        <w:t>podkreśla, że stosowanie modelu finansowania niepowiązanego z kosztami odnośnych operacji musi wymagać korelacji między wnioskami o płatność a osiągnięciem kamieni milowych i wartości docelowych z jednej strony oraz realizacją konkretnych projektów z drugiej strony; podkreśla, że bez takiej korelacji identyfikowalność finansowania unijnego jest poważnie zagrożona;</w:t>
      </w:r>
    </w:p>
    <w:p w:rsidR="003F7594" w:rsidRPr="000B6375" w:rsidP="003F7594" w14:paraId="0F6C30C6" w14:textId="77777777">
      <w:pPr>
        <w:pStyle w:val="NormalHanging12a"/>
      </w:pPr>
      <w:r w:rsidRPr="000B6375">
        <w:t>31.</w:t>
      </w:r>
      <w:r w:rsidRPr="000B6375">
        <w:tab/>
        <w:t xml:space="preserve">apeluje o ustanowienie jednolitego, zintegrowanego i </w:t>
      </w:r>
      <w:r w:rsidRPr="000B6375">
        <w:t>interoperacyjnego</w:t>
      </w:r>
      <w:r w:rsidRPr="000B6375">
        <w:t xml:space="preserve"> systemu informacji i monitorowania, w tym jednolitego narzędzia eksploracji danych i punktowej oceny ryzyka; domaga się, aby korzystanie z tego nowego </w:t>
      </w:r>
      <w:r w:rsidRPr="000B6375">
        <w:t>interoperacyjnego</w:t>
      </w:r>
      <w:r w:rsidRPr="000B6375">
        <w:t xml:space="preserve"> systemu było warunkiem dostępu do finansowania unijnego w następnych WRF; domaga się, aby Komisja stworzyła publicznie dostępne tablice wskaźników umożliwiające obywatelom ocenę wartości generowanej przez finansowanie UE; wzywa Komisję, aby wdrożyła zaawansowane narzędzia sztucznej inteligencji i analizy danych w celu usprawnienia śledzenia wyników, ich oceny i odnośnej sprawozdawczości, zmniejszenia nakładu pracy ręcznej i usprawnienia procesów sprawozdawczości oraz zapobiegania podwójnemu finansowaniu i innym zagrożeniom dla ochrony interesów finansowych Unii;</w:t>
      </w:r>
    </w:p>
    <w:p w:rsidR="003F7594" w:rsidRPr="000B6375" w:rsidP="003F7594" w14:paraId="4497E12A" w14:textId="77777777">
      <w:pPr>
        <w:pStyle w:val="NormalHanging12a"/>
      </w:pPr>
      <w:r w:rsidRPr="000B6375">
        <w:t>32.</w:t>
      </w:r>
      <w:r w:rsidRPr="000B6375">
        <w:tab/>
        <w:t>domaga się, aby Komisja ustanowiła i opublikowała jasne progi dotyczące środków naprawczych, w tym poziomy dotkliwości, aby zagwarantować równe traktowanie i spójne egzekwowanie;</w:t>
      </w:r>
    </w:p>
    <w:p w:rsidR="003F7594" w:rsidRPr="000B6375" w:rsidP="003F7594" w14:paraId="11A5DBCE" w14:textId="77777777">
      <w:pPr>
        <w:pStyle w:val="NormalHanging12a"/>
      </w:pPr>
      <w:r w:rsidRPr="000B6375">
        <w:t>33.</w:t>
      </w:r>
      <w:r w:rsidRPr="000B6375">
        <w:tab/>
        <w:t>podkreśla, że osiąganie kamieni milowych i wartości docelowych musi być oceniane przez Komisję, z uwzględnieniem danych przekazanych przez państwa członkowskie i zgodnie z przejrzystą i znormalizowaną metodą; punktacja musi być udokumentowana, a przekroczenie progu ustalonego w przepisach – należycie uzasadnione; apeluje o udostępnienie Parlamentowi i ETO wszystkich dokumentów dotyczących oceny;</w:t>
      </w:r>
    </w:p>
    <w:p w:rsidR="003F7594" w:rsidRPr="000B6375" w:rsidP="003F7594" w14:paraId="22EE359F" w14:textId="77777777">
      <w:pPr>
        <w:pStyle w:val="NormalHanging12a"/>
      </w:pPr>
      <w:r w:rsidRPr="000B6375">
        <w:t>34.</w:t>
      </w:r>
      <w:r w:rsidRPr="000B6375">
        <w:tab/>
        <w:t>domaga się większej przejrzystości we wdrażaniu instrumentów opartych na wynikach, co wymaga terminowej publikacji wszystkich ocen Komisji, sprawozdań krajowych, podsumowań audytów i działań w zakresie odzyskiwania środków, w dostępnych, porównywalnych, weryfikowalnych i łatwych w obsłudze formatach, tak aby Parlament, ETO i obywatele mogli kontrolować wykorzystanie funduszy unijnych; podkreśla, że dostęp do informacji powinien być zgodny z podejściem kaskadowym, czyli ETO powinien mieć pełny i nieograniczony dostęp w czasie rzeczywistym, Parlament – gwarantowane i nieograniczone prawo do zadawania pytań i zwracania się o informacje, a obywatele – odpowiedni i przejrzysty dostęp zgodnie z orzeczeniami Trybunału Sprawiedliwości Unii Europejskiej; przypomina, że wszystkie środki służące przejrzystości muszą być zgodne z wymogami ochrony danych wynikającymi z rozporządzenia RODO i innych odpowiednich przepisów Unii; podkreśla, że publicznie dostępne dane muszą dokładnie odzwierciedlać faktyczny etap wdrażania i postępy w realizacji projektów, a nie planowane zobowiązania lub wypłaty dokonywane wyłącznie w celu osiągnięcia kamieni milowych i wartości docelowych w ramach planów krajowych; zapewni to prawdziwy obraz wyników osiąganych w terenie;</w:t>
      </w:r>
    </w:p>
    <w:p w:rsidR="003F7594" w:rsidRPr="000B6375" w:rsidP="003F7594" w14:paraId="278BC8B0" w14:textId="77777777">
      <w:pPr>
        <w:pStyle w:val="NormalHanging12a"/>
      </w:pPr>
      <w:r w:rsidRPr="000B6375">
        <w:t>35.</w:t>
      </w:r>
      <w:r w:rsidRPr="000B6375">
        <w:tab/>
        <w:t>podkreśla, że ETO musi mieć dostęp do wszystkich baz danych i systemów informacyjnych Komisji wykorzystywanych do gromadzenia, wymiany i monitorowania danych między Komisją a państwami członkowskimi; podkreśla, że ETO powinien mieć bezpośredni i szybki dostęp do oryginalnych danych zapisanych w systemie, zanim nastąpi ich modyfikacja, agregacja lub edycja przez organy krajowe bądź służby Komisji; podkreśla, że taki dostęp ma zasadnicze znaczenie, jeżeli chodzi o bezstronność, wiarygodność i skuteczność audytów oraz przejrzystość i rozliczalność podczas wykonywania budżetu Unii;</w:t>
      </w:r>
    </w:p>
    <w:p w:rsidR="003F7594" w:rsidRPr="000B6375" w:rsidP="003F7594" w14:paraId="389EDD0F" w14:textId="77777777">
      <w:pPr>
        <w:pStyle w:val="NormalHanging12a"/>
      </w:pPr>
      <w:r w:rsidRPr="000B6375">
        <w:t>36.</w:t>
      </w:r>
      <w:r w:rsidRPr="000B6375">
        <w:tab/>
        <w:t xml:space="preserve">apeluje o to, aby usprawniona sprawozdawczość w zakresie instrumentów opartych na wynikach obejmowała dane na poziomie projektów, podobnie jak w przypadku danych dotyczących polityki </w:t>
      </w:r>
      <w:r w:rsidRPr="000B6375">
        <w:t>spójności,</w:t>
      </w:r>
      <w:r w:rsidRPr="000B6375">
        <w:t xml:space="preserve"> oraz uwzględniała geograficzny podział finansowania i interwencje na szczeblu niższym niż krajowy;</w:t>
      </w:r>
    </w:p>
    <w:p w:rsidR="003F7594" w:rsidRPr="000B6375" w:rsidP="003F7594" w14:paraId="4193491D" w14:textId="77777777">
      <w:pPr>
        <w:pStyle w:val="NormalHanging12a"/>
      </w:pPr>
      <w:r w:rsidRPr="000B6375">
        <w:t>37.</w:t>
      </w:r>
      <w:r w:rsidRPr="000B6375">
        <w:tab/>
        <w:t>apeluje o poprawę ścieżek audytu poprzez wprowadzenie wymogu systematycznej dokumentacji etapów weryfikacji oraz zadbanie o to, aby rejestry były kompletne, dostępne i możliwe do skontrolowania zarówno na szczeblu unijnym, jak i krajowym;</w:t>
      </w:r>
    </w:p>
    <w:p w:rsidR="003F7594" w:rsidRPr="000B6375" w:rsidP="003F7594" w14:paraId="4A68AE02" w14:textId="77777777">
      <w:pPr>
        <w:pStyle w:val="NormalHanging12a"/>
      </w:pPr>
      <w:r w:rsidRPr="000B6375">
        <w:t>38.</w:t>
      </w:r>
      <w:r w:rsidRPr="000B6375">
        <w:tab/>
        <w:t>domaga się, aby Komisja wprowadziła solidne zabezpieczenia w celu zagwarantowania spójnych, niezależnych i jakościowo nienagannych prac kontrolnych we wszystkich państwach członkowskich, w tym poprzez szczegółowe wytyczne metodyczne, stałą pomoc techniczną tam, gdzie instytucje audytowe nie mogą sobie poradzić z niedociągnięciami, oraz specjalne szkolenia na temat standardów kontroli wykonania zadań; podkreśla, że warunkiem zaufania do pracy organów krajowych i audytorów zewnętrznych musi być stosowanie tych zabezpieczeń, aby utrzymać stałą jakość kontroli; wzywa państwa członkowskie do ustanowienia zabezpieczeń zapewniających niezależność krajowych instytucji audytowych od organów politycznych i administracyjnych odpowiedzialnych za zarządzanie funduszami;</w:t>
      </w:r>
    </w:p>
    <w:p w:rsidR="003F7594" w:rsidRPr="000B6375" w:rsidP="003F7594" w14:paraId="2CE85FB7" w14:textId="77777777">
      <w:pPr>
        <w:pStyle w:val="NormalHanging12a"/>
      </w:pPr>
      <w:r w:rsidRPr="000B6375">
        <w:t>39.</w:t>
      </w:r>
      <w:r w:rsidRPr="000B6375">
        <w:tab/>
        <w:t>apeluje o wprowadzenie narzędzi analityki predykcyjnej w oparciu o sztuczną inteligencję i zdolności uczenia maszynowego, co umożliwiłoby audytorom przeprowadzanie ocen ryzyka w czasie rzeczywistym, skuteczniejsze wykrywanie anomalii, kontrolowanie optymalnego wykorzystania środków oraz przeprowadzanie ukierunkowanych przeglądów w razie ciągłych niedogodności stwierdzonych przez ETO; podkreśla, że trzeba wykorzystać zautomatyzowane narzędzia eksploracji danych i sztuczną inteligencję do identyfikowania anomalii, a jednocześnie unikać nakładania dodatkowych obowiązków sprawozdawczych na beneficjentów przestrzegających przepisów; przypomina, że takie technologie sztucznej inteligencji trzeba stosować w pełnej zgodności z unijnymi przepisami dotyczącymi ochrony danych i trzeba przewidzieć odpowiednie szkolenia dla krajowych instytucji audytowych;</w:t>
      </w:r>
    </w:p>
    <w:p w:rsidR="003F7594" w:rsidRPr="000B6375" w:rsidP="003F7594" w14:paraId="69ACB2EA" w14:textId="77777777">
      <w:pPr>
        <w:pStyle w:val="NormalHanging12a"/>
      </w:pPr>
      <w:r w:rsidRPr="000B6375">
        <w:t>40.</w:t>
      </w:r>
      <w:r w:rsidRPr="000B6375">
        <w:tab/>
        <w:t>zwraca się do Komisji o wzmocnienie zabezpieczeń w instrumentach finansowych, w tym o wprowadzenie bardziej rygorystycznych pułapów opłat za zarządzanie, przejrzystych zasad bezpośredniego udzielania zamówień oraz kontroli mających na celu zapobieganie podwójnemu finansowaniu i łamaniu zasad pomocy państwa; domaga się, aby pułapy opłat za zarządzanie, zwłaszcza w przypadku bezpośredniego udzielania zamówień zarządzającym funduszami na produkty kapitałowe lub quasi-kapitałowe, nie obniżały wartości wsparcia Unii, zwłaszcza gdy wolumen operacji jest niewielki;</w:t>
      </w:r>
    </w:p>
    <w:p w:rsidR="003F7594" w:rsidRPr="000B6375" w:rsidP="003F7594" w14:paraId="2158A722" w14:textId="77777777">
      <w:pPr>
        <w:pStyle w:val="NormalHanging12a"/>
      </w:pPr>
      <w:r w:rsidRPr="000B6375">
        <w:t>41.</w:t>
      </w:r>
      <w:r w:rsidRPr="000B6375">
        <w:tab/>
        <w:t>ponownie podkreśla potrzebę zwiększenia przejrzystości poprzez rozszerzenie modelu tabeli wyników RRF na wszystkie instrumenty oparte na wynikach, a także potrzebę poprawy terminowości i porównywalności sprawozdań krajowych oraz potrzebę zapewnienia publicznego dostępu, identyfikowalności i rozliczalności; wzywa Komisję do zadbania o pełną interoperacyjność unijnych i krajowych systemów danych, ograniczenie ręcznego wprowadzania danych, poprawę jakości danych i identyfikowalność w czasie rzeczywistym aż do poziomu beneficjentów końcowych; w tym kontekście wzywa Komisję do zadbania o to, aby dane dotyczące rzeczywistych odbiorców końcowych finansowania w ramach instrumentów opartych na wynikach, w tym wykonawców i podwykonawców, były dostępne w czasie rzeczywistym dla organów audytowych i udzielających absolutorium, a także dla EPPO i Europejskiego Urzędu ds. Zwalczania Nadużyć Finansowych;</w:t>
      </w:r>
    </w:p>
    <w:p w:rsidR="003F7594" w:rsidRPr="000B6375" w:rsidP="003F7594" w14:paraId="61107AF2" w14:textId="77777777">
      <w:pPr>
        <w:pStyle w:val="NormalHanging12a"/>
      </w:pPr>
      <w:r w:rsidRPr="000B6375">
        <w:t>42.</w:t>
      </w:r>
      <w:r w:rsidRPr="000B6375">
        <w:tab/>
        <w:t>domaga się pełnego poszanowania prerogatyw Parlamentu jako prawodawcy, władzy budżetowej i organu udzielającego absolutorium oraz przyznania mu dostępu do wszystkich danych niezbędnych do wykonywania jego funkcji;</w:t>
      </w:r>
    </w:p>
    <w:p w:rsidR="003F7594" w:rsidRPr="000B6375" w:rsidP="003F7594" w14:paraId="50498D93" w14:textId="77777777">
      <w:pPr>
        <w:pStyle w:val="NormalCenter12a"/>
      </w:pPr>
      <w:r w:rsidRPr="000B6375">
        <w:t>°</w:t>
      </w:r>
    </w:p>
    <w:p w:rsidR="003F7594" w:rsidRPr="000B6375" w:rsidP="003F7594" w14:paraId="30C91D51" w14:textId="77777777">
      <w:pPr>
        <w:pStyle w:val="NormalCenter12a"/>
      </w:pPr>
      <w:r w:rsidRPr="000B6375">
        <w:t>°</w:t>
      </w:r>
      <w:r w:rsidRPr="000B6375">
        <w:tab/>
        <w:t>°</w:t>
      </w:r>
    </w:p>
    <w:p w:rsidR="000B6375" w:rsidRPr="000B6375" w:rsidP="000B6375" w14:paraId="2E7668E5" w14:textId="009AF4C4">
      <w:pPr>
        <w:pStyle w:val="NormalHanging12a"/>
      </w:pPr>
      <w:r w:rsidRPr="000B6375">
        <w:t>43.</w:t>
      </w:r>
      <w:r w:rsidRPr="000B6375">
        <w:tab/>
        <w:t>zobowiązuje swoją przewodniczącą do przekazania niniejszej rezolucji Radzie i Komisji.</w:t>
      </w:r>
    </w:p>
    <w:p w:rsidR="00E365E1" w:rsidRPr="000B6375" w:rsidP="00311413" w14:paraId="2BA51ACD" w14:textId="0FEF7852"/>
    <w:sectPr w:rsidSect="000B63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B6375" w14:paraId="31FF56D4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B6375" w14:paraId="0396CB5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B6375" w14:paraId="073AAE24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11413" w:rsidRPr="000B6375" w14:paraId="5DCFB3A8" w14:textId="77777777">
      <w:r w:rsidRPr="000B6375">
        <w:separator/>
      </w:r>
    </w:p>
  </w:footnote>
  <w:footnote w:type="continuationSeparator" w:id="1">
    <w:p w:rsidR="00311413" w:rsidRPr="000B6375" w14:paraId="2D8C629A" w14:textId="77777777">
      <w:r w:rsidRPr="000B6375">
        <w:continuationSeparator/>
      </w:r>
    </w:p>
  </w:footnote>
  <w:footnote w:id="2">
    <w:p w:rsidR="003F7594" w:rsidRPr="000B6375" w:rsidP="000B6375" w14:paraId="76EE071F" w14:textId="31184D2C">
      <w:pPr>
        <w:pStyle w:val="FootnoteText"/>
        <w:ind w:left="567" w:hanging="567"/>
        <w:rPr>
          <w:sz w:val="24"/>
          <w:lang w:val="pl-PL"/>
        </w:rPr>
      </w:pPr>
      <w:r w:rsidRPr="000B6375">
        <w:rPr>
          <w:sz w:val="24"/>
          <w:vertAlign w:val="superscript"/>
          <w:lang w:val="pl-PL"/>
        </w:rPr>
        <w:t>1</w:t>
      </w:r>
      <w:r w:rsidRPr="000B6375" w:rsidR="000B6375">
        <w:rPr>
          <w:sz w:val="24"/>
          <w:vertAlign w:val="superscript"/>
          <w:lang w:val="pl-PL"/>
        </w:rPr>
        <w:t xml:space="preserve"> </w:t>
      </w:r>
      <w:r w:rsidRPr="000B6375" w:rsidR="000B6375">
        <w:rPr>
          <w:sz w:val="24"/>
          <w:vertAlign w:val="superscript"/>
          <w:lang w:val="pl-PL"/>
        </w:rPr>
        <w:tab/>
      </w:r>
      <w:r w:rsidRPr="000B6375">
        <w:rPr>
          <w:sz w:val="24"/>
          <w:lang w:val="pl-PL"/>
        </w:rPr>
        <w:t xml:space="preserve">Dz.U. L 433 I z 22.12.2020, s. 11, ELI: </w:t>
      </w:r>
      <w:hyperlink r:id="rId1" w:tgtFrame="http://data.europa.eu/eli/reg/2020/2093/oj" w:history="1">
        <w:r w:rsidRPr="000B6375">
          <w:rPr>
            <w:rStyle w:val="Hyperlink"/>
            <w:sz w:val="24"/>
            <w:lang w:val="pl-PL"/>
          </w:rPr>
          <w:t>http://data.europa.eu/eli/reg/2020/2093/oj</w:t>
        </w:r>
      </w:hyperlink>
      <w:r w:rsidRPr="000B6375">
        <w:rPr>
          <w:sz w:val="24"/>
          <w:lang w:val="pl-PL"/>
        </w:rPr>
        <w:t>.</w:t>
      </w:r>
    </w:p>
  </w:footnote>
  <w:footnote w:id="3">
    <w:p w:rsidR="003F7594" w:rsidRPr="000A5605" w:rsidP="000B6375" w14:paraId="24942B72" w14:textId="40553BD7">
      <w:pPr>
        <w:pStyle w:val="FootnoteText"/>
        <w:ind w:left="567" w:hanging="567"/>
        <w:rPr>
          <w:sz w:val="24"/>
          <w:lang w:val="fi-FI"/>
        </w:rPr>
      </w:pPr>
      <w:r w:rsidRPr="000A5605">
        <w:rPr>
          <w:sz w:val="24"/>
          <w:vertAlign w:val="superscript"/>
          <w:lang w:val="fi-FI"/>
        </w:rPr>
        <w:t>2</w:t>
      </w:r>
      <w:r w:rsidRPr="000A5605" w:rsidR="000B6375">
        <w:rPr>
          <w:sz w:val="24"/>
          <w:vertAlign w:val="superscript"/>
          <w:lang w:val="fi-FI"/>
        </w:rPr>
        <w:t xml:space="preserve"> </w:t>
      </w:r>
      <w:r w:rsidRPr="000A5605" w:rsidR="000B6375">
        <w:rPr>
          <w:sz w:val="24"/>
          <w:vertAlign w:val="superscript"/>
          <w:lang w:val="fi-FI"/>
        </w:rPr>
        <w:tab/>
      </w:r>
      <w:r w:rsidRPr="000A5605">
        <w:rPr>
          <w:sz w:val="24"/>
          <w:lang w:val="fi-FI"/>
        </w:rPr>
        <w:t xml:space="preserve">Dz.U. L, 2024/2509, 26.9.2024, ELI: </w:t>
      </w:r>
      <w:hyperlink r:id="rId2" w:tgtFrame="http://data.europa.eu/eli/reg/2024/2509/oj" w:history="1">
        <w:r w:rsidRPr="000A5605">
          <w:rPr>
            <w:rStyle w:val="Hyperlink"/>
            <w:sz w:val="24"/>
            <w:lang w:val="fi-FI"/>
          </w:rPr>
          <w:t>http://data.europa.eu/eli/reg/2024/2509/oj</w:t>
        </w:r>
      </w:hyperlink>
      <w:r w:rsidRPr="000A5605">
        <w:rPr>
          <w:sz w:val="24"/>
          <w:lang w:val="fi-FI"/>
        </w:rPr>
        <w:t>.</w:t>
      </w:r>
    </w:p>
  </w:footnote>
  <w:footnote w:id="4">
    <w:p w:rsidR="003F7594" w:rsidRPr="000B6375" w:rsidP="000B6375" w14:paraId="63537F91" w14:textId="1C8598A3">
      <w:pPr>
        <w:pStyle w:val="FootnoteText"/>
        <w:ind w:left="567" w:hanging="567"/>
        <w:rPr>
          <w:sz w:val="24"/>
          <w:lang w:val="pl-PL"/>
        </w:rPr>
      </w:pPr>
      <w:r w:rsidRPr="000B6375">
        <w:rPr>
          <w:sz w:val="24"/>
          <w:vertAlign w:val="superscript"/>
          <w:lang w:val="pl-PL"/>
        </w:rPr>
        <w:t>3</w:t>
      </w:r>
      <w:r w:rsidRPr="000B6375" w:rsidR="000B6375">
        <w:rPr>
          <w:sz w:val="24"/>
          <w:vertAlign w:val="superscript"/>
          <w:lang w:val="pl-PL"/>
        </w:rPr>
        <w:t xml:space="preserve"> </w:t>
      </w:r>
      <w:r w:rsidRPr="000B6375" w:rsidR="000B6375">
        <w:rPr>
          <w:sz w:val="24"/>
          <w:vertAlign w:val="superscript"/>
          <w:lang w:val="pl-PL"/>
        </w:rPr>
        <w:tab/>
      </w:r>
      <w:r w:rsidRPr="000B6375">
        <w:rPr>
          <w:sz w:val="24"/>
          <w:lang w:val="pl-PL"/>
        </w:rPr>
        <w:t xml:space="preserve">Dz.U. L 433 I z 22.12.2020, s. 1, ELI: </w:t>
      </w:r>
      <w:hyperlink r:id="rId3" w:tgtFrame="http://data.europa.eu/eli/reg/2020/2092/oj" w:history="1">
        <w:r w:rsidRPr="000B6375">
          <w:rPr>
            <w:rStyle w:val="Hyperlink"/>
            <w:sz w:val="24"/>
            <w:lang w:val="pl-PL"/>
          </w:rPr>
          <w:t>http://data.europa.eu/eli/reg/2020/2092/oj</w:t>
        </w:r>
      </w:hyperlink>
      <w:r w:rsidRPr="000B6375">
        <w:rPr>
          <w:sz w:val="24"/>
          <w:lang w:val="pl-PL"/>
        </w:rPr>
        <w:t>.</w:t>
      </w:r>
    </w:p>
  </w:footnote>
  <w:footnote w:id="5">
    <w:p w:rsidR="003F7594" w:rsidRPr="000A5605" w:rsidP="000B6375" w14:paraId="1551BEA3" w14:textId="6912E960">
      <w:pPr>
        <w:pStyle w:val="FootnoteText"/>
        <w:ind w:left="567" w:hanging="567"/>
        <w:rPr>
          <w:sz w:val="24"/>
          <w:lang w:val="fi-FI"/>
        </w:rPr>
      </w:pPr>
      <w:r w:rsidRPr="000A5605">
        <w:rPr>
          <w:sz w:val="24"/>
          <w:vertAlign w:val="superscript"/>
          <w:lang w:val="fi-FI"/>
        </w:rPr>
        <w:t>4</w:t>
      </w:r>
      <w:r w:rsidRPr="000A5605" w:rsidR="000B6375">
        <w:rPr>
          <w:sz w:val="24"/>
          <w:vertAlign w:val="superscript"/>
          <w:lang w:val="fi-FI"/>
        </w:rPr>
        <w:t xml:space="preserve"> </w:t>
      </w:r>
      <w:r w:rsidRPr="000A5605" w:rsidR="000B6375">
        <w:rPr>
          <w:sz w:val="24"/>
          <w:vertAlign w:val="superscript"/>
          <w:lang w:val="fi-FI"/>
        </w:rPr>
        <w:tab/>
      </w:r>
      <w:r w:rsidRPr="000A5605">
        <w:rPr>
          <w:sz w:val="24"/>
          <w:lang w:val="fi-FI"/>
        </w:rPr>
        <w:t xml:space="preserve">Dz.U. L, 2024/1263, 30.4.2024, ELI: </w:t>
      </w:r>
      <w:hyperlink r:id="rId4" w:tgtFrame="http://data.europa.eu/eli/reg/2024/1263/oj" w:history="1">
        <w:r w:rsidRPr="000A5605">
          <w:rPr>
            <w:rStyle w:val="Hyperlink"/>
            <w:sz w:val="24"/>
            <w:lang w:val="fi-FI"/>
          </w:rPr>
          <w:t>http://data.europa.eu/eli/reg/2024/1263/oj</w:t>
        </w:r>
      </w:hyperlink>
      <w:r w:rsidRPr="000A5605">
        <w:rPr>
          <w:sz w:val="24"/>
          <w:lang w:val="fi-FI"/>
        </w:rPr>
        <w:t>.</w:t>
      </w:r>
    </w:p>
  </w:footnote>
  <w:footnote w:id="6">
    <w:p w:rsidR="003F7594" w:rsidRPr="000B6375" w:rsidP="000B6375" w14:paraId="7C0B2856" w14:textId="4EC13966">
      <w:pPr>
        <w:pStyle w:val="FootnoteText"/>
        <w:ind w:left="567" w:hanging="567"/>
        <w:rPr>
          <w:sz w:val="24"/>
          <w:lang w:val="pl-PL"/>
        </w:rPr>
      </w:pPr>
      <w:r w:rsidRPr="000B6375">
        <w:rPr>
          <w:sz w:val="24"/>
          <w:vertAlign w:val="superscript"/>
          <w:lang w:val="pl-PL"/>
        </w:rPr>
        <w:t>5</w:t>
      </w:r>
      <w:r w:rsidRPr="000B6375" w:rsidR="000B6375">
        <w:rPr>
          <w:sz w:val="24"/>
          <w:vertAlign w:val="superscript"/>
          <w:lang w:val="pl-PL"/>
        </w:rPr>
        <w:t xml:space="preserve"> </w:t>
      </w:r>
      <w:r w:rsidRPr="000B6375" w:rsidR="000B6375">
        <w:rPr>
          <w:sz w:val="24"/>
          <w:vertAlign w:val="superscript"/>
          <w:lang w:val="pl-PL"/>
        </w:rPr>
        <w:tab/>
      </w:r>
      <w:r w:rsidRPr="000B6375">
        <w:rPr>
          <w:sz w:val="24"/>
          <w:lang w:val="pl-PL"/>
        </w:rPr>
        <w:t>Dz.U. C 177 z 17.5.2023, s. 115.</w:t>
      </w:r>
    </w:p>
  </w:footnote>
  <w:footnote w:id="7">
    <w:p w:rsidR="003F7594" w:rsidRPr="000B6375" w:rsidP="000B6375" w14:paraId="53176320" w14:textId="24F66119">
      <w:pPr>
        <w:pStyle w:val="FootnoteText"/>
        <w:ind w:left="567" w:hanging="567"/>
        <w:rPr>
          <w:sz w:val="24"/>
          <w:lang w:val="pl-PL"/>
        </w:rPr>
      </w:pPr>
      <w:r w:rsidRPr="000B6375">
        <w:rPr>
          <w:sz w:val="24"/>
          <w:vertAlign w:val="superscript"/>
          <w:lang w:val="pl-PL"/>
        </w:rPr>
        <w:t>6</w:t>
      </w:r>
      <w:r w:rsidRPr="000B6375" w:rsidR="000B6375">
        <w:rPr>
          <w:sz w:val="24"/>
          <w:vertAlign w:val="superscript"/>
          <w:lang w:val="pl-PL"/>
        </w:rPr>
        <w:t xml:space="preserve"> </w:t>
      </w:r>
      <w:r w:rsidRPr="000B6375" w:rsidR="000B6375">
        <w:rPr>
          <w:sz w:val="24"/>
          <w:vertAlign w:val="superscript"/>
          <w:lang w:val="pl-PL"/>
        </w:rPr>
        <w:tab/>
      </w:r>
      <w:r w:rsidRPr="000B6375">
        <w:rPr>
          <w:sz w:val="24"/>
          <w:lang w:val="pl-PL"/>
        </w:rPr>
        <w:t xml:space="preserve">Dz.U. C, C/2024/6750, 26.11.2024, ELI: </w:t>
      </w:r>
      <w:hyperlink r:id="rId5" w:tgtFrame="http://data.europa.eu/eli/C/2024/6750/oj" w:history="1">
        <w:r w:rsidRPr="000B6375">
          <w:rPr>
            <w:rStyle w:val="Hyperlink"/>
            <w:sz w:val="24"/>
            <w:lang w:val="pl-PL"/>
          </w:rPr>
          <w:t>http://data.europa.eu/eli/C/2024/6750/oj</w:t>
        </w:r>
      </w:hyperlink>
      <w:r w:rsidRPr="000B6375">
        <w:rPr>
          <w:sz w:val="24"/>
          <w:lang w:val="pl-PL"/>
        </w:rPr>
        <w:t>.</w:t>
      </w:r>
    </w:p>
  </w:footnote>
  <w:footnote w:id="8">
    <w:p w:rsidR="003F7594" w:rsidRPr="000B6375" w:rsidP="000B6375" w14:paraId="4342B471" w14:textId="2EF68601">
      <w:pPr>
        <w:pStyle w:val="FootnoteText"/>
        <w:ind w:left="567" w:hanging="567"/>
        <w:rPr>
          <w:sz w:val="24"/>
          <w:lang w:val="pl-PL"/>
        </w:rPr>
      </w:pPr>
      <w:r w:rsidRPr="000B6375">
        <w:rPr>
          <w:sz w:val="24"/>
          <w:vertAlign w:val="superscript"/>
          <w:lang w:val="pl-PL"/>
        </w:rPr>
        <w:t>7</w:t>
      </w:r>
      <w:r w:rsidRPr="000B6375" w:rsidR="000B6375">
        <w:rPr>
          <w:sz w:val="24"/>
          <w:vertAlign w:val="superscript"/>
          <w:lang w:val="pl-PL"/>
        </w:rPr>
        <w:t xml:space="preserve"> </w:t>
      </w:r>
      <w:r w:rsidRPr="000B6375" w:rsidR="000B6375">
        <w:rPr>
          <w:sz w:val="24"/>
          <w:vertAlign w:val="superscript"/>
          <w:lang w:val="pl-PL"/>
        </w:rPr>
        <w:tab/>
      </w:r>
      <w:r w:rsidRPr="000B6375">
        <w:rPr>
          <w:sz w:val="24"/>
          <w:lang w:val="pl-PL"/>
        </w:rPr>
        <w:t xml:space="preserve">Dz.U. L 433 I z 22.12.2020, s. 28, ELI: </w:t>
      </w:r>
      <w:hyperlink r:id="rId6" w:tgtFrame="http://data.europa.eu/eli/agree_interinstit/2020/1222/oj" w:history="1">
        <w:r w:rsidRPr="000B6375">
          <w:rPr>
            <w:rStyle w:val="Hyperlink"/>
            <w:sz w:val="24"/>
            <w:lang w:val="pl-PL"/>
          </w:rPr>
          <w:t>http://data.europa.eu/eli/agree_interinstit/2020/1222/oj</w:t>
        </w:r>
      </w:hyperlink>
      <w:r w:rsidRPr="000B6375">
        <w:rPr>
          <w:sz w:val="24"/>
          <w:lang w:val="pl-PL"/>
        </w:rPr>
        <w:t>.</w:t>
      </w:r>
    </w:p>
  </w:footnote>
  <w:footnote w:id="9">
    <w:p w:rsidR="003F7594" w:rsidRPr="000B6375" w:rsidP="000B6375" w14:paraId="71112984" w14:textId="36E07759">
      <w:pPr>
        <w:pStyle w:val="FootnoteText"/>
        <w:ind w:left="567" w:hanging="567"/>
        <w:rPr>
          <w:sz w:val="24"/>
          <w:lang w:val="pl-PL"/>
        </w:rPr>
      </w:pPr>
      <w:r w:rsidRPr="000B6375">
        <w:rPr>
          <w:sz w:val="24"/>
          <w:vertAlign w:val="superscript"/>
          <w:lang w:val="pl-PL"/>
        </w:rPr>
        <w:t>8</w:t>
      </w:r>
      <w:r w:rsidRPr="000B6375" w:rsidR="000B6375">
        <w:rPr>
          <w:sz w:val="24"/>
          <w:vertAlign w:val="superscript"/>
          <w:lang w:val="pl-PL"/>
        </w:rPr>
        <w:t xml:space="preserve"> </w:t>
      </w:r>
      <w:r w:rsidRPr="000B6375" w:rsidR="000B6375">
        <w:rPr>
          <w:sz w:val="24"/>
          <w:vertAlign w:val="superscript"/>
          <w:lang w:val="pl-PL"/>
        </w:rPr>
        <w:tab/>
      </w:r>
      <w:r w:rsidRPr="000B6375">
        <w:rPr>
          <w:sz w:val="24"/>
          <w:lang w:val="pl-PL"/>
        </w:rPr>
        <w:t>Dz.U. C 445 z 29.10.2021, s. 240.</w:t>
      </w:r>
    </w:p>
  </w:footnote>
  <w:footnote w:id="10">
    <w:p w:rsidR="003F7594" w:rsidRPr="000B6375" w:rsidP="000B6375" w14:paraId="3A729E52" w14:textId="6D98AB1C">
      <w:pPr>
        <w:pStyle w:val="FootnoteText"/>
        <w:ind w:left="567" w:hanging="567"/>
        <w:rPr>
          <w:sz w:val="24"/>
          <w:lang w:val="pl-PL"/>
        </w:rPr>
      </w:pPr>
      <w:r w:rsidRPr="000B6375">
        <w:rPr>
          <w:sz w:val="24"/>
          <w:vertAlign w:val="superscript"/>
          <w:lang w:val="pl-PL"/>
        </w:rPr>
        <w:t>9</w:t>
      </w:r>
      <w:r w:rsidRPr="000B6375" w:rsidR="000B6375">
        <w:rPr>
          <w:sz w:val="24"/>
          <w:vertAlign w:val="superscript"/>
          <w:lang w:val="pl-PL"/>
        </w:rPr>
        <w:t xml:space="preserve"> </w:t>
      </w:r>
      <w:r w:rsidRPr="000B6375" w:rsidR="000B6375">
        <w:rPr>
          <w:sz w:val="24"/>
          <w:vertAlign w:val="superscript"/>
          <w:lang w:val="pl-PL"/>
        </w:rPr>
        <w:tab/>
      </w:r>
      <w:r w:rsidRPr="000B6375">
        <w:rPr>
          <w:sz w:val="24"/>
          <w:lang w:val="pl-PL"/>
        </w:rPr>
        <w:t>Teksty przyjęte, P10_TA(2025)0090.</w:t>
      </w:r>
    </w:p>
  </w:footnote>
  <w:footnote w:id="11">
    <w:p w:rsidR="003F7594" w:rsidRPr="000A5605" w:rsidP="000B6375" w14:paraId="5A3082E2" w14:textId="560EBFC1">
      <w:pPr>
        <w:pStyle w:val="FootnoteText"/>
        <w:ind w:left="567" w:hanging="567"/>
        <w:rPr>
          <w:sz w:val="24"/>
          <w:lang w:val="fi-FI"/>
        </w:rPr>
      </w:pPr>
      <w:r w:rsidRPr="000A5605">
        <w:rPr>
          <w:sz w:val="24"/>
          <w:vertAlign w:val="superscript"/>
          <w:lang w:val="fi-FI"/>
        </w:rPr>
        <w:t>10</w:t>
      </w:r>
      <w:r w:rsidRPr="000A5605" w:rsidR="000B6375">
        <w:rPr>
          <w:sz w:val="24"/>
          <w:vertAlign w:val="superscript"/>
          <w:lang w:val="fi-FI"/>
        </w:rPr>
        <w:t xml:space="preserve"> </w:t>
      </w:r>
      <w:r w:rsidRPr="000A5605" w:rsidR="000B6375">
        <w:rPr>
          <w:sz w:val="24"/>
          <w:vertAlign w:val="superscript"/>
          <w:lang w:val="fi-FI"/>
        </w:rPr>
        <w:tab/>
      </w:r>
      <w:r w:rsidRPr="000A5605">
        <w:rPr>
          <w:sz w:val="24"/>
          <w:lang w:val="fi-FI"/>
        </w:rPr>
        <w:t xml:space="preserve">Dz.U. C, C/2024/7057, 4.12.2024, ELI: </w:t>
      </w:r>
      <w:hyperlink r:id="rId7" w:tgtFrame="http://data.europa.eu/eli/C/2024/7057/oj" w:history="1">
        <w:r w:rsidRPr="000A5605">
          <w:rPr>
            <w:rStyle w:val="Hyperlink"/>
            <w:sz w:val="24"/>
            <w:lang w:val="fi-FI"/>
          </w:rPr>
          <w:t>http://data.europa.eu/eli/C/2024/7057/oj</w:t>
        </w:r>
      </w:hyperlink>
      <w:r w:rsidRPr="000A5605">
        <w:rPr>
          <w:sz w:val="24"/>
          <w:lang w:val="fi-FI"/>
        </w:rPr>
        <w:t>.</w:t>
      </w:r>
    </w:p>
  </w:footnote>
  <w:footnote w:id="12">
    <w:p w:rsidR="003F7594" w:rsidRPr="000A5605" w:rsidP="000B6375" w14:paraId="121A02CD" w14:textId="2674594D">
      <w:pPr>
        <w:pStyle w:val="FootnoteText"/>
        <w:ind w:left="567" w:hanging="567"/>
        <w:rPr>
          <w:sz w:val="24"/>
          <w:lang w:val="fi-FI"/>
        </w:rPr>
      </w:pPr>
      <w:r w:rsidRPr="000A5605">
        <w:rPr>
          <w:sz w:val="24"/>
          <w:vertAlign w:val="superscript"/>
          <w:lang w:val="fi-FI"/>
        </w:rPr>
        <w:t>11</w:t>
      </w:r>
      <w:r w:rsidRPr="000A5605" w:rsidR="000B6375">
        <w:rPr>
          <w:sz w:val="24"/>
          <w:vertAlign w:val="superscript"/>
          <w:lang w:val="fi-FI"/>
        </w:rPr>
        <w:t xml:space="preserve"> </w:t>
      </w:r>
      <w:r w:rsidRPr="000A5605" w:rsidR="000B6375">
        <w:rPr>
          <w:sz w:val="24"/>
          <w:vertAlign w:val="superscript"/>
          <w:lang w:val="fi-FI"/>
        </w:rPr>
        <w:tab/>
      </w:r>
      <w:r w:rsidRPr="000A5605">
        <w:rPr>
          <w:sz w:val="24"/>
          <w:lang w:val="fi-FI"/>
        </w:rPr>
        <w:t xml:space="preserve">Dz.U. C, C/2025/279, 24.1.2025, ELI: </w:t>
      </w:r>
      <w:hyperlink r:id="rId8" w:tgtFrame="http://data.europa.eu/eli/C/2025/279/oj" w:history="1">
        <w:r w:rsidRPr="000A5605">
          <w:rPr>
            <w:rStyle w:val="Hyperlink"/>
            <w:sz w:val="24"/>
            <w:lang w:val="fi-FI"/>
          </w:rPr>
          <w:t>http://data.europa.eu/eli/C/2025/279/oj</w:t>
        </w:r>
      </w:hyperlink>
      <w:r w:rsidRPr="000A5605">
        <w:rPr>
          <w:sz w:val="24"/>
          <w:lang w:val="fi-FI"/>
        </w:rPr>
        <w:t>.</w:t>
      </w:r>
    </w:p>
  </w:footnote>
  <w:footnote w:id="13">
    <w:p w:rsidR="003F7594" w:rsidRPr="000B6375" w:rsidP="000B6375" w14:paraId="0AEA3F21" w14:textId="0B9E6538">
      <w:pPr>
        <w:pStyle w:val="FootnoteText"/>
        <w:ind w:left="567" w:hanging="567"/>
        <w:rPr>
          <w:sz w:val="24"/>
          <w:lang w:val="pl-PL"/>
        </w:rPr>
      </w:pPr>
      <w:r w:rsidRPr="000B6375">
        <w:rPr>
          <w:sz w:val="24"/>
          <w:vertAlign w:val="superscript"/>
          <w:lang w:val="pl-PL"/>
        </w:rPr>
        <w:t>12</w:t>
      </w:r>
      <w:r w:rsidRPr="000B6375" w:rsidR="000B6375">
        <w:rPr>
          <w:sz w:val="24"/>
          <w:vertAlign w:val="superscript"/>
          <w:lang w:val="pl-PL"/>
        </w:rPr>
        <w:t xml:space="preserve"> </w:t>
      </w:r>
      <w:r w:rsidRPr="000B6375" w:rsidR="000B6375">
        <w:rPr>
          <w:sz w:val="24"/>
          <w:vertAlign w:val="superscript"/>
          <w:lang w:val="pl-PL"/>
        </w:rPr>
        <w:tab/>
      </w:r>
      <w:r w:rsidRPr="000B6375">
        <w:rPr>
          <w:sz w:val="24"/>
          <w:lang w:val="pl-PL"/>
        </w:rPr>
        <w:t>Teksty przyjęte, P10_TA(2025)0128.</w:t>
      </w:r>
    </w:p>
  </w:footnote>
  <w:footnote w:id="14">
    <w:p w:rsidR="003F7594" w:rsidRPr="000B6375" w:rsidP="000B6375" w14:paraId="5784817F" w14:textId="7D451C6F">
      <w:pPr>
        <w:pStyle w:val="FootnoteText"/>
        <w:ind w:left="567" w:hanging="567"/>
        <w:rPr>
          <w:sz w:val="24"/>
          <w:lang w:val="pl-PL"/>
        </w:rPr>
      </w:pPr>
      <w:r w:rsidRPr="000B6375">
        <w:rPr>
          <w:rStyle w:val="FootnoteReference"/>
          <w:sz w:val="24"/>
          <w:lang w:val="pl-PL"/>
        </w:rPr>
        <w:footnoteRef/>
      </w:r>
      <w:r w:rsidRPr="000B6375" w:rsidR="000B6375">
        <w:rPr>
          <w:sz w:val="24"/>
          <w:lang w:val="pl-PL"/>
        </w:rPr>
        <w:t xml:space="preserve"> </w:t>
      </w:r>
      <w:r w:rsidRPr="000B6375" w:rsidR="000B6375">
        <w:rPr>
          <w:sz w:val="24"/>
          <w:lang w:val="pl-PL"/>
        </w:rPr>
        <w:tab/>
      </w:r>
      <w:r w:rsidRPr="000B6375">
        <w:rPr>
          <w:sz w:val="24"/>
          <w:lang w:val="pl-PL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 L 119 z 4.5.2016, s. 1, ELI: </w:t>
      </w:r>
      <w:hyperlink r:id="rId9" w:history="1">
        <w:r w:rsidRPr="000B6375">
          <w:rPr>
            <w:rStyle w:val="Hyperlink"/>
            <w:sz w:val="24"/>
            <w:lang w:val="pl-PL"/>
          </w:rPr>
          <w:t>http://data.europa.eu/eli/reg/2016/679/oj</w:t>
        </w:r>
      </w:hyperlink>
      <w:r w:rsidRPr="000B6375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B6375" w14:paraId="44D1428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B6375" w14:paraId="233D4542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B6375" w14:paraId="00DA55D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4400252">
    <w:abstractNumId w:val="9"/>
  </w:num>
  <w:num w:numId="2" w16cid:durableId="1464688181">
    <w:abstractNumId w:val="9"/>
  </w:num>
  <w:num w:numId="3" w16cid:durableId="95100726">
    <w:abstractNumId w:val="7"/>
  </w:num>
  <w:num w:numId="4" w16cid:durableId="868834876">
    <w:abstractNumId w:val="7"/>
  </w:num>
  <w:num w:numId="5" w16cid:durableId="397023850">
    <w:abstractNumId w:val="6"/>
  </w:num>
  <w:num w:numId="6" w16cid:durableId="1483237024">
    <w:abstractNumId w:val="6"/>
  </w:num>
  <w:num w:numId="7" w16cid:durableId="3747343">
    <w:abstractNumId w:val="5"/>
  </w:num>
  <w:num w:numId="8" w16cid:durableId="1092430436">
    <w:abstractNumId w:val="5"/>
  </w:num>
  <w:num w:numId="9" w16cid:durableId="830408952">
    <w:abstractNumId w:val="4"/>
  </w:num>
  <w:num w:numId="10" w16cid:durableId="1657605678">
    <w:abstractNumId w:val="4"/>
  </w:num>
  <w:num w:numId="11" w16cid:durableId="1468821636">
    <w:abstractNumId w:val="8"/>
  </w:num>
  <w:num w:numId="12" w16cid:durableId="978922680">
    <w:abstractNumId w:val="8"/>
  </w:num>
  <w:num w:numId="13" w16cid:durableId="757212099">
    <w:abstractNumId w:val="3"/>
  </w:num>
  <w:num w:numId="14" w16cid:durableId="688723642">
    <w:abstractNumId w:val="3"/>
  </w:num>
  <w:num w:numId="15" w16cid:durableId="639071147">
    <w:abstractNumId w:val="2"/>
  </w:num>
  <w:num w:numId="16" w16cid:durableId="1101024533">
    <w:abstractNumId w:val="2"/>
  </w:num>
  <w:num w:numId="17" w16cid:durableId="995843669">
    <w:abstractNumId w:val="1"/>
  </w:num>
  <w:num w:numId="18" w16cid:durableId="408190764">
    <w:abstractNumId w:val="1"/>
  </w:num>
  <w:num w:numId="19" w16cid:durableId="1799839214">
    <w:abstractNumId w:val="0"/>
  </w:num>
  <w:num w:numId="20" w16cid:durableId="275138951">
    <w:abstractNumId w:val="0"/>
  </w:num>
  <w:num w:numId="21" w16cid:durableId="940533808">
    <w:abstractNumId w:val="9"/>
  </w:num>
  <w:num w:numId="22" w16cid:durableId="1923758865">
    <w:abstractNumId w:val="7"/>
  </w:num>
  <w:num w:numId="23" w16cid:durableId="1581283514">
    <w:abstractNumId w:val="6"/>
  </w:num>
  <w:num w:numId="24" w16cid:durableId="1297099919">
    <w:abstractNumId w:val="5"/>
  </w:num>
  <w:num w:numId="25" w16cid:durableId="621569957">
    <w:abstractNumId w:val="4"/>
  </w:num>
  <w:num w:numId="26" w16cid:durableId="974919179">
    <w:abstractNumId w:val="8"/>
  </w:num>
  <w:num w:numId="27" w16cid:durableId="1298873232">
    <w:abstractNumId w:val="3"/>
  </w:num>
  <w:num w:numId="28" w16cid:durableId="2053188409">
    <w:abstractNumId w:val="2"/>
  </w:num>
  <w:num w:numId="29" w16cid:durableId="2092584372">
    <w:abstractNumId w:val="1"/>
  </w:num>
  <w:num w:numId="30" w16cid:durableId="1092820531">
    <w:abstractNumId w:val="0"/>
  </w:num>
  <w:num w:numId="31" w16cid:durableId="1155877355">
    <w:abstractNumId w:val="9"/>
  </w:num>
  <w:num w:numId="32" w16cid:durableId="1891846081">
    <w:abstractNumId w:val="7"/>
  </w:num>
  <w:num w:numId="33" w16cid:durableId="1453941626">
    <w:abstractNumId w:val="6"/>
  </w:num>
  <w:num w:numId="34" w16cid:durableId="1469400455">
    <w:abstractNumId w:val="5"/>
  </w:num>
  <w:num w:numId="35" w16cid:durableId="885219276">
    <w:abstractNumId w:val="4"/>
  </w:num>
  <w:num w:numId="36" w16cid:durableId="1446270587">
    <w:abstractNumId w:val="8"/>
  </w:num>
  <w:num w:numId="37" w16cid:durableId="847410113">
    <w:abstractNumId w:val="3"/>
  </w:num>
  <w:num w:numId="38" w16cid:durableId="1737122482">
    <w:abstractNumId w:val="2"/>
  </w:num>
  <w:num w:numId="39" w16cid:durableId="1894348076">
    <w:abstractNumId w:val="1"/>
  </w:num>
  <w:num w:numId="40" w16cid:durableId="1114180432">
    <w:abstractNumId w:val="0"/>
  </w:num>
  <w:num w:numId="41" w16cid:durableId="976957735">
    <w:abstractNumId w:val="10"/>
  </w:num>
  <w:num w:numId="42" w16cid:durableId="213545397">
    <w:abstractNumId w:val="10"/>
  </w:num>
  <w:num w:numId="43" w16cid:durableId="1125200930">
    <w:abstractNumId w:val="10"/>
  </w:num>
  <w:num w:numId="44" w16cid:durableId="4133627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413"/>
    <w:rsid w:val="00002272"/>
    <w:rsid w:val="00064002"/>
    <w:rsid w:val="000677B9"/>
    <w:rsid w:val="00075086"/>
    <w:rsid w:val="000831BA"/>
    <w:rsid w:val="000A42CC"/>
    <w:rsid w:val="000A5605"/>
    <w:rsid w:val="000B6375"/>
    <w:rsid w:val="000E7DD9"/>
    <w:rsid w:val="0010095E"/>
    <w:rsid w:val="00125B37"/>
    <w:rsid w:val="00187494"/>
    <w:rsid w:val="001F32AE"/>
    <w:rsid w:val="002767FF"/>
    <w:rsid w:val="002B18FE"/>
    <w:rsid w:val="002B5493"/>
    <w:rsid w:val="00311413"/>
    <w:rsid w:val="00343214"/>
    <w:rsid w:val="00361C00"/>
    <w:rsid w:val="00395FA1"/>
    <w:rsid w:val="003E15D4"/>
    <w:rsid w:val="003F759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4C09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2AA3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22/2026"/>
    <w:docVar w:name="dvlangue" w:val="PL"/>
    <w:docVar w:name="dvnumam" w:val="0"/>
    <w:docVar w:name="dvpe" w:val="778.127"/>
    <w:docVar w:name="dvrapporteur" w:val="Sprawozdawca: "/>
    <w:docVar w:name="dvtitre" w:val="Rezolucja Parlamentu Europejskiego z dnia  2026 r. w sprawie kontroli, przejrzystości i identyfikowalności instrumentów opartych na wynikach(2025/2032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52559A7"/>
  <w15:chartTrackingRefBased/>
  <w15:docId w15:val="{5CF6C3EF-B2F5-4DF0-AE60-B15FA2CA2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3F7594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link w:val="NormalHanging12aChar"/>
    <w:rsid w:val="003F7594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3F7594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3F7594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3F7594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3F7594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3F7594"/>
    <w:rPr>
      <w:sz w:val="24"/>
      <w:szCs w:val="24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0/2093/oj" TargetMode="External" /><Relationship Id="rId2" Type="http://schemas.openxmlformats.org/officeDocument/2006/relationships/hyperlink" Target="http://data.europa.eu/eli/reg/2024/2509/oj" TargetMode="External" /><Relationship Id="rId3" Type="http://schemas.openxmlformats.org/officeDocument/2006/relationships/hyperlink" Target="http://data.europa.eu/eli/reg/2020/2092/oj" TargetMode="External" /><Relationship Id="rId4" Type="http://schemas.openxmlformats.org/officeDocument/2006/relationships/hyperlink" Target="http://data.europa.eu/eli/reg/2024/1263/oj" TargetMode="External" /><Relationship Id="rId5" Type="http://schemas.openxmlformats.org/officeDocument/2006/relationships/hyperlink" Target="http://data.europa.eu/eli/C/2024/6750/oj" TargetMode="External" /><Relationship Id="rId6" Type="http://schemas.openxmlformats.org/officeDocument/2006/relationships/hyperlink" Target="http://data.europa.eu/eli/agree_interinstit/2020/1222/oj" TargetMode="External" /><Relationship Id="rId7" Type="http://schemas.openxmlformats.org/officeDocument/2006/relationships/hyperlink" Target="http://data.europa.eu/eli/C/2024/7057/oj" TargetMode="External" /><Relationship Id="rId8" Type="http://schemas.openxmlformats.org/officeDocument/2006/relationships/hyperlink" Target="http://data.europa.eu/eli/C/2025/279/oj" TargetMode="External" /><Relationship Id="rId9" Type="http://schemas.openxmlformats.org/officeDocument/2006/relationships/hyperlink" Target="http://data.europa.eu/eli/reg/2016/67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5574</Words>
  <Characters>31777</Characters>
  <Application>Microsoft Office Word</Application>
  <DocSecurity>0</DocSecurity>
  <Lines>264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3</cp:revision>
  <cp:lastPrinted>2004-11-19T15:42:00Z</cp:lastPrinted>
  <dcterms:created xsi:type="dcterms:W3CDTF">2026-04-28T06:26:00Z</dcterms:created>
  <dcterms:modified xsi:type="dcterms:W3CDTF">2026-04-28T12:49:00Z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A10-0022/2026</vt:lpwstr>
  </property>
  <property fmtid="{D5CDD505-2E9C-101B-9397-08002B2CF9AE}" pid="4" name="&lt;Type&gt;">
    <vt:lpwstr>RR</vt:lpwstr>
  </property>
</Properties>
</file>